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082. Virusli gepatit B kasalligining epidemiologiyasi, tashxisi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Virusli gepatit B (VGB) – gepatit B virusi (HBV) keltirib chiqaradigan jigar infeksiyasi, o'tkir va surunkali shaklda kechadi; surunkali shakl sirroz va jigar saratoni xavfini oshiradi. JSST ma'lumotiga ko'ra 2024 yilda dunyoda 240 million kishi surunkali VGB bilan yashagan, har yili 0,9 million yangi yuqish bo'lgan va 1,1 million kishi (asosan sirroz va gepatotsellulyar karsinoma tufayli) vafot etgan; kasallik xavfsiz va samarali vaksina bilan oldini olinadi [1]. O'zbekistonda VGB parenteral gepatitlar guruhiga kiradi va uning epidemiologiyasi hamda profilaktikasi 2018 yildagi 542-son buyruq ilovasida va 2023 yildagi 95-son buyruqda tartibga solingan [2][3]. Taqdimotda virusli gepatitlar etiologiyasiga ko'ra enteral (A, E) va parenteral (B, C, D) guruhlarga, kechish davriga ko'ra o'tkir (1–3 oy), cho'zilgan (3–6 oy) va surunkali (6 oydan ko'p) shakllarga bo'lingani, subklinik shakl va HBs-antigen tashuvchilik alohida ajratilgani keltirilgan [4]. Quyida epidemik jarayon bo'g'inlari, tashxis va profilaktika ko'rib chiqiladi.</w:t>
      </w:r>
    </w:p>
    <w:p>
      <w:pPr>
        <w:pStyle w:val="Heading2"/>
        <w:spacing w:after="100" w:before="200"/>
      </w:pPr>
      <w:r>
        <w:rPr>
          <w:rFonts w:ascii="Times New Roman" w:cs="Times New Roman" w:eastAsia="Times New Roman" w:hAnsi="Times New Roman"/>
          <w:b/>
          <w:bCs/>
          <w:sz w:val="28"/>
          <w:szCs w:val="28"/>
        </w:rPr>
        <w:t xml:space="preserve">Epidemiologiya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o'tkir va surunkali VGB bilan og'rigan bemorlar hamda HBsAg tashuvchilar; bemor kasallik belgilaridan 2–8 hafta oldin ham yuqumli bo'lishi mumkin, ayniqsa qonda HBeAg bo'lganda; surunkali bemorlar va tashuvchilar butun umr epidemiologik ahamiyatini saqlashi mumkin. Bitta klinik ifodalangan holatga 100 tagacha sariqliksiz holat to'g'ri keladi; kattalarda sariqliksiz shakl 70% gacha bo'lishi mumkin. O'tkir VGBda yuqumli davr odatda 2–3 haftadan 2–3 oygacha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virus teri va shilliq qavat shikastlanishi orqali zararlangan qon va boshqa biologik suyuqliklar bilan bevosita kontaktda yuqadi; eng yuqori konsentratsiya qon va jarohat suyuqligida, o'rtacha – sperma va qin ajratmalarida, eng past – so'lakda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Tabiiy yo'llar: perinatal (ona-bola; HBeAg bo'lsa bolalarning 85–100% i zararlanadi, bunday bolalarda 90% da surunkalilashadi, bachadon ichidagi zararlanish 2% dan oshmaydi), jinsiy va kontakt-maishiy (tish cho'tkasi, ustara, manikyur asboblari, sochiq kabi umumiy buyumlar). Sun'iy yo'llar: tibbiyot muassasalarida steril bo'lmagan asboblar, ko'p dozali flakonlar, tekshirilmagan qon va to'qimalar quyilishi, tibbiyot xodimlarining qo'llari; tibbiyotdan tashqarida – in'ektsion giyohvandlar, tatuirovka, pirsing, ritual marosimlar, quloq teshish, soch olish, manikyur [2].</w:t>
      </w:r>
    </w:p>
    <w:p>
      <w:pPr>
        <w:pStyle w:val="ListParagraph"/>
        <w:numPr>
          <w:ilvl w:val="0"/>
          <w:numId w:val="2"/>
        </w:numPr>
        <w:spacing w:after="60" w:line="276"/>
        <w:jc w:val="both"/>
      </w:pPr>
      <w:r>
        <w:rPr>
          <w:rFonts w:ascii="Times New Roman" w:cs="Times New Roman" w:eastAsia="Times New Roman" w:hAnsi="Times New Roman"/>
          <w:sz w:val="28"/>
          <w:szCs w:val="28"/>
        </w:rPr>
        <w:t xml:space="preserve">JSST: virus onadan bolaga tug'ilishda va erta bolalikda, jinsiy aloqada, xavfsiz bo'lmagan in'ektsiyalarda, o'tkir asboblar bilan kontaktda yuqadi. Kattalikda zararlangan kishilarning 5% dan kamida surunkali gepatit rivojlanadi, go'daklik va 5 yoshgacha zararlanganlarda esa taxminan 95% da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Xavf guruhlari: VGB bilan kasallangan onalardan tug'ilgan bolalar, bir nechta jinsiy sherigi borlar, kasal bilan yaqin maishiy aloqadagilar, yopiq muassasalar (bolalar uylari, qariyalar uylari) kontingenti; in'ektsion giyohvandlar, qon va a'zo oluvchilar, tibbiyot xodimlari, gemodializ markazlari xodimlari va bemorlari, invaziv tekshiruvdan o'tuvchilar [2].</w:t>
      </w:r>
    </w:p>
    <w:p>
      <w:pPr>
        <w:pStyle w:val="Heading2"/>
        <w:spacing w:after="100" w:before="200"/>
      </w:pPr>
      <w:r>
        <w:rPr>
          <w:rFonts w:ascii="Times New Roman" w:cs="Times New Roman" w:eastAsia="Times New Roman" w:hAnsi="Times New Roman"/>
          <w:b/>
          <w:bCs/>
          <w:sz w:val="28"/>
          <w:szCs w:val="28"/>
        </w:rPr>
        <w:t xml:space="preserve">Klinik ko'rinish va epidemik jarayonning namoyon bo'lishi</w:t>
      </w:r>
    </w:p>
    <w:p>
      <w:pPr>
        <w:spacing w:after="120" w:line="276"/>
        <w:ind w:firstLine="567"/>
        <w:jc w:val="both"/>
      </w:pPr>
      <w:r>
        <w:rPr>
          <w:rFonts w:ascii="Times New Roman" w:cs="Times New Roman" w:eastAsia="Times New Roman" w:hAnsi="Times New Roman"/>
          <w:sz w:val="28"/>
          <w:szCs w:val="28"/>
        </w:rPr>
        <w:t xml:space="preserve">Ko'pchilik yangi zararlanganlar simptomsiz bo'ladi; ba'zilarida sariqlik, to'q rangli siydik, holsizlik, ko'ngil aynishi, qusish, qorin og'rig'i bir necha hafta davom etadi; og'ir o'tkir gepatit jigar yetishmovchiligiga olib kelishi mumkin [1]. Epidemik jarayonning ikki tarkibiy qismi bor: tabiiy (vertikal va boshqa tabiiy yo'llar) va sun'iy (parenteral muolajalar). Surunkali VGB tarqalishi avvalgi o'tkir kasallanish darajasiga bog'liq; o'choqlar surunkali bemorlar oilalarida, yopiq bolalar va kattalar muassasalarida, nogironlar uylarida, ichki ishlar tizimi muassasalarida shakllanadi va ularni sog'lomlashtirish qiyin; avj olish retsipiyentlar (qon preparatlari), bir kasalxona, tug'ruq majmuasi, sanatoriy bemorlari va stomatologik yordam olganlar orasida kuzatiladi [2].</w:t>
      </w:r>
    </w:p>
    <w:p>
      <w:pPr>
        <w:pStyle w:val="Heading2"/>
        <w:spacing w:after="100" w:before="200"/>
      </w:pPr>
      <w:r>
        <w:rPr>
          <w:rFonts w:ascii="Times New Roman" w:cs="Times New Roman" w:eastAsia="Times New Roman" w:hAnsi="Times New Roman"/>
          <w:b/>
          <w:bCs/>
          <w:sz w:val="28"/>
          <w:szCs w:val="28"/>
        </w:rPr>
        <w:t xml:space="preserve">Tashxis</w:t>
      </w:r>
    </w:p>
    <w:p>
      <w:pPr>
        <w:pStyle w:val="ListParagraph"/>
        <w:numPr>
          <w:ilvl w:val="0"/>
          <w:numId w:val="3"/>
        </w:numPr>
        <w:spacing w:after="60" w:line="276"/>
        <w:jc w:val="both"/>
      </w:pPr>
      <w:r>
        <w:rPr>
          <w:rFonts w:ascii="Times New Roman" w:cs="Times New Roman" w:eastAsia="Times New Roman" w:hAnsi="Times New Roman"/>
          <w:sz w:val="28"/>
          <w:szCs w:val="28"/>
        </w:rPr>
        <w:t xml:space="preserve">Klinik jihatdan VGBni boshqa virusli gepatitlardan farqlab bo'lmaydi, shuning uchun laborator tasdiq shart; qon testlari o'tkir va surunkali infeksiyani ajratadi, ultratovush va elastografiya jigar fibrozini baholaydi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HBsAg yuqish nuqtai nazaridan asosiy ko'rsatkich: HBsAg immunoxromatografik tahlil, IFA va zarur bo'lsa PZR usulida aniqlanadi [2]. Klinik belgilar va biokimyoviy o'zgarishlarsiz HBsAg aniqlansa, bu surunkali infeksiya «virus tashuvchilik (HBsAg tashuvchilik)» deb tasniflanadi [2].</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O'zbekistonda 95-son buyruqqa ko'ra 18 yoshdan katta, avval tekshirilmagan fuqarolar oilaviy poliklinika va oilaviy shifokor punktlarida ixtiyoriy roziligi bilan ekspress-testlar orqali «V» va «S» gepatitga skriningdan o'tkaziladi; V aniqlangan bemorlar haqida Sanitariya-epidemiologik osoyishtalik qo'mitasining tuman bo'limlariga xabar beriladi va gepatomarkazlarga yo'naltiriladi, u yerda AFP, PIVKA va HBsAg miqdoriy tekshiruvlari o'tkaziladi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JSST: HBsAg seroprevalentligi 2% dan yuqori bo'lgan sharoitlarda barcha kattalarga test taklif etiladi; har qanday sharoitda jigar kasalligi gumon qilinganlar, donorlar va barcha homilador ayollar, shuningdek xavf guruhlari tekshiriladi; 2024 yilda zararlanganlarning faqat 27% i (65 million) o'z holatini bilgan [1]. VGB va VGS ning umumiy qon orqali yuqish xavf omillari o'xshash bo'lgani uchun JSST test o'tkazish tavsiyalarini ikkala infeksiya bo'yicha bir xil guruhlarga yo'naltiradi (donorlar, migrantlar, tibbiyot xodimlari, in'ektsion giyohvandlar, mahbuslar, OIV bilan yashovchilar) [5].</w:t>
      </w:r>
    </w:p>
    <w:p>
      <w:pPr>
        <w:pStyle w:val="Heading2"/>
        <w:spacing w:after="100" w:before="200"/>
      </w:pPr>
      <w:r>
        <w:rPr>
          <w:rFonts w:ascii="Times New Roman" w:cs="Times New Roman" w:eastAsia="Times New Roman" w:hAnsi="Times New Roman"/>
          <w:b/>
          <w:bCs/>
          <w:sz w:val="28"/>
          <w:szCs w:val="28"/>
        </w:rPr>
        <w:t xml:space="preserve">Profilaktika</w:t>
      </w:r>
    </w:p>
    <w:p>
      <w:pPr>
        <w:pStyle w:val="ListParagraph"/>
        <w:numPr>
          <w:ilvl w:val="0"/>
          <w:numId w:val="4"/>
        </w:numPr>
        <w:spacing w:after="60" w:line="276"/>
        <w:jc w:val="both"/>
      </w:pPr>
      <w:r>
        <w:rPr>
          <w:rFonts w:ascii="Times New Roman" w:cs="Times New Roman" w:eastAsia="Times New Roman" w:hAnsi="Times New Roman"/>
          <w:sz w:val="28"/>
          <w:szCs w:val="28"/>
        </w:rPr>
        <w:t xml:space="preserve">Maxsus profilaktika: rekombinant HBsAg vaksinasi bilan emlash. JSST bo'yicha barcha chaqaloqlar tug'ilgandan keyin imkon qadar tezroq (24 soat ichida) emlanishi, so'ngra kamida 4 hafta oraliq bilan 2–3 doza berilishi kerak; to'liq seriyadan so'ng 95% dan ko'p bolalarda va yoshlarda himoyalovchi antitelalar paydo bo'ladi, himoya kamida 20 yil, ehtimol umr bo'yi saqlanadi, odatda revaksinatsiya talab etilmaydi [1][2].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Emlash tavsiya etiladigan guruhlar: barcha chaqaloqlar, emlanmagan barcha shaxslar yoshidan qat'i nazar, yuqori xavfli guruhlar (qon mahsulotlariga muhtojlar, dializ bemorlari, a'zo oluvchilar, mahbuslar, in'ektsion giyohvandlar, oila a'zolari va jinsiy sheriklar, ko'p sherikli shaxslar, tibbiyot xodimlari)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Onadan bolaga yuqishni to'xtatish: tug'ilgandan keyin vaksina va onaga antiviral dori berish [1]; milliy yo'riqnomada VGB bilan og'rigan onalardan tug'ilgan chaqaloqlarga milliy emlash kalendariga muvofiq dastlabki 3–12 soatda emlash o'tkaziladi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Nospesifik: qon va uning komponentlari donorlarini tekshirish, steril yoki bir martalik asboblar, in'ektsion xavfsizlik, prezervativ, umumiy in'ektsion asboblardan foydalanmaslik, tibbiyot xodimlari uchun himoya va emlash [1][2].</w:t>
      </w:r>
    </w:p>
    <w:p>
      <w:pPr>
        <w:pStyle w:val="Heading2"/>
        <w:spacing w:after="100" w:before="200"/>
      </w:pPr>
      <w:r>
        <w:rPr>
          <w:rFonts w:ascii="Times New Roman" w:cs="Times New Roman" w:eastAsia="Times New Roman" w:hAnsi="Times New Roman"/>
          <w:b/>
          <w:bCs/>
          <w:sz w:val="28"/>
          <w:szCs w:val="28"/>
        </w:rPr>
        <w:t xml:space="preserve">Davolash va nazorat</w:t>
      </w:r>
    </w:p>
    <w:p>
      <w:pPr>
        <w:spacing w:after="120" w:line="276"/>
        <w:ind w:firstLine="567"/>
        <w:jc w:val="both"/>
      </w:pPr>
      <w:r>
        <w:rPr>
          <w:rFonts w:ascii="Times New Roman" w:cs="Times New Roman" w:eastAsia="Times New Roman" w:hAnsi="Times New Roman"/>
          <w:sz w:val="28"/>
          <w:szCs w:val="28"/>
        </w:rPr>
        <w:t xml:space="preserve">O'tkir VGBga maxsus davo yo'q – parvarish simptomlarni boshqarishga qaratiladi; surunkali VGB tenofovir yoki entekavir kabi og'iz orqali dorilar bilan davolanadi, ko'pchilik uchun umr bo'yi; 2024 yilda faqat 10 million kishi (4,3%) antiviral davo olgan [1]. O'zbekistonda o'tkir va birinchi marta aniqlangan surunkali virusli gepatitlar sanitariya-epidemiologiya markazlarida majburiy ro'yxatga olinadi va yuqumli kasalliklar shifoxonasiga yotqiziladi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VGB – parenteral yuqadigan, qon va boshqa biologik suyuqliklar orqali, ayniqsa perinatal yo'l bilan surunkalilashadigan infeksiya. Asosiy tadbirlar – chaqaloqlarni tug'ruqxonada emlash, xavf guruhlarini tekshirish va emlash, donor va parenteral muolajalar xavfsizligi, aholini skrining qilish va surunkali bemorlarni davolash. Milliy hujjatlarda onaga antiviral profilaktika va vaksinaning 24 soat ichidagi muddati JSST sahifasidagiga nisbatan batafsil keltirilmagan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Hepatitis B (fact sheet). URL: https://www.who.int/news-room/fact-sheets/detail/hepatitis-b (kirilgan sana: 30.10.2026).</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2018-yil 27-avgustdagi 542-son buyrug'iga 1-ilova: «Virusli gepatitlar epidemiologiyasi, profilaktik va epidemiyaga qarshi tadbirlarni tashkil etish» yo'riqnomasi (rus tilidagi matn). Manba: xayrullokomilov.uz/kutubxona, material № 484.</w:t>
      </w:r>
    </w:p>
    <w:p>
      <w:pPr>
        <w:pStyle w:val="ListParagraph"/>
        <w:numPr>
          <w:ilvl w:val="0"/>
          <w:numId w:val="5"/>
        </w:numPr>
        <w:spacing w:after="80" w:line="260"/>
      </w:pPr>
      <w:r>
        <w:rPr>
          <w:rFonts w:ascii="Times New Roman" w:cs="Times New Roman" w:eastAsia="Times New Roman" w:hAnsi="Times New Roman"/>
          <w:sz w:val="28"/>
          <w:szCs w:val="28"/>
        </w:rPr>
        <w:t xml:space="preserve">O'zbekiston Respublikasi Sog'liqni saqlash vazirining 2023-yil 1-maydagi 95-son buyrug'i: aholi orasida virusli gepatitning «V» va «S» turlarini erta aniqlash va davolash tadbirlarini amalga oshirish tartibi. Manba: xayrullokomilov.uz/kutubxona, material № 343 (matn lotin yozuvida).</w:t>
      </w:r>
    </w:p>
    <w:p>
      <w:pPr>
        <w:pStyle w:val="ListParagraph"/>
        <w:numPr>
          <w:ilvl w:val="0"/>
          <w:numId w:val="5"/>
        </w:numPr>
        <w:spacing w:after="80" w:line="260"/>
      </w:pPr>
      <w:r>
        <w:rPr>
          <w:rFonts w:ascii="Times New Roman" w:cs="Times New Roman" w:eastAsia="Times New Roman" w:hAnsi="Times New Roman"/>
          <w:sz w:val="28"/>
          <w:szCs w:val="28"/>
        </w:rPr>
        <w:t xml:space="preserve">Usmanova R.G. Virusli gepatitlar (taqdimot). Manba: xayrullokomilov.uz/kutubxona, material № 1472 (matn kirill yozuvida).</w:t>
      </w:r>
    </w:p>
    <w:p>
      <w:pPr>
        <w:pStyle w:val="ListParagraph"/>
        <w:numPr>
          <w:ilvl w:val="0"/>
          <w:numId w:val="5"/>
        </w:numPr>
        <w:spacing w:after="80" w:line="260"/>
      </w:pPr>
      <w:r>
        <w:rPr>
          <w:rFonts w:ascii="Times New Roman" w:cs="Times New Roman" w:eastAsia="Times New Roman" w:hAnsi="Times New Roman"/>
          <w:sz w:val="28"/>
          <w:szCs w:val="28"/>
        </w:rPr>
        <w:t xml:space="preserve">World Health Organization. Hepatitis C (fact sheet). URL: https://www.who.int/news-room/fact-sheets/detail/hepatitis-c (kirilgan sana: 30.10.2026).</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082. Virusli gepatit B kasalligining epidemiologiyasi, tashxisi va profilaktikasi</dc:title>
  <dc:creator>Epidemiologiya</dc:creator>
  <cp:lastModifiedBy>Un-named</cp:lastModifiedBy>
  <cp:revision>1</cp:revision>
  <dcterms:created xsi:type="dcterms:W3CDTF">2026-10-30T11:40:00.886Z</dcterms:created>
  <dcterms:modified xsi:type="dcterms:W3CDTF">2026-10-30T11:40:00.887Z</dcterms:modified>
</cp:coreProperties>
</file>

<file path=docProps/custom.xml><?xml version="1.0" encoding="utf-8"?>
<Properties xmlns="http://schemas.openxmlformats.org/officeDocument/2006/custom-properties" xmlns:vt="http://schemas.openxmlformats.org/officeDocument/2006/docPropsVTypes"/>
</file>