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085. Virusli gepatit B kasalligida epidemiyaga qarshi tadbirlar va maxsus profilaktika choralari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Virusli gepatit B (VGB) bo'yicha epidemiyaga qarshi tadbirlar o'choqda yuqish yo'llarini uzish va kontaktdagilarni himoya qilishga, maxsus profilaktika esa emlash va onadan bolaga yuqishning oldini olishga qaratiladi. VGB vaksina bilan oldini olinadigan kasallik: JSST ma'lumotiga ko'ra vaksina deyarli 100% himoya beradi [1]. Milliy tartib Sog'liqni saqlash vazirining 2018 yil 542-son buyrug'iga 1-ilovada, aholini skrining va davolash tartibi esa 2023 yil 95-son buyrug'ida belgilangan [2][3]. Quyida o'choqdagi tadbirlar, emlash va onalar bilan ishlash bayon etiladi.</w:t>
      </w:r>
    </w:p>
    <w:p>
      <w:pPr>
        <w:pStyle w:val="Heading2"/>
        <w:spacing w:after="100" w:before="200"/>
      </w:pPr>
      <w:r>
        <w:rPr>
          <w:rFonts w:ascii="Times New Roman" w:cs="Times New Roman" w:eastAsia="Times New Roman" w:hAnsi="Times New Roman"/>
          <w:b/>
          <w:bCs/>
          <w:sz w:val="28"/>
          <w:szCs w:val="28"/>
        </w:rPr>
        <w:t xml:space="preserve">O'tkir VGB o'choqlarida tadbirlar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Bemorlarni ro'yxatga olish va yotqizish: o'tkir va birinchi marta aniqlangan surunkali shakllar davlat sanitariya-epidemiologik nazorat markazlarida majburiy ro'yxatga olinadi va yuqumli kasalliklar shifoxonalariga yotqiziladi; etiologik tasdiqlash odatda 5 kun ichida o'tkaziladi, aralash infeksiya yoki surunkali shakllarda kechroq mumkin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Kontaktdagilar: bemor (HBsAg tashuvchi) bilan yaqin aloqada bo'lib, yuqish yo'llari amalga oshishi mumkin bo'lgan shaxslar. O'tkir VGB o'choqlarida kontaktdagilar ustidan bemor yotqizilgan paytdan boshlab 6 oy tibbiy kuzatuv o'rnatiladi, shifokor ko'rigi 2 oyda bir marta o'tkaziladi; birinchi tashrifda ko'rikdan tashqari ALT faolligi va HBsAg aniqlanadi. HBsAg va ALT oshgan shaxslar chuqur klinik-laborator tekshiruvdan (jigar ultratovushi bilan) o'tkaziladi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Natijalar kontaktdagining ambulator kartasiga yoziladi; HBsAg immunoxromatografik tahlil, IFA va zarur bo'lsa PZR bilan aniqlanadi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Xavfi yuqori toifalarda VGB va VGS markerlari bo'yicha to'liq tekshiruv kamida yiliga bir marta o'tkaziladi; kerak bo'lsa VGB ga qarshi emlash tavsiya etiladi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Shaxsiy gigiena buyumlarini (tish cho'tkasi, ustara, manikyur-pedikyur asboblari) ajratish va dezinfeksiya qilish uy o'choqlarida asosiy chora hisoblanadi; umumiy foydalanish aniqlansa kontaktdagilar ro'yxati tuziladi va infeksionist shifokorga laborator tekshiruv uchun beriladi [2].</w:t>
      </w:r>
    </w:p>
    <w:p>
      <w:pPr>
        <w:pStyle w:val="Heading2"/>
        <w:spacing w:after="100" w:before="200"/>
      </w:pPr>
      <w:r>
        <w:rPr>
          <w:rFonts w:ascii="Times New Roman" w:cs="Times New Roman" w:eastAsia="Times New Roman" w:hAnsi="Times New Roman"/>
          <w:b/>
          <w:bCs/>
          <w:sz w:val="28"/>
          <w:szCs w:val="28"/>
        </w:rPr>
        <w:t xml:space="preserve">Surunkali VGB o'choqlarida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Birinchi marta aniqlangan surunkali VGB tibbiy muassasa va sanitariya-epidemiologiya markazida majburiy ro'yxatga olinadi; epidemiolog tashkil etilgan jamoalardagi va uy o'choqlaridagi har bir yangi aniqlangan holatni surishtiradi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muassasalarida kontaktdagi bolalar ustidan 6 oy davomida tibbiy kuzatuv (izolyatsiyadan keyin darhol, so'ng har oy)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Oilaviy o'choqlarda kontaktdagilar o'choq aniqlanganda va keyin kamida yiliga bir marta HBsAg, anti-HBs, anti-HCV ga tekshiriladi; himoyalovchi konsentratsiyali anti-HBs yoki anti-HCV aniqlanganlar keyin tekshirilmaydi; o'choqqa tibbiyot xodimi va epidemiolog yarim yilda bir marta boradi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«tashuvchilar» va surunkali bemorlar mos ixtisoslashgan bolalar muassasalariga yo'naltiriladi; 14 yoshgacha HBsAg tashuvchilar ro'yxati sanitariya-epidemiologiya markazida yuritiladi, emlash holati o'rganiladi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 ayol surunkali VGB bilan – yuqumli kasalliklar shifoxonasiga majburiy yotqiziladi; tug'ayotgan va HBsAg yoki anti-HCV musbat ayollar viloyat (shahar) tug'ruq majmualarining izolyatorlariga qat'iy epidemiyaga qarshi rejim bilan joylashtiriladi [2].</w:t>
      </w:r>
    </w:p>
    <w:p>
      <w:pPr>
        <w:pStyle w:val="Heading2"/>
        <w:spacing w:after="100" w:before="200"/>
      </w:pPr>
      <w:r>
        <w:rPr>
          <w:rFonts w:ascii="Times New Roman" w:cs="Times New Roman" w:eastAsia="Times New Roman" w:hAnsi="Times New Roman"/>
          <w:b/>
          <w:bCs/>
          <w:sz w:val="28"/>
          <w:szCs w:val="28"/>
        </w:rPr>
        <w:t xml:space="preserve">Maxsus 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Faol immunizatsiya: JSST rekombinant HBsAg vaksinasi bilan uch yoki to'rt dozali immunizatsiyani barcha chaqaloqlarga, emlanmagan har qanday yoshdagi odamlarga va yuqori xavfli guruhlarga (qon mahsulotlariga muhtojlar, dializ bemorlari, a'zo oluvchilar, mahbuslar, in'ektsion giyohvandlar, oila a'zolari va jinsiy sheriklar, ko'p sherikli shaxslar, tibbiyot xodimlari, endemik hududga ketuvchi sayohatchilar) tavsiya qiladi [2]. To'liq seriyadan keyin 95% dan ko'p chaqaloq, bola va yoshlarda himoyalovchi antitelalar paydo bo'ladi, himoya 20 yil va ehtimol umr bo'yi saqlanadi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Kontaktdagilar: kasal (o'tkir yoki surunkali) yoki HBsAg tashuvchi bilan kontaktda bo'lgan, avval emlanmagan yoki emlash anamnezi noma'lum shaxslar VGB ga qarshi emlanadi [2]. Tibbiyot xodimlari va tibbiyot talabalariga alohida e'tibor beriladi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Chaqaloqlar: VGB bilan kasallangan onalardan tug'ilgan chaqaloqlar milliy kalendarga muvofiq dastlabki 3–12 soatda emlanadi [2]; JSST barcha chaqaloqlarga 24 soat ichida emlashni, qo'shimcha ravishda onaga antiviral dori berishni tavsiya etadi [1]. Zarur dozalar: tug'ilgandan keyingi doza, so'ng kamida 4 hafta oraliq bilan 2–3 doza; bu seriyadan keyin revaksinatsiya odatda talab etilmaydi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Immunoglobulin va boshqa preparatlar bo'yicha aniq ko'rsatmalar kutubxona hujjatlarida topilmadi (tasdiqlanmagan).</w:t>
      </w:r>
    </w:p>
    <w:p>
      <w:pPr>
        <w:pStyle w:val="Heading2"/>
        <w:spacing w:after="100" w:before="200"/>
      </w:pPr>
      <w:r>
        <w:rPr>
          <w:rFonts w:ascii="Times New Roman" w:cs="Times New Roman" w:eastAsia="Times New Roman" w:hAnsi="Times New Roman"/>
          <w:b/>
          <w:bCs/>
          <w:sz w:val="28"/>
          <w:szCs w:val="28"/>
        </w:rPr>
        <w:t xml:space="preserve">O'choqlarning turlari va epidemiologik baholash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VGB o'choqlari surunkali bemorlar oilalarida, bolalar va kattalar yopiq muassasalarida, nogironlar uylarida, ichki ishlar tizimi muassasalarida shakllanadi, barqaror xarakterga ega va sog'lomlashtirish qiyin; bunday o'choqlarda o'tkir va surunkali, manifest va simptomsiz shakllar bir vaqtda bo'lishi mumkin. Oilalarda barqaror o'choqlar paydo bo'lishiga surunkali infeksiyaga genetik moyillik sabab bo'lishi ko'rsatilgan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Muvaffaqiyat mezonlari: kontaktdagilar orasida yangi VGB holati yo'qligi, 6 oylik kuzatuv davomida HBsAg va ALT bo'yicha salbiy natijalar, kontaktdagilarning emlanish qamrovi (bu mezonlar hujjatlarda alohida ko'rsatilmagan, tadbirlar mantig'idan olingan, tasdiqlanmagan)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Taqdimotda B, C, D gepatitlar parenteral guruhga kiritilgan, subklinik shakl va HBs-antigen tashuvchilik alohida ajratilgan; shu sababli o'choqda kasallik belgisi bo'lmagan shaxslar ham tekshirilishi kerak [4].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VGB va VGS yuqish yo'llari o'xshashligi sababli o'choqda ikkala infeksiya bo'yicha tekshiruv o'tkaziladi; VGSga vaksina yo'q, shu sababli VGS bo'yicha tadbirlar kontaktdagilarni kuzatish va xavfli buyumlarni ajratishga asoslanadi; JSST VGSni bevosita ta'sir qiluvchi antivirus dorilar bilan davolash mumkinligini ta'kidlaydi [5].</w:t>
      </w:r>
    </w:p>
    <w:p>
      <w:pPr>
        <w:pStyle w:val="Heading2"/>
        <w:spacing w:after="100" w:before="200"/>
      </w:pPr>
      <w:r>
        <w:rPr>
          <w:rFonts w:ascii="Times New Roman" w:cs="Times New Roman" w:eastAsia="Times New Roman" w:hAnsi="Times New Roman"/>
          <w:b/>
          <w:bCs/>
          <w:sz w:val="28"/>
          <w:szCs w:val="28"/>
        </w:rPr>
        <w:t xml:space="preserve">Skrining va davolash (95-son buyruq)</w:t>
      </w:r>
    </w:p>
    <w:p>
      <w:pPr>
        <w:spacing w:after="120" w:line="276"/>
        <w:ind w:firstLine="567"/>
        <w:jc w:val="both"/>
      </w:pPr>
      <w:r>
        <w:rPr>
          <w:rFonts w:ascii="Times New Roman" w:cs="Times New Roman" w:eastAsia="Times New Roman" w:hAnsi="Times New Roman"/>
          <w:sz w:val="28"/>
          <w:szCs w:val="28"/>
        </w:rPr>
        <w:t xml:space="preserve">2023 yildan 18 yoshdan katta avval tekshirilmagan fuqarolar oilaviy poliklinikalarda ixtiyoriy roziligiga ko'ra elektron platformada ro'yxatga olinib, ekspress-testlar bilan skriningdan o'tkaziladi; VGB aniqlangan bemorlar haqida Sanepidqo'm tuman bo'limlariga axborot beriladi, ular gepatomarkazlarga yo'llanadi, u yerda AFP, PIVKA va HBsAg miqdoriy tekshiruvlari o'tkaziladi [3]. JSST: o'tkir VGBda maxsus davo yo'q; surunkali VGBda tenofovir yoki entekavir qo'llanadi, ko'pchilikda umr bo'yi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VGB o'choqlarida epidemiyaga qarshi tadbirlar bemorni ro'yxatga olish va yotqizish, kontaktdagilarni 6 oy kuzatish va tekshirish, uy-maishiy buyumlarni ajratish, surunkali o'choqlarni yarim yilda bir kuzatishdan iborat. Maxsus profilaktika – vaksina bilan emlash (chaqaloqlar, kontaktdagilar, xavf guruhlari), onadan bolaga yuqishni to'xtatish. Milliy yo'riqnomadagi 3–12 soatlik emlash muddati JSST tavsiyasidagi 24 soatdan qisqa; onaga antiviral profilaktika milliy yo'riqnomada keltirilmagan.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p>
      <w:pPr>
        <w:pStyle w:val="ListParagraph"/>
        <w:numPr>
          <w:ilvl w:val="0"/>
          <w:numId w:val="6"/>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085. Virusli gepatit B kasalligida epidemiyaga qarshi tadbirlar va maxsus profilaktika choralari</dc:title>
  <dc:creator>Epidemiologiya</dc:creator>
  <cp:lastModifiedBy>Un-named</cp:lastModifiedBy>
  <cp:revision>1</cp:revision>
  <dcterms:created xsi:type="dcterms:W3CDTF">2026-10-30T11:42:12.469Z</dcterms:created>
  <dcterms:modified xsi:type="dcterms:W3CDTF">2026-10-30T11:42:12.469Z</dcterms:modified>
</cp:coreProperties>
</file>

<file path=docProps/custom.xml><?xml version="1.0" encoding="utf-8"?>
<Properties xmlns="http://schemas.openxmlformats.org/officeDocument/2006/custom-properties" xmlns:vt="http://schemas.openxmlformats.org/officeDocument/2006/docPropsVTypes"/>
</file>