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086. Virusli gepatit C da epidemik jarayonning xususiyatlari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Virusli gepatit C (VGS) – gepatit C virusi (HCV) keltirib chiqaradigan jigar infeksiyasi; o'tkir va surunkali kechadi, og'irligi yengil kasallikdan umr bo'yi davom etadigan sirroz va saratongacha. JSST ma'lumotiga ko'ra dunyoda 47 million kishi surunkali VGS bilan yashaydi, har yili taxminan 0,9 million yangi yuqish bo'ladi va 2024 yilda 239 ming kishi vafot etgan; samarali vaksina yo'q, lekin bevosita ta'sir qiluvchi antivirus dorilar bemorlarning 95% dan ko'pini davolaydi [1]. VGS epidemik jarayonining asosiy o'ziga xosligi uning yashirinligi: o'tkir shakllar odatda simptomsiz, surunkali infeksiya o'nlab yillar belgisiz kechadi, shuning uchun epidemiya «ko'rinmas» tarqaladi. VGS ko'pincha VGB bilan bir xil xavf guruhlarida uchraydi [4]; VGB ga qarshi vaksinatsiya VGD dan ham himoyalaydi, VGS ga esa vaksina yo'q [2][1]. Taqdimotda gepatitlar etiologiyasiga ko'ra enteral (A, E) va parenteral (B, C, D) guruhlarga bo'linishi, surunkali shakl kasallik 6 oydan ortiq davom etganda tashxis qilinishi ko'rsatilgan [5]. Quyida epidemik jarayon bo'g'inlari va profilaktika yoritiladi.</w:t>
      </w:r>
    </w:p>
    <w:p>
      <w:pPr>
        <w:pStyle w:val="Heading2"/>
        <w:spacing w:after="100" w:before="200"/>
      </w:pPr>
      <w:r>
        <w:rPr>
          <w:rFonts w:ascii="Times New Roman" w:cs="Times New Roman" w:eastAsia="Times New Roman" w:hAnsi="Times New Roman"/>
          <w:b/>
          <w:bCs/>
          <w:sz w:val="28"/>
          <w:szCs w:val="28"/>
        </w:rPr>
        <w:t xml:space="preserve">Epidemik jarayon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Flaviviridae oilasiga mansub, 30–60 nm o'lchamli, qobiqli RNK-virus; qonda iz miqdorlarda uchraydi, past zichlikdagi lipoproteinlar va antitelalar bilan bog'langan; 8 genotip va 100 dan ortiq kenja tip ma'lum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o'tkir va surunkali VGS ning barcha shakllari bilan og'rigan bemorlar, asosiy ahamiyat simptomsiz yoki kam simptomli bemorlarda [2]. JSST: o'tkir infeksiya odatda simptomsiz; zararlanganlarning taxminan 30% (15–45%) i 6 oy ichida davolanishsiz virusdan tozalanadi, qolgan 70% (55–85%) da surunkali infeksiya rivojlanadi; surunkali infeksiyada 20 yil ichida sirroz xavfi 15–30%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parenteral: sun'iy yo'l – gemotransfuziya yoki parenteral muolajalar (in'ektsiya, abort, emlash, stomatologik muolajalar va b.), tabiiy yo'llar qon va qisman boshqa suyuqliklar orqali; virus RNKsi so'lak, siydik, urug' va astsit suyuqligida topilishi mumkin, ammo jinsiy kontaktda VGS bilan kasallanish ehtimoli VGB ga qaraganda ancha kam; maishiy, jinsiy va ona-bola yo'llari ham bo'lishi mumkin, ammo VGB ga nisbatan ancha kam uchraydi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JSST bo'yicha asosiy yo'llar: tibbiy asbob-uskunalarni (ayniqsa shprits va ignalarni) qayta ishlatish yoki yetarlicha sterilizatsiya qilmaslik; tekshirilmagan qon va qon mahsulotlarini quyish; in'ektsion giyohvandlar umumiy asboblari; kamroq – onadan bolaga va qon bilan kontaktga olib keladigan jinsiy amaliyotlar. VGS ona suti, ovqat, suv yoki oddiy kontakt (quchoqlash, o'pish, ovqatni birga yeyish) orqali yuqmaydi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Inkubatsion davr yo'riqnomada 2–26 hafta (o'rtacha 6–8 hafta), JSST bo'yicha simptomlar zararlanishdan 2 hafta – 6 oy o'tib paydo bo'lishi mumkin [1][2].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 aholi: umumiy moyillik; xavf guruhlari – in'ektsion giyohvandlar, gemofiliya bilan kasallanganlar, qon oluvchilar, gemodializ bemorlari, takroriy tibbiy muolajalar olganlar, tibbiyot xodimlari, mahbuslar, OIV bilan yashovchilar [1][2].</w:t>
      </w:r>
    </w:p>
    <w:p>
      <w:pPr>
        <w:pStyle w:val="Heading2"/>
        <w:spacing w:after="100" w:before="200"/>
      </w:pPr>
      <w:r>
        <w:rPr>
          <w:rFonts w:ascii="Times New Roman" w:cs="Times New Roman" w:eastAsia="Times New Roman" w:hAnsi="Times New Roman"/>
          <w:b/>
          <w:bCs/>
          <w:sz w:val="28"/>
          <w:szCs w:val="28"/>
        </w:rPr>
        <w:t xml:space="preserve">Epidemik jarayonning namoyon bo'lishi</w:t>
      </w:r>
    </w:p>
    <w:p>
      <w:pPr>
        <w:spacing w:after="120" w:line="276"/>
        <w:ind w:firstLine="567"/>
        <w:jc w:val="both"/>
      </w:pPr>
      <w:r>
        <w:rPr>
          <w:rFonts w:ascii="Times New Roman" w:cs="Times New Roman" w:eastAsia="Times New Roman" w:hAnsi="Times New Roman"/>
          <w:sz w:val="28"/>
          <w:szCs w:val="28"/>
        </w:rPr>
        <w:t xml:space="preserve">VGS hamma joyda uchraydi, lekin notekis tarqalgan: eng ko'p yuk Sharqiy O'rta yer dengizi mintaqasida (12 million surunkali zararlangan), Janubi-Sharqiy Osiyo va Yevropada (har biri 9 million), G'arbiy Tinch okeanida (7 million), Afrikada (8 million) va Amerikada (5 million) [1]. Yo'riqnomada dunyoda taxminan 500 million HCV bilan zararlangan va ularning taxminan yarmida yuqish yo'li noma'lum deb keltirilgan – bu eski baho JSSTning hozirgi bahosidan (47 million surunkali) keskin farq qiladi [1][2]. VGS post-transfuzion gepatitning asosiy omillaridan biri hisoblanadi, ko'pincha gemofiliya bemorlarida uchraydi [2]. Ko'pchilik zararlanganlar o'z holatini bilmaydi: 2015–2024 yillarda VGS bilan zararlangan 68 million kishining 36% i tashxisni bilgan, tashxis qo'yilganlarning taxminan 20% i davolangan [1].</w:t>
      </w:r>
    </w:p>
    <w:p>
      <w:pPr>
        <w:pStyle w:val="Heading2"/>
        <w:spacing w:after="100" w:before="200"/>
      </w:pPr>
      <w:r>
        <w:rPr>
          <w:rFonts w:ascii="Times New Roman" w:cs="Times New Roman" w:eastAsia="Times New Roman" w:hAnsi="Times New Roman"/>
          <w:b/>
          <w:bCs/>
          <w:sz w:val="28"/>
          <w:szCs w:val="28"/>
        </w:rPr>
        <w:t xml:space="preserve">Laborator tashxis</w:t>
      </w:r>
    </w:p>
    <w:p>
      <w:pPr>
        <w:spacing w:after="120" w:line="276"/>
        <w:ind w:firstLine="567"/>
        <w:jc w:val="both"/>
      </w:pPr>
      <w:r>
        <w:rPr>
          <w:rFonts w:ascii="Times New Roman" w:cs="Times New Roman" w:eastAsia="Times New Roman" w:hAnsi="Times New Roman"/>
          <w:sz w:val="28"/>
          <w:szCs w:val="28"/>
        </w:rPr>
        <w:t xml:space="preserve">VGS tashxisi ikki bosqichda qo'yiladi: anti-HCV antitelalarini serologik aniqlash; antitela musbat bo'lsa, surunkali infeksiyani va davolash zarurligini tasdiqlash uchun HCV RNK aniqlanadi (laboratoriyada yoki klinikada nuqtaviy apparatda); keyin jigar shikastlanishi (fibroz, sirroz) baholanadi [1]. O'zbekistonda anti-HCV musbat bemorlar qoni PZR tekshiruvi uchun yuboriladi [3].</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Samarali vaksina yo'q – eng yaxshi yo'l zararlangan qon bilan kontaktdan saqlanish: xavfsiz in'ektsiyalar va muolajalar, igna va tibbiy chiqindilarni xavfsiz boshqarish, in'ektsion giyohvandlar uchun zararni kamaytirish xizmatlari (igna almashtirish, narkologik maslahat, opioid agonistlari bilan terapiya), donor qonini tekshirish, prezervativ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O'choqlarda tadbirlar inkubatsion davr va kontakt darajasiga bog'liq. Uy va tashkil etilgan o'choqlarda shaxsiy gigiena buyumlari (tish cho'tkasi, ustara, manikyur-pedikyur to'plamlari) alohida bo'lishi; umumiy ishlatish aniqlansa kontaktdagilar ro'yxati tuzilib, infeksiyonist shifokorga laborator tekshiruv va kerak bo'lsa dispanser hisobi uchun beriladi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Maishiy xizmat obyektlarida manikyur, pedikyur va tatuaj asboblari soni kunlik mijozlar soniga mos bo'lishi va yo'riqnoma bo'yicha dezinfeksiya qilinishi yoki mijozlarning shaxsiy to'plamlaridan foydalanilishi kerak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Tibbiyot muassasasida VGS aniqlansa, yuqish yo'lini uzish tadbirlari VGB dagi kabi; anti-HCV aniqlangan donorlar umrbod donorlikdan chetlashtiriladi; donorlar, konservalangan qon va uning hosilalarini VGS ga tekshirish majburiy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O'tkir VGS o'choqlarida kontaktdagilar bemor yotqizilganidan 6 oy tibbiy kuzatuvda bo'ladi, shifokor ko'rigi 2 oyda bir marta, ALT faolligi va anti-HCV aniqlanadi; birinchi tekshiruvda himoyalovchi darajadagi anti-HCV aniqlanganlar keyin tekshirilmaydi; anti-HCV va ALT oshgan shaxslar jigar ultratovushi bilan chuqur tekshiriladi [2].</w:t>
      </w:r>
    </w:p>
    <w:p>
      <w:pPr>
        <w:pStyle w:val="Heading2"/>
        <w:spacing w:after="100" w:before="200"/>
      </w:pPr>
      <w:r>
        <w:rPr>
          <w:rFonts w:ascii="Times New Roman" w:cs="Times New Roman" w:eastAsia="Times New Roman" w:hAnsi="Times New Roman"/>
          <w:b/>
          <w:bCs/>
          <w:sz w:val="28"/>
          <w:szCs w:val="28"/>
        </w:rPr>
        <w:t xml:space="preserve">Davolash va milliy dastur</w:t>
      </w:r>
    </w:p>
    <w:p>
      <w:pPr>
        <w:pStyle w:val="ListParagraph"/>
        <w:numPr>
          <w:ilvl w:val="0"/>
          <w:numId w:val="4"/>
        </w:numPr>
        <w:spacing w:after="60" w:line="276"/>
        <w:jc w:val="both"/>
      </w:pPr>
      <w:r>
        <w:rPr>
          <w:rFonts w:ascii="Times New Roman" w:cs="Times New Roman" w:eastAsia="Times New Roman" w:hAnsi="Times New Roman"/>
          <w:sz w:val="28"/>
          <w:szCs w:val="28"/>
        </w:rPr>
        <w:t xml:space="preserve">JSST kattalar, o'smirlar va 3 yoshdan katta bolalarda surunkali VGS ni pan-genotipik bevosita ta'sir qiluvchi antivirus dorilar bilan davolashni tavsiya etadi; kurs odatda 12–24 hafta, nojo'ya ta'sirlar kam, ko'plab mamlakatlarda standart davo narxi 50 AQSh dollaridan past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O'zbekistonda 2023 yil 95-son buyruq aholini «V» va «S» gepatitga skrining, tasdiqlovchi tekshiruvlar va VGS ni davolashni bepul qiladi; PZR bilan VGS aniqlangan bemorlar davlat byudjeti hisobidan antivirus preparatlarini bepul oladi; skrining oilaviy poliklinikalarda ekspress-testlar bilan o'tkaziladi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JSST testlash, davolash va parvarishni o'qitilgan nomutaxassis shifokor va hamshiralar, birlamchi tibbiy yordam, zararni kamaytirish xizmatlari va qamoqxonalarda amalga oshirishni tavsiya etadi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VGS epidemik jarayonining o'ziga xosligi: parenteral mexanizm, simptomsiz o'tkir shakl, ~70% da surunkalilashish, ko'p odamning o'z holatini bilmasligi, tibbiy va in'ektsion yo'llarning ustuvorligi va vaksina yo'qligi. Profilaktikaning asosi – in'ektsion va qon xavfsizligi, xavf guruhlarini skrining qilish va barcha tashxis qo'yilganlarni bevosita ta'sir qiluvchi dorilar bilan davolash; milliy dastur 95-son buyruq bilan bepul skrining va davolashni ta'minlaydi.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Hepatitis C (fact sheet). URL: https://www.who.int/news-room/fact-sheets/detail/hepatitis-c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2018-yil 27-avgustdagi 542-son buyrug'iga 1-ilova: «Virusli gepatitlar epidemiologiyasi, profilaktik va epidemiyaga qarshi tadbirlarni tashkil etish» yo'riqnomasi (rus tilidagi matn). Manba: xayrullokomilov.uz/kutubxona, material № 484.</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2023-yil 1-maydagi 95-son buyrug'i: aholi orasida virusli gepatitning «V» va «S» turlarini erta aniqlash va davolash tadbirlarini amalga oshirish tartibi. Manba: xayrullokomilov.uz/kutubxona, material № 343 (matn lotin yozuvida).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Hepatitis B (fact sheet). URL: https://www.who.int/news-room/fact-sheets/detail/hepatitis-b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Usmanova R.G. Virusli gepatitlar (taqdimot). Manba: xayrullokomilov.uz/kutubxona, material № 1472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086. Virusli gepatit C da epidemik jarayonning xususiyatlari va profilaktikasi</dc:title>
  <dc:creator>Epidemiologiya</dc:creator>
  <cp:lastModifiedBy>Un-named</cp:lastModifiedBy>
  <cp:revision>1</cp:revision>
  <dcterms:created xsi:type="dcterms:W3CDTF">2026-10-30T11:43:32.801Z</dcterms:created>
  <dcterms:modified xsi:type="dcterms:W3CDTF">2026-10-30T11:43:32.801Z</dcterms:modified>
</cp:coreProperties>
</file>

<file path=docProps/custom.xml><?xml version="1.0" encoding="utf-8"?>
<Properties xmlns="http://schemas.openxmlformats.org/officeDocument/2006/custom-properties" xmlns:vt="http://schemas.openxmlformats.org/officeDocument/2006/docPropsVTypes"/>
</file>