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67. Pnevmokokk kasalliklarining immuniteti. Umumiy va maxsus profilaktikasi, davosi.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Pnevmokokk infeksiyasi keng tarqalgan va og'ir asoratlar bilan kechishi mumkin. Shu sababli kasallikdan keyingi immunitet, profilaktika va davolash prinsiplari laboratoriya xodimi uchun ham muhim: u tashuvchilarni aniqlash, kulturalarni identifikatsiya qilish, serotip va antibiotik sezuvchanligini aniqlash orqali epidemiologik nazoratda qatnashadi [1][2]. Mavzuda pnevmokokk infeksiyasida immunitet xususiyatlari, umumiy va maxsus profilaktika hamda davolash asoslari yoritiladi.</w:t>
      </w:r>
    </w:p>
    <w:p>
      <w:pPr>
        <w:pStyle w:val="Heading2"/>
      </w:pPr>
      <w:r>
        <w:rPr>
          <w:rFonts w:ascii="Times New Roman" w:hAnsi="Times New Roman" w:eastAsia="Times New Roman"/>
          <w:b/>
          <w:sz w:val="28"/>
        </w:rPr>
        <w:t>Immunitet</w:t>
      </w:r>
    </w:p>
    <w:p>
      <w:pPr>
        <w:spacing w:line="276" w:lineRule="auto"/>
        <w:ind w:firstLine="709"/>
        <w:jc w:val="both"/>
      </w:pPr>
      <w:r>
        <w:rPr>
          <w:rFonts w:ascii="Times New Roman" w:hAnsi="Times New Roman" w:eastAsia="Times New Roman"/>
          <w:b w:val="0"/>
          <w:sz w:val="28"/>
        </w:rPr>
        <w:t>Pnevmokokk kasalligidan keyin kuchsiz immunitet hosil bo'ladi va kasallik qaytalanishi mumkin [1]. Pnevmokokkning virulentligi polisaxarid kapsula bilan bog'liq bo'lgani uchun himoya, birinchi navbatda, kapsula antigenlariga qarshi antitelolar va fagotsitozga bog'liq: kapsula antifagotsitar faollik beradi, antitelalar-opsoninlar esa fagotsitozni tezlashtiradi [3][4]. Immunitet tur ichidagi serotipga xos bo'lishi ehtimoli kapsula antigenining xilma-xilligidan kelib chiqadi (serotiplar soni 84 dan 90 dan ortiqqacha ko'rsatiladi) [1][3] (muallif izohi: bu xulosa manbalardagi ma'lumotlarga asoslangan mantiqiy talqin). Bolalarda va rezistentligi pasaygan odamlarda (qand kasalligi, OITS va boshqalar) kasallik og'irroq kechadi [2].</w:t>
      </w:r>
    </w:p>
    <w:p>
      <w:pPr>
        <w:pStyle w:val="Heading2"/>
      </w:pPr>
      <w:r>
        <w:rPr>
          <w:rFonts w:ascii="Times New Roman" w:hAnsi="Times New Roman" w:eastAsia="Times New Roman"/>
          <w:b/>
          <w:sz w:val="28"/>
        </w:rPr>
        <w:t>Umumiy profilaktika</w:t>
      </w:r>
    </w:p>
    <w:p>
      <w:pPr>
        <w:spacing w:line="276" w:lineRule="auto"/>
        <w:ind w:firstLine="709"/>
        <w:jc w:val="both"/>
      </w:pPr>
      <w:r>
        <w:rPr>
          <w:rFonts w:ascii="Times New Roman" w:hAnsi="Times New Roman" w:eastAsia="Times New Roman"/>
          <w:b w:val="0"/>
          <w:sz w:val="28"/>
        </w:rPr>
        <w:t>Umumiy profilaktika shaxsiy va umumiy gigiyena qoidalariga rioya qilish, bemorlarni vaqtida aniqlash, tashxis qo'yish va davolash, aholi orasida sanitariya-ma'rifiy ishlarni olib borishdan iborat [1]. Pnevmokokk havo-tomchi yo'li bilan tarqalgani uchun bolalar jamoalarida va yopiq muassasalarda bemor va tashuvchilarni aniqlash muhim; ayniqsa bolalar pnevmokokk infeksiyasining asosiy manbalari, ular kattalarni ham yuqtiradi [3].</w:t>
      </w:r>
    </w:p>
    <w:p>
      <w:pPr>
        <w:pStyle w:val="Heading2"/>
      </w:pPr>
      <w:r>
        <w:rPr>
          <w:rFonts w:ascii="Times New Roman" w:hAnsi="Times New Roman" w:eastAsia="Times New Roman"/>
          <w:b/>
          <w:sz w:val="28"/>
        </w:rPr>
        <w:t>Maxsus profilaktika</w:t>
      </w:r>
    </w:p>
    <w:p>
      <w:pPr>
        <w:spacing w:line="276" w:lineRule="auto"/>
        <w:ind w:firstLine="709"/>
        <w:jc w:val="both"/>
      </w:pPr>
      <w:r>
        <w:rPr>
          <w:rFonts w:ascii="Times New Roman" w:hAnsi="Times New Roman" w:eastAsia="Times New Roman"/>
          <w:b w:val="0"/>
          <w:sz w:val="28"/>
        </w:rPr>
        <w:t>G'anixo'jayeva darsligida (2002) pnevmokokk uchun maxsus profilaktika yo'qligi ko'rsatilgan [1]. Hozirgi O'zbekiston immunoprofilaktika me'yorlarida esa pnevmokokk infeksiyasiga qarshi vaksina profilaktik emlash kalendariga kiritilgan: SanQvaN № 0239-07 (3-son, 2017) va «Emlash kalendari» ga ko'ra emlash 2 oylikda (PNEVMO-1), 3 oylikda (PNEVMO-2) va 12 oylikda (PNEVMO-3) o'tkaziladi [5][6]. Kalendar bo'yicha qolgan emlashlar, masalan, pentavalent vaksina (AKDS + gepatit B + XIB) va OPV ham shu yoshlarda beriladi [6]. Eski adabiyotdagi ma'lumot (2002) bilan hozirgi kalendar o'rtasidagi bu farq pnevmokokk konyugirlangan vaksinaning keyinchalik joriy etilganini ko'rsatadi.</w:t>
      </w:r>
    </w:p>
    <w:p>
      <w:pPr>
        <w:spacing w:line="276" w:lineRule="auto"/>
        <w:ind w:firstLine="709"/>
        <w:jc w:val="both"/>
      </w:pPr>
      <w:r>
        <w:rPr>
          <w:rFonts w:ascii="Times New Roman" w:hAnsi="Times New Roman" w:eastAsia="Times New Roman"/>
          <w:b w:val="0"/>
          <w:sz w:val="28"/>
        </w:rPr>
        <w:t>Vaksinalar turlari. Komponentli (kimyoviy) pnevmokokk vaksinasi mikroorganizmning kapsula polisaxaridi asosida tayyorlanadi [4]. MR 4.2.0114-16 ga ko'ra invaziv kasalliklarning 90 % dan ortig'ini 23 ta serotip keltirib chiqaradi va ular keng qo'llaniladigan polisaxarid vaksina tarkibiga kiradi (1, 2, 3, 4, 5, 6B, 7F, 8, 9N, 9V, 10A, 11A, 12F, 14, 15B, 17F, 18C, 19F, 19A, 20, 22F, 23F, 33F) [3]. Serotiplar tarqalishini PCR yordamida o'rganish immunoprofilaktikani oqilona rejalashtirish va vaksinalar samaradorligini monitoring qilish uchun ishlatiladi [3].</w:t>
      </w:r>
    </w:p>
    <w:p>
      <w:pPr>
        <w:pStyle w:val="Heading2"/>
      </w:pPr>
      <w:r>
        <w:rPr>
          <w:rFonts w:ascii="Times New Roman" w:hAnsi="Times New Roman" w:eastAsia="Times New Roman"/>
          <w:b/>
          <w:sz w:val="28"/>
        </w:rPr>
        <w:t>Emlash qoidalari va qarshi ko'rsatmalar</w:t>
      </w:r>
    </w:p>
    <w:p>
      <w:pPr>
        <w:spacing w:line="276" w:lineRule="auto"/>
        <w:ind w:firstLine="709"/>
        <w:jc w:val="both"/>
      </w:pPr>
      <w:r>
        <w:rPr>
          <w:rFonts w:ascii="Times New Roman" w:hAnsi="Times New Roman" w:eastAsia="Times New Roman"/>
          <w:b w:val="0"/>
          <w:sz w:val="28"/>
        </w:rPr>
        <w:t>SanQvaN № 0239-07 ga ko'ra amalda emlashga bo'lgan barcha qarshi ko'rsatmalar vaqtinchalik hisoblanadi; ular muntazam kuzatiladi va imkoniyat paydo bo'lishi bilanoq bola emlanishi kerak. O'rtacha og'irlikdagi va og'ir somatik hamda yuqumli kasalliklar bilan kasallanganlar sog'ayganidan 3–14 kun keyin emlanadi; o'tkir nafas yo'llari kasalliklari va og'ir bo'lmagan diareya emlash uchun qarshi ko'rsatma hisoblanmaydi. Bolaning umumiy ahvoli qoniqarli bo'lsa, emlash o'tkazilishi lozim. Avval vaksina yuborilganda kuchli reaksiya yoki asoratlar kuzatilgan bo'lsa, shuningdek vaksina tarkibiy qismiga anafilaktik reaksiya bo'lgan bo'lsa, o'sha vaksina bilan emlanmaydi [5]. Bir xil vaksina dozalari orasidagi interval kamida bir oy; bir vaqtning o'zida bir necha turdagi vaksinani alohida shpritslarda tananing turli joylariga yuborish mumkin; emlash o'tkazib yuborilsa, takrorlanmaydi, navbatdagi emlash o'tkaziladi [5]. Tibbiy xodim tomonidan asossiz tibbiy cheklov belgilash qoida buzilishi hisoblanadi [5]. Eski darslikda (2002) harorat ko'tarilganda, o'tkir yuqumli kasalliklarda va allergiyada emlanmasligi ko'rsatilgan [7]; hozirgi me'yoriy hujjat uni aniqlashtirgan (hisobotda qayd etiladi).</w:t>
      </w:r>
    </w:p>
    <w:p>
      <w:pPr>
        <w:spacing w:line="276" w:lineRule="auto"/>
        <w:ind w:firstLine="709"/>
        <w:jc w:val="both"/>
      </w:pPr>
      <w:r>
        <w:rPr>
          <w:rFonts w:ascii="Times New Roman" w:hAnsi="Times New Roman" w:eastAsia="Times New Roman"/>
          <w:b w:val="0"/>
          <w:sz w:val="28"/>
        </w:rPr>
        <w:t>Pnevmokokk vaksinasiga qarshi ko'rsatmalar va emlash reaksiyalari bolalik davri immunoprofilaktikasi bo'yicha o'quv savollarida alohida mavzu sifatida qayd etilgan [8].</w:t>
      </w:r>
    </w:p>
    <w:p>
      <w:pPr>
        <w:pStyle w:val="Heading2"/>
      </w:pPr>
      <w:r>
        <w:rPr>
          <w:rFonts w:ascii="Times New Roman" w:hAnsi="Times New Roman" w:eastAsia="Times New Roman"/>
          <w:b/>
          <w:sz w:val="28"/>
        </w:rPr>
        <w:t>Sezuvchanlikni aniqlash</w:t>
      </w:r>
    </w:p>
    <w:p>
      <w:pPr>
        <w:spacing w:line="276" w:lineRule="auto"/>
        <w:ind w:firstLine="709"/>
        <w:jc w:val="both"/>
      </w:pPr>
      <w:r>
        <w:rPr>
          <w:rFonts w:ascii="Times New Roman" w:hAnsi="Times New Roman" w:eastAsia="Times New Roman"/>
          <w:b w:val="0"/>
          <w:sz w:val="28"/>
        </w:rPr>
        <w:t>Pnevmokokklarning sezuvchanligi EUCAST disk-diffuziya usulida 5 % mexanik defibrinlangan ot qoni qo'shilgan Myuller–Xinton agarida aniqlanadi; inokulum uchun qonli agarda o'sgan koloniyalar afzal (shokoladli agardan olinsa, suspenziya zichligi 1,0 McFarland gacha keltiriladi); inkubatsiya 35 ± 1 °C da 4–6 % CO2 atmosferasida 16–20 soat davom etadi [9]. Natijalar shifokorga dori tanlashda asos bo'ladi: laborant ularni to'g'ri tayyorlangan muhit, standart inokulum va nazorat shtammlari bilan olishi lozim.</w:t>
      </w:r>
    </w:p>
    <w:p>
      <w:pPr>
        <w:pStyle w:val="Heading2"/>
      </w:pPr>
      <w:r>
        <w:rPr>
          <w:rFonts w:ascii="Times New Roman" w:hAnsi="Times New Roman" w:eastAsia="Times New Roman"/>
          <w:b/>
          <w:sz w:val="28"/>
        </w:rPr>
        <w:t>Umumiy xulosalar bo'yicha laboratoriya jihati</w:t>
      </w:r>
    </w:p>
    <w:p>
      <w:pPr>
        <w:spacing w:line="276" w:lineRule="auto"/>
        <w:ind w:firstLine="709"/>
        <w:jc w:val="both"/>
      </w:pPr>
      <w:r>
        <w:rPr>
          <w:rFonts w:ascii="Times New Roman" w:hAnsi="Times New Roman" w:eastAsia="Times New Roman"/>
          <w:b w:val="0"/>
          <w:sz w:val="28"/>
        </w:rPr>
        <w:t>Pnevmokokk infeksiyasi profilaktikasi bo'yicha laboratoriya ishi uch yo'nalishda boradi: (1) bemor va tashuvchilardan material olib, S. pneumoniae ni aniqlash; (2) ajratilgan kulturalarning antibiotiklarga sezuvchanligini kuzatish; (3) serotip tarqalishini o'rganish (kapsulaning bo'rtishi reaksiyasi, latex-agglyutinatsiya, PCR) [3]. Natijalar emlash siyosati va davolash standartlarini asoslashga xizmat qiladi (muallif izohi).</w:t>
      </w:r>
    </w:p>
    <w:p>
      <w:pPr>
        <w:pStyle w:val="Heading2"/>
      </w:pPr>
      <w:r>
        <w:rPr>
          <w:rFonts w:ascii="Times New Roman" w:hAnsi="Times New Roman" w:eastAsia="Times New Roman"/>
          <w:b/>
          <w:sz w:val="28"/>
        </w:rPr>
        <w:t>Davolash</w:t>
      </w:r>
    </w:p>
    <w:p>
      <w:pPr>
        <w:spacing w:line="276" w:lineRule="auto"/>
        <w:ind w:firstLine="709"/>
        <w:jc w:val="both"/>
      </w:pPr>
      <w:r>
        <w:rPr>
          <w:rFonts w:ascii="Times New Roman" w:hAnsi="Times New Roman" w:eastAsia="Times New Roman"/>
          <w:b w:val="0"/>
          <w:sz w:val="28"/>
        </w:rPr>
        <w:t>G'anixo'jayeva darsligida bemorlarni sulfanilamid preparatlari (norsulfazol va boshqalar), penitsillin, biomitsin va boshqa antibiotiklar bilan davolash ko'rsatilgan [1]. Hozirgi davrda antibiotik tanlash sezuvchanlik natijalariga asoslanadi. MR da keltirilishicha, Rossiyada nosteril lokuslardan ajratilgan pnevmokokklarning o'rtacha 11 % penitsillinga, 7 % makrolidlarga, 25 % tetratsiklinlarga, 39 % ko-trimoksazolga chidamli; 14,5 % shtamm polirezistent; 23, 19 va 6-serogruppali shtammlar ko'pincha chidamli bo'ladi [3]. Antibiotiklarga sezuvchanlikni aniqlashda EUCAST yondashuvi tavsiya etiladi, u mikrobiologik va klinik sezuvchanlik/chidamlilik o'rtasidagi farqni inobatga oladi va klinik mezonlarni farmakokinetik/farmakodinamik qonuniyatlarga asoslaydi [3]. Optoxinga chidamli shtammlar (10 % gacha) ko'pincha β-laktamlarga ham chidamli [3].</w:t>
      </w:r>
    </w:p>
    <w:p>
      <w:pPr>
        <w:pStyle w:val="Heading2"/>
      </w:pPr>
      <w:r>
        <w:rPr>
          <w:rFonts w:ascii="Times New Roman" w:hAnsi="Times New Roman" w:eastAsia="Times New Roman"/>
          <w:b/>
          <w:sz w:val="28"/>
        </w:rPr>
        <w:t>Laboratoriyaning roli</w:t>
      </w:r>
    </w:p>
    <w:p>
      <w:pPr>
        <w:spacing w:line="276" w:lineRule="auto"/>
        <w:ind w:firstLine="709"/>
        <w:jc w:val="both"/>
      </w:pPr>
      <w:r>
        <w:rPr>
          <w:rFonts w:ascii="Times New Roman" w:hAnsi="Times New Roman" w:eastAsia="Times New Roman"/>
          <w:b w:val="0"/>
          <w:sz w:val="28"/>
        </w:rPr>
        <w:t>Laboratoriya pnevmokokk infeksiyasi profilaktikasida va davosida quyidagi vazifalarni bajaradi: material tekshiruvi orqali etiologik tashxis qo'yish; sezuvchanlik aniqlash; serotipni (kapsulaning bo'rtishi reaksiyasi, latex-agglyutinatsiya yoki PCR bilan) aniqlash; tashuvchilarni aniqlash. Natijaning aniqligi nafaqat bemor davosi, balki epidemiologik chora-tadbirlar rejasi uchun ham muhim (muallif izohi).</w:t>
      </w:r>
    </w:p>
    <w:p>
      <w:pPr>
        <w:spacing w:line="276" w:lineRule="auto"/>
        <w:ind w:firstLine="709"/>
        <w:jc w:val="both"/>
      </w:pPr>
      <w:r>
        <w:rPr>
          <w:rFonts w:ascii="Times New Roman" w:hAnsi="Times New Roman" w:eastAsia="Times New Roman"/>
          <w:b w:val="0"/>
          <w:sz w:val="28"/>
        </w:rPr>
        <w:t>Qisqacha aytganda, pnevmokokk infeksiyasi bo'yicha asosiy amaliy xulosa shuki, kasallikdan keyingi tabiiy himoya ishonchli emas, shuning uchun himoya asosan emlash va infeksiya manbalarini nazorat qilish orqali ta'minlanadi.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Pnevmokokk kasalligidan keyingi immunitet kuchsiz, kasallik qaytalanishi mumkin. Umumiy profilaktika gigiyena va bemor hamda tashuvchilarni aniqlashga asoslangan; maxsus profilaktika sifatida O'zbekiston emlash kalendarida 2, 3 va 12 oylikda pnevmokokk vaksinasi ko'zda tutilgan. Davolashda antibiotiklar sezuvchanlikka qarab tanlanadi, chunki chidamli shtammlar ulushi ortib bormoqda.</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[2]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[3] MR 4.2.0114—16. Jamoat pnevmoniyasining pnevmokokk etiologiyasini laboratoriya diagnostikasi: uslubiy tavsiyalar (rus tilida). Moskva: Rospotrebnadzor; 2017. 64 b. (Rossiya Federatsiyasi hujjati; O'zbekistonda rasmiy qo'llanilishi tasdiqlanmagan.) Xayrullo Komilov kutubxonasi, id 2089: https://xayrullokomilov.uz/kutubxona/2089</w:t>
      </w:r>
    </w:p>
    <w:p>
      <w:pPr>
        <w:spacing w:line="276" w:lineRule="auto"/>
        <w:jc w:val="left"/>
      </w:pPr>
      <w:r>
        <w:rPr>
          <w:rFonts w:ascii="Times New Roman" w:hAnsi="Times New Roman" w:eastAsia="Times New Roman"/>
          <w:b w:val="0"/>
          <w:sz w:val="24"/>
        </w:rPr>
        <w:t>[4] Aliyev ShR, Muxamedov IM. Mikrobiologiyadan laboratoriya mashg'ulotlariga doir qo'llanma — «Immunoprofilaktika va immunoterapiya» bo'limi (komponentli vaksinalar). Xayrullo Komilov kutubxonasi, id 2355: https://xayrullokomilov.uz/kutubxona/2355</w:t>
      </w:r>
    </w:p>
    <w:p>
      <w:pPr>
        <w:spacing w:line="276" w:lineRule="auto"/>
        <w:jc w:val="left"/>
      </w:pPr>
      <w:r>
        <w:rPr>
          <w:rFonts w:ascii="Times New Roman" w:hAnsi="Times New Roman" w:eastAsia="Times New Roman"/>
          <w:b w:val="0"/>
          <w:sz w:val="24"/>
        </w:rPr>
        <w:t>[5] SanQvaN (SanPiN) № 0239-07. O'zbekiston Respublikasida yuqumli kasalliklar immunoprofilaktikasi (3-son, 25.07.2017; lex.uz/docs/5524039) (kirill yozuvida). Xayrullo Komilov kutubxonasi, id 814: https://xayrullokomilov.uz/kutubxona/814</w:t>
      </w:r>
    </w:p>
    <w:p>
      <w:pPr>
        <w:spacing w:line="276" w:lineRule="auto"/>
        <w:jc w:val="left"/>
      </w:pPr>
      <w:r>
        <w:rPr>
          <w:rFonts w:ascii="Times New Roman" w:hAnsi="Times New Roman" w:eastAsia="Times New Roman"/>
          <w:b w:val="0"/>
          <w:sz w:val="24"/>
        </w:rPr>
        <w:t>[6] O'zbekiston Respublikasida profilaktik emlashlar o'tkazish kalendar rejasi («Emlash kalendari», sanasi ko'rsatilmagan; uch tilda). Xayrullo Komilov kutubxonasi, id 1420: https://xayrullokomilov.uz/kutubxona/1420</w:t>
      </w:r>
    </w:p>
    <w:p>
      <w:pPr>
        <w:spacing w:line="276" w:lineRule="auto"/>
        <w:jc w:val="left"/>
      </w:pPr>
      <w:r>
        <w:rPr>
          <w:rFonts w:ascii="Times New Roman" w:hAnsi="Times New Roman" w:eastAsia="Times New Roman"/>
          <w:b w:val="0"/>
          <w:sz w:val="24"/>
        </w:rPr>
        <w:t>[7] G'anixo'jayeva A, Nazarova H. Mikrobiologiya (vaksinatsiyaga qarshi ko'rsatmalar bo'limi). Xayrullo Komilov kutubxonasi, id 2323: https://xayrullokomilov.uz/kutubxona/2323</w:t>
      </w:r>
    </w:p>
    <w:p>
      <w:pPr>
        <w:spacing w:line="276" w:lineRule="auto"/>
        <w:jc w:val="left"/>
      </w:pPr>
      <w:r>
        <w:rPr>
          <w:rFonts w:ascii="Times New Roman" w:hAnsi="Times New Roman" w:eastAsia="Times New Roman"/>
          <w:b w:val="0"/>
          <w:sz w:val="24"/>
        </w:rPr>
        <w:t>[8] Bolalik davri immunoprofilaktikasi (o'zb.) — test savollari ro'yxati. Xayrullo Komilov kutubxonasi, id 2509: https://xayrullokomilov.uz/kutubxona/2509</w:t>
      </w:r>
    </w:p>
    <w:p>
      <w:pPr>
        <w:spacing w:line="276" w:lineRule="auto"/>
        <w:jc w:val="left"/>
      </w:pPr>
      <w:r>
        <w:rPr>
          <w:rFonts w:ascii="Times New Roman" w:hAnsi="Times New Roman" w:eastAsia="Times New Roman"/>
          <w:b w:val="0"/>
          <w:sz w:val="24"/>
        </w:rPr>
        <w:t>[9] EUCAST. Antimikrob preparatlarga sezuvchanlikni aniqlash. Disk-diffuziya usuli, 6.0 versiya (2017-yil yanvar) (rus tiliga tarjima). Yevropa antimikrob sezuvchanlikni aniqlash qo'mitasi (ESCMID). Xayrullo Komilov kutubxonasi, id 1990: https://xayrullokomilov.uz/kutubxona/1990</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