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93. Vabo kasalligining tashxisi, davosi va profilaktikasi.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Vabo tashxisi klinik-epidemiologik ma'lumotlar va laboratoriya natijalarining yig'indisiga asoslanadi, davosi suvsizlanishga qarshi kompleks chora-tadbirlardan iborat, profilaktikasi esa sanitariya-gigiyena, chegara nazorati va epidemiyaga qarshi tadbirlarga tayanadi [1][2][3]. Aliyev va Muxamedovga ko'ra vaboga tezkor laboratoriya tashxisini qo'yish juda muhim, chunki birinchi holatlar bakteriologik tasdiqlanishi va shunga qarab samarali epidemiyaga qarshi choralar ko'rilishi kerak [2]. Mavzuda vabo tashxisining mezonlari, davolash va profilaktika asoslari yoritiladi.</w:t>
      </w:r>
    </w:p>
    <w:p>
      <w:pPr>
        <w:pStyle w:val="Heading2"/>
      </w:pPr>
      <w:r>
        <w:rPr>
          <w:rFonts w:ascii="Times New Roman" w:hAnsi="Times New Roman" w:eastAsia="Times New Roman"/>
          <w:b/>
          <w:sz w:val="28"/>
        </w:rPr>
        <w:t>Tashxis mezonlari</w:t>
      </w:r>
    </w:p>
    <w:p>
      <w:pPr>
        <w:spacing w:line="276" w:lineRule="auto"/>
        <w:ind w:firstLine="709"/>
        <w:jc w:val="both"/>
      </w:pPr>
      <w:r>
        <w:rPr>
          <w:rFonts w:ascii="Times New Roman" w:hAnsi="Times New Roman" w:eastAsia="Times New Roman"/>
          <w:b w:val="0"/>
          <w:sz w:val="28"/>
        </w:rPr>
        <w:t>Mirtazayev darsligida AQSh Kasalliklarni nazorat qilish markazi tarifi keltirilgan. Klinik mezon — ich ketishi yoki qusish belgilari bilan har xil og'irlikda kechuvchi kasallik. Laboratoriya mezonlari: bemor axlati yoki qusuq materialidan V. cholerae O1 yoki O139 toksigen shtammlarining ajratilishi; yoki kasallikning o'tkir va boshlang'ich davrida qon zardobida vibrionlarga yoki ularning toksiniga qarshi antitelalar titrining o'sishi; kasallik oxirida va tuzalish davrida, vaboga qarshi emlangan bemorlar zardobida esa antitelalar titrining kamayishi. Tasdiqlangan holat — klinik jihatdan vaboga o'xshash va laboratoriyada tasdiqlangan kasallik [3].</w:t>
      </w:r>
    </w:p>
    <w:p>
      <w:pPr>
        <w:pStyle w:val="Heading2"/>
      </w:pPr>
      <w:r>
        <w:rPr>
          <w:rFonts w:ascii="Times New Roman" w:hAnsi="Times New Roman" w:eastAsia="Times New Roman"/>
          <w:b/>
          <w:sz w:val="28"/>
        </w:rPr>
        <w:t>Laboratoriya tashxisi</w:t>
      </w:r>
    </w:p>
    <w:p>
      <w:pPr>
        <w:spacing w:line="276" w:lineRule="auto"/>
        <w:ind w:firstLine="709"/>
        <w:jc w:val="both"/>
      </w:pPr>
      <w:r>
        <w:rPr>
          <w:rFonts w:ascii="Times New Roman" w:hAnsi="Times New Roman" w:eastAsia="Times New Roman"/>
          <w:b w:val="0"/>
          <w:sz w:val="28"/>
        </w:rPr>
        <w:t>Laboratoriya tashxisi bakterioskopik va bakteriologik tekshiruvlar bilan o'tkaziladi [2]. Tezkor usullar: mikroskopiya va «osilgan» tomchida harakatni aniqlash, immobilizatsiya reaksiyasi (vabo O1 zardobi bilan; 3–5 daqiqada vibrion harakatsizlanadi), immunoflyuoressent usul va bilvosita gemagglyutinatsiya (BGAR), PZR; bakteriologik usul — ishqoriy peptonli suv, ishqoriy agar va TCBS muhitlariga ekish, O1 va O139 zardoblari bilan agglyutinatsiya, biokimyoviy xossalar (oksidaza musbat, Xyu–Leyfson muhitida glyukozani gazsiz kislotagacha parchalash, saxaroza, mannoza, mannitni parchalash, arabinozaga faol emas), vabo bakteriofaglariga sezuvchanlik, Fogs–Proskauer va polimiksin B ga sezuvchanlik, gemolitik faollik [2][4]. O1 zardobi bilan titrning yarmigacha agglyutinatsiya va monospetsifik zardoblardan biri bilan agglyutinatsiya bersa — V. cholerae O1 serovar Ogava yoki Inaba; ikkala monospetsifik zardob bilan yarim titrda agglyutinatsiya bersa — Gikoshima serovari [4]. Biovarni aniqlash uchun fag sinovi va Fogs–Proskauer reaksiyasi, polimiksinga sezuvchanlik qo'yiladi [4]. Diagnostik qiyinchilik — O1 zardobi bilan agglyutinatsiya bermaydigan NAG-vibrionlarni ajratishda, chunki ular vabo fagi bilan lizisga uchrashi mumkin [2]. Serologik tekshiruv qo'shimcha: retrospektiv tashxis, vibrion tashuvchilarni aniqlash, infeksiyadan va emlashdan keyingi immunitetni baholash uchun agglyutinatsiya reaksiyasi, PGAR, immunoflyuoressent usul, vibriotsid antitelalar va antitoksinlarni aniqlash qo'llanadi [2].</w:t>
      </w:r>
    </w:p>
    <w:p>
      <w:pPr>
        <w:pStyle w:val="Heading2"/>
      </w:pPr>
      <w:r>
        <w:rPr>
          <w:rFonts w:ascii="Times New Roman" w:hAnsi="Times New Roman" w:eastAsia="Times New Roman"/>
          <w:b/>
          <w:sz w:val="28"/>
        </w:rPr>
        <w:t>Klinik ko'rinishning asosiy belgilari (tashxis uchun)</w:t>
      </w:r>
    </w:p>
    <w:p>
      <w:pPr>
        <w:spacing w:line="276" w:lineRule="auto"/>
        <w:ind w:firstLine="709"/>
        <w:jc w:val="both"/>
      </w:pPr>
      <w:r>
        <w:rPr>
          <w:rFonts w:ascii="Times New Roman" w:hAnsi="Times New Roman" w:eastAsia="Times New Roman"/>
          <w:b w:val="0"/>
          <w:sz w:val="28"/>
        </w:rPr>
        <w:t>Kasallik tez-tez va mo'l ich ketishi bilan boshlanadi; ich tez orada suvdek suyuladi, unda ichak epiteliysi bo'laklari ko'rinadi, keyin qusish qo'shiladi. Natijada suvsizlanish, terining elastikligi yo'qolishi, qon aylanishi qiyinlashishi, ko'karish (vabo algidi), harorat 35 °C gacha tushishi, tirishish va anuriya kuzatiladi. Yashindek tez kechadigan «quruq» vabo (ich ketmasdan o'lim) va vabo tifoidi ham ma'lum [1]. Yengil va belgisiz shakllar ko'p uchraydi, shu sababli epidemik o'choqda har bir yaqqol bemorga 20–100 belgisiz bemor to'g'ri keladi [3].</w:t>
      </w:r>
    </w:p>
    <w:p>
      <w:pPr>
        <w:pStyle w:val="Heading2"/>
      </w:pPr>
      <w:r>
        <w:rPr>
          <w:rFonts w:ascii="Times New Roman" w:hAnsi="Times New Roman" w:eastAsia="Times New Roman"/>
          <w:b/>
          <w:sz w:val="28"/>
        </w:rPr>
        <w:t>Davolash</w:t>
      </w:r>
    </w:p>
    <w:p>
      <w:pPr>
        <w:spacing w:line="276" w:lineRule="auto"/>
        <w:ind w:firstLine="709"/>
        <w:jc w:val="both"/>
      </w:pPr>
      <w:r>
        <w:rPr>
          <w:rFonts w:ascii="Times New Roman" w:hAnsi="Times New Roman" w:eastAsia="Times New Roman"/>
          <w:b w:val="0"/>
          <w:sz w:val="28"/>
        </w:rPr>
        <w:t>G'anixo'jayeva darsligiga ko'ra davolashda tetratsiklin qatoriga kiruvchi antibiotiklar, shuningdek ko'p miqdorda suyuqlik va kaliy hamda natriy tuzlarini saqlovchi preparatlar beriladi [1]. Aliyev va Muxamedovda ichak infeksiyalarini davolashda tetratsiklin, morfotsiklin va sigmamitsin antibiotiklari ko'rsatilgan, shuningdek davo-profilaktika maqsadida polivalent vabo bakteriofagi ishlatilishi qayd etilgan [2]. Davolashning asosi — suvsizlanishni bartaraf etish (muallif izohi: bu tamoyil kasallik patogenezidan kelib chiqadi; aniq protokollar shifokor hujjatlarida belgilanadi va bu yerda keltirilmadi).</w:t>
      </w:r>
    </w:p>
    <w:p>
      <w:pPr>
        <w:pStyle w:val="Heading2"/>
      </w:pPr>
      <w:r>
        <w:rPr>
          <w:rFonts w:ascii="Times New Roman" w:hAnsi="Times New Roman" w:eastAsia="Times New Roman"/>
          <w:b/>
          <w:sz w:val="28"/>
        </w:rPr>
        <w:t>Profilaktika</w:t>
      </w:r>
    </w:p>
    <w:p>
      <w:pPr>
        <w:spacing w:line="276" w:lineRule="auto"/>
        <w:ind w:firstLine="709"/>
        <w:jc w:val="both"/>
      </w:pPr>
      <w:r>
        <w:rPr>
          <w:rFonts w:ascii="Times New Roman" w:hAnsi="Times New Roman" w:eastAsia="Times New Roman"/>
          <w:b w:val="0"/>
          <w:sz w:val="28"/>
        </w:rPr>
        <w:t>Umumiy profilaktika [1][3]:</w:t>
      </w:r>
    </w:p>
    <w:p>
      <w:pPr>
        <w:pStyle w:val="ListBullet"/>
        <w:jc w:val="both"/>
      </w:pPr>
      <w:r>
        <w:rPr>
          <w:rFonts w:ascii="Times New Roman" w:hAnsi="Times New Roman" w:eastAsia="Times New Roman"/>
          <w:b w:val="0"/>
          <w:sz w:val="28"/>
        </w:rPr>
        <w:t>bemorlarni vaqtida aniqlash, ajratib qo'yish va kasalxonalarga tezda yotqizish, dezinfeksiya ishlari;</w:t>
      </w:r>
    </w:p>
    <w:p>
      <w:pPr>
        <w:pStyle w:val="ListBullet"/>
        <w:jc w:val="both"/>
      </w:pPr>
      <w:r>
        <w:rPr>
          <w:rFonts w:ascii="Times New Roman" w:hAnsi="Times New Roman" w:eastAsia="Times New Roman"/>
          <w:b w:val="0"/>
          <w:sz w:val="28"/>
        </w:rPr>
        <w:t>suv havzalari, oziq-ovqat mahsulotlarini va chetdan infeksiya kirishini nazorat qilish;</w:t>
      </w:r>
    </w:p>
    <w:p>
      <w:pPr>
        <w:pStyle w:val="ListBullet"/>
        <w:jc w:val="both"/>
      </w:pPr>
      <w:r>
        <w:rPr>
          <w:rFonts w:ascii="Times New Roman" w:hAnsi="Times New Roman" w:eastAsia="Times New Roman"/>
          <w:b w:val="0"/>
          <w:sz w:val="28"/>
        </w:rPr>
        <w:t>aholining ijtimoiy-iqtisodiy ahvoli va sanitariya-gigiyena sharoitini yaxshilash, toza ichimlik suvi bilan ta'minlash, oqava suvlarni zararsizlantirish, aholining sanitariya madaniyatini ko'tarish;</w:t>
      </w:r>
    </w:p>
    <w:p>
      <w:pPr>
        <w:pStyle w:val="ListBullet"/>
        <w:jc w:val="both"/>
      </w:pPr>
      <w:r>
        <w:rPr>
          <w:rFonts w:ascii="Times New Roman" w:hAnsi="Times New Roman" w:eastAsia="Times New Roman"/>
          <w:b w:val="0"/>
          <w:sz w:val="28"/>
        </w:rPr>
        <w:t>davlat chegaralarida sanitariya-nazorat punktlarini tashkil qilish, yuklar va oziq-ovqat mahsulotlarini tekshirish, yo'lovchilarni so'rab-surishtirish, kasallik belgilari aniqlansa, ularni izolyatorga ajratib tashxisni aniqlash.</w:t>
      </w:r>
    </w:p>
    <w:p>
      <w:pPr>
        <w:spacing w:line="276" w:lineRule="auto"/>
        <w:ind w:firstLine="709"/>
        <w:jc w:val="both"/>
      </w:pPr>
      <w:r>
        <w:rPr>
          <w:rFonts w:ascii="Times New Roman" w:hAnsi="Times New Roman" w:eastAsia="Times New Roman"/>
          <w:b w:val="0"/>
          <w:sz w:val="28"/>
        </w:rPr>
        <w:t>Maxsus profilaktika: o'ldirilgan vabo vaksinasi (xolerogen-anatoksin va O-antigen bilan birga) qo'llanadi [1]; biroq Mirtazayev darsligiga ko'ra maxsus profilaktika samarasiz bo'lgani uchun odatda bu tadbirlar qo'llanilmaydi [3]. Ikki manba orasidagi bu farq vaksinalarning samaradorligi haqidagi qarashlar vaqt o'tishi bilan o'zgarishi bilan bog'liq bo'lishi mumkin (muallif izohi).</w:t>
      </w:r>
    </w:p>
    <w:p>
      <w:pPr>
        <w:pStyle w:val="Heading2"/>
      </w:pPr>
      <w:r>
        <w:rPr>
          <w:rFonts w:ascii="Times New Roman" w:hAnsi="Times New Roman" w:eastAsia="Times New Roman"/>
          <w:b/>
          <w:sz w:val="28"/>
        </w:rPr>
        <w:t>Epidemik o'choqni bartaraf etish</w:t>
      </w:r>
    </w:p>
    <w:p>
      <w:pPr>
        <w:spacing w:line="276" w:lineRule="auto"/>
        <w:ind w:firstLine="709"/>
        <w:jc w:val="both"/>
      </w:pPr>
      <w:r>
        <w:rPr>
          <w:rFonts w:ascii="Times New Roman" w:hAnsi="Times New Roman" w:eastAsia="Times New Roman"/>
          <w:b w:val="0"/>
          <w:sz w:val="28"/>
        </w:rPr>
        <w:t>Vabo bilan og'rigan birlamchi bemor yoki vibrion tashuvchisi aniqlanishi bilanoq epidemik o'choq paydo bo'lganligi e'lon qilinadi; o'choq chegaralari aniqlanadi; bartaraf etish chora-tadbirlari favqulodda epidemiyaga qarshi kurash komissiyasining maxsus operativ rejasi asosida olib boriladi, komissiya tarkibiga tibbiy shtab kiradi; karantin odatda tarqalish xavfi juda katta bo'lganda joriy etiladi, observatsiya va karantin chegaralari epidemiologik vaziyat, sanitariya-gigiyena holati, migratsiya va transport aloqalarini hisobga olib belgilanadi [3].</w:t>
      </w:r>
    </w:p>
    <w:p>
      <w:pPr>
        <w:pStyle w:val="Heading2"/>
      </w:pPr>
      <w:r>
        <w:rPr>
          <w:rFonts w:ascii="Times New Roman" w:hAnsi="Times New Roman" w:eastAsia="Times New Roman"/>
          <w:b/>
          <w:sz w:val="28"/>
        </w:rPr>
        <w:t>Tashuvchilarni tekshirish va javob berish muddati</w:t>
      </w:r>
    </w:p>
    <w:p>
      <w:pPr>
        <w:spacing w:line="276" w:lineRule="auto"/>
        <w:ind w:firstLine="709"/>
        <w:jc w:val="both"/>
      </w:pPr>
      <w:r>
        <w:rPr>
          <w:rFonts w:ascii="Times New Roman" w:hAnsi="Times New Roman" w:eastAsia="Times New Roman"/>
          <w:b w:val="0"/>
          <w:sz w:val="28"/>
        </w:rPr>
        <w:t>Aholining ko'p qismini vibrion tashuvchilikka tekshirishda 4–5 kishidan olingan materialni bitta kolbadagi 1 % peptonli muhitga ekish mumkin; natija musbat bo'lsa, undan yana olinib, alohida-alohida ekiladi [1]. Vabo vibrionlarini ajratish va farqlash bo'yicha yakuniy xulosa qo'zg'atuvchining asosiy biologik belgilari kompleks o'rganilgandan keyin, 36–48 soat o'tgach chiqariladi [2]. SSV 177-sonli buyruq ilovasi bo'yicha kulturalar identifikatsiyasi 36 soatdan keyin boshlanadi va natijalar qayd etilib, serogruppa va biovar haqida yakuniy xulosa beriladi [4]. Natija musbat bo'lsa, darhol hududiy DSENM ga va epidemiologga xabar beriladi, ajratilgan kultura O'XYUK laboratoriyasiga yuboriladi [4].</w:t>
      </w:r>
    </w:p>
    <w:p>
      <w:pPr>
        <w:pStyle w:val="Heading2"/>
      </w:pPr>
      <w:r>
        <w:rPr>
          <w:rFonts w:ascii="Times New Roman" w:hAnsi="Times New Roman" w:eastAsia="Times New Roman"/>
          <w:b/>
          <w:sz w:val="28"/>
        </w:rPr>
        <w:t>Laboratoriya xodimining vazifalari</w:t>
      </w:r>
    </w:p>
    <w:p>
      <w:pPr>
        <w:spacing w:line="276" w:lineRule="auto"/>
        <w:ind w:firstLine="709"/>
        <w:jc w:val="both"/>
      </w:pPr>
      <w:r>
        <w:rPr>
          <w:rFonts w:ascii="Times New Roman" w:hAnsi="Times New Roman" w:eastAsia="Times New Roman"/>
          <w:b w:val="0"/>
          <w:sz w:val="28"/>
        </w:rPr>
        <w:t>Bakteriolog-laborant vabo gumon qilinganda quyidagilarni bajaradi: namunani yo'riqnoma bo'yicha qabul qiladi va xavfsizlik qoidalariga rioya qilib ishlaydi; tezkor usullar bilan dastlabki javob beradi; ishqoriy peptonli suv va selektiv muhitlarga ekadi; O1 va O139 zardoblari bilan agglyutinatsiya qo'yadi; shubhali kulturani maxsus laboratoriyaga yuboradi; o'choq bo'lsa suv va oziq-ovqat namunalarini tekshiradi. Tezlik muhim, shu sababli O'XYUK laboratoriyalarida ish uzluksiz smenalar bilan olib boriladi [2] (laboratoriya ish rejimi haqidagi bu ma'lumot Aliyev va Muxamedovdan).</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Vabo tashxisi klinik belgilar (suvdek ich ketishi, qusish, suvsizlanish) va laboratoriyada V. cholerae O1/O139 ni ajratish yoki antitelalar titrining dinamikasi bilan tasdiqlanadi. Davolash antibiotiklar va suvsizlanishga qarshi suyuqlik-elektrolit berishdan iborat. Profilaktika sanitariya-gigiyena tadbirlari, suv va oziq-ovqat nazorati, chegara nazorati, bemorlarni erta aniqlash va epidemik o'choqni tezkor bartaraf etishga asoslanadi.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[3] Mirtazayev OM, Zuyeva LP, Matnazarova GS. Epidemiologiya: darslik. Toshkent; 2016 (kirill yozuvida). Xayrullo Komilov kutubxonasi, id 2356: https://xayrullokomilov.uz/kutubxona/2356</w:t>
      </w:r>
    </w:p>
    <w:p>
      <w:pPr>
        <w:spacing w:line="276" w:lineRule="auto"/>
        <w:jc w:val="left"/>
      </w:pPr>
      <w:r>
        <w:rPr>
          <w:rFonts w:ascii="Times New Roman" w:hAnsi="Times New Roman" w:eastAsia="Times New Roman"/>
          <w:b w:val="0"/>
          <w:sz w:val="24"/>
        </w:rPr>
        <w:t>[4] O'zbekiston Respublikasi Sog'liqni saqlash vazirining 2015-yil 1-maydagi 177-sonli buyrug'i ilovalari: Bakteriologik, virusologik va o'ta xavfli yuqumli kasalliklar laboratoriyalarida o'tkaziladigan laboratoriya tekshiruvlari bo'yicha uslubiy ko'rsatmalar (kirill yozuvida). Xayrullo Komilov kutubxonasi, id 491: https://xayrullokomilov.uz/kutubxona/491</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