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50. Gemagglyutinatsiya reaksiyasi.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Gemagglyutinatsiya reaksiyasi (GAR) — eritrotsitlarning o'zaro yopishib cho'kishiga asoslangan serologik reaksiya. Unda eritrotsitlar antigen yoki antitelo bilan sensibilizatsiya qilinadi (ularga antigen yoki antitelo biriktiriladi), keyin tegishli antitelo yoki antigen qo'shilganda eritrotsitlar bir-biriga yopishadi [1]. Reaksiya sezgirligi va maxsusligi bo'yicha boshqa serologik reaksiyalardan ustun turadi, shuning uchun bakteriyalar, rikketsiyalar qo'zg'atadigan infeksiyalar tashxisida keng qo'llanadi [1]. Virusologiyada esa viruslarning o'zi eritrotsitlarni agglyutinatsiya qilish xususiyatiga ega bo'lgani uchun GAR viruslarni aniqlash va titrlashda ishlatiladi [2].</w:t>
      </w:r>
    </w:p>
    <w:p>
      <w:pPr>
        <w:pStyle w:val="Heading2"/>
      </w:pPr>
      <w:r>
        <w:rPr>
          <w:rFonts w:ascii="Times New Roman" w:hAnsi="Times New Roman" w:eastAsia="Times New Roman"/>
          <w:b/>
          <w:sz w:val="28"/>
        </w:rPr>
        <w:t>Reaksiya turlari</w:t>
      </w:r>
    </w:p>
    <w:p>
      <w:pPr>
        <w:spacing w:line="276" w:lineRule="auto"/>
        <w:ind w:firstLine="709"/>
        <w:jc w:val="both"/>
      </w:pPr>
      <w:r>
        <w:rPr>
          <w:rFonts w:ascii="Times New Roman" w:hAnsi="Times New Roman" w:eastAsia="Times New Roman"/>
          <w:b w:val="0"/>
          <w:sz w:val="28"/>
        </w:rPr>
        <w:t>Manbada reaksiyaning quyidagi variantlari keltirilgan [1]:</w:t>
      </w:r>
    </w:p>
    <w:p>
      <w:pPr>
        <w:pStyle w:val="ListBullet"/>
        <w:jc w:val="both"/>
      </w:pPr>
      <w:r>
        <w:rPr>
          <w:rFonts w:ascii="Times New Roman" w:hAnsi="Times New Roman" w:eastAsia="Times New Roman"/>
          <w:b w:val="0"/>
          <w:sz w:val="28"/>
        </w:rPr>
        <w:t>bevosita (to'g'ri) gemagglyutinatsiya: turli antigenlar bilan oldindan sensibilizatsiya qilingan eritrotsitlarga immun zardob yoki tegishli antigen tutgan kasal zardobi qo'shilganda eritrotsitlar yopishadi. Eritrotsitlar qaysi antigen bilan sensibilizatsiya qilingan bo'lsa, shu antigenga xos antitelo bilan reaksiyaga kirishadi;</w:t>
      </w:r>
    </w:p>
    <w:p>
      <w:pPr>
        <w:pStyle w:val="ListBullet"/>
        <w:jc w:val="both"/>
      </w:pPr>
      <w:r>
        <w:rPr>
          <w:rFonts w:ascii="Times New Roman" w:hAnsi="Times New Roman" w:eastAsia="Times New Roman"/>
          <w:b w:val="0"/>
          <w:sz w:val="28"/>
        </w:rPr>
        <w:t>bilvosita (passiv) gemagglyutinatsiya (BGR, PGAR): antigen bilan sensibilizatsiya qilingan eritrotsitar diagnostikumlar yordamida bemor zardobidagi maxsus antitelo titri aniqlanadi;</w:t>
      </w:r>
    </w:p>
    <w:p>
      <w:pPr>
        <w:pStyle w:val="ListBullet"/>
        <w:jc w:val="both"/>
      </w:pPr>
      <w:r>
        <w:rPr>
          <w:rFonts w:ascii="Times New Roman" w:hAnsi="Times New Roman" w:eastAsia="Times New Roman"/>
          <w:b w:val="0"/>
          <w:sz w:val="28"/>
        </w:rPr>
        <w:t>teskari bilvosita gemagglyutinatsiya: eritrotsitlar antigen emas, maxsus antitelo bilan sensibilizatsiya qilinadi va shu diagnostikum bilan antigenlar aniqlanadi.</w:t>
      </w:r>
    </w:p>
    <w:p>
      <w:pPr>
        <w:spacing w:line="276" w:lineRule="auto"/>
        <w:ind w:firstLine="709"/>
        <w:jc w:val="both"/>
      </w:pPr>
      <w:r>
        <w:rPr>
          <w:rFonts w:ascii="Times New Roman" w:hAnsi="Times New Roman" w:eastAsia="Times New Roman"/>
          <w:b w:val="0"/>
          <w:sz w:val="28"/>
        </w:rPr>
        <w:t>Qo'llanmada bevosita va bilvosita reaksiyalarning nomlanishi bir xil izohlanmagan, shu sababli turli darsliklarda atamalar farq qilishi mumkin; bu ishda nomlar manba bo'yicha berildi (hisobotda qayd etiladi).</w:t>
      </w:r>
    </w:p>
    <w:p>
      <w:pPr>
        <w:pStyle w:val="Heading2"/>
      </w:pPr>
      <w:r>
        <w:rPr>
          <w:rFonts w:ascii="Times New Roman" w:hAnsi="Times New Roman" w:eastAsia="Times New Roman"/>
          <w:b/>
          <w:sz w:val="28"/>
        </w:rPr>
        <w:t>Ishlatiladigan eritrotsitlar va diagnostikumlar</w:t>
      </w:r>
    </w:p>
    <w:p>
      <w:pPr>
        <w:spacing w:line="276" w:lineRule="auto"/>
        <w:ind w:firstLine="709"/>
        <w:jc w:val="both"/>
      </w:pPr>
      <w:r>
        <w:rPr>
          <w:rFonts w:ascii="Times New Roman" w:hAnsi="Times New Roman" w:eastAsia="Times New Roman"/>
          <w:b w:val="0"/>
          <w:sz w:val="28"/>
        </w:rPr>
        <w:t>Reaksiyalarda qo'y, maymun, dengiz cho'chqasi, qushlar (xo'roz, g'oz) eritrotsitlari va odamning I (0) guruh eritrotsitlaridan foydalaniladi [1]. Antigen sifatida tozalangan mikrob, virus va boshqa mikroorganizmlar antigenlari, ularning toksinlari va turli oqsil moddalar ishlatiladi. Antigen bilan sensibilizatsiya qilingan eritrotsitlar tibbiyot sanoatida eritrotsitar diagnostikumlar ko'rinishida chiqariladi [1]. Geterogen antitelalar eritrotsitlarga odatda adsorbsiya bo'lmaydi, ularni membranaga biriktirish uchun kimyoviy bog'lovchilar (CrCl3, glutar aldegid) ishlatiladi; bunday antitelali diagnostikumlar ham sanoatda tayyorlanadi [1].</w:t>
      </w:r>
    </w:p>
    <w:p>
      <w:pPr>
        <w:pStyle w:val="Heading2"/>
      </w:pPr>
      <w:r>
        <w:rPr>
          <w:rFonts w:ascii="Times New Roman" w:hAnsi="Times New Roman" w:eastAsia="Times New Roman"/>
          <w:b/>
          <w:sz w:val="28"/>
        </w:rPr>
        <w:t>Qo'llanilishi</w:t>
      </w:r>
    </w:p>
    <w:p>
      <w:pPr>
        <w:spacing w:line="276" w:lineRule="auto"/>
        <w:ind w:firstLine="709"/>
        <w:jc w:val="both"/>
      </w:pPr>
      <w:r>
        <w:rPr>
          <w:rFonts w:ascii="Times New Roman" w:hAnsi="Times New Roman" w:eastAsia="Times New Roman"/>
          <w:b w:val="0"/>
          <w:sz w:val="28"/>
        </w:rPr>
        <w:t>Eritrotsitar diagnostikumlar bilan bemor zardobidagi maxsus antitelo titri aniqlanadi va qorin tifi, yersinioz, OITV, brutsellyoz va boshqa kasalliklarga serologik tashxis qo'yiladi [1]. Teskari usul esa gepatit B va C, OITV, vabo, ichburug', o'lat va boshqa kasalliklarda antigenni aniqlashda qo'llanadi [1]. Masalan, gepatit B virusining HBs-antigenini bemor zardobidan aniqlash uchun HBs-Ag ga qarshi antitelalar bilan sensibilizatsiya qilingan standart eritrotsitar diagnostikumlar ishlatiladi [2].</w:t>
      </w:r>
    </w:p>
    <w:p>
      <w:pPr>
        <w:pStyle w:val="Heading2"/>
      </w:pPr>
      <w:r>
        <w:rPr>
          <w:rFonts w:ascii="Times New Roman" w:hAnsi="Times New Roman" w:eastAsia="Times New Roman"/>
          <w:b/>
          <w:sz w:val="28"/>
        </w:rPr>
        <w:t>Bilvosita gemagglyutinatsiyani qo'yish</w:t>
      </w:r>
    </w:p>
    <w:p>
      <w:pPr>
        <w:spacing w:line="276" w:lineRule="auto"/>
        <w:ind w:firstLine="709"/>
        <w:jc w:val="both"/>
      </w:pPr>
      <w:r>
        <w:rPr>
          <w:rFonts w:ascii="Times New Roman" w:hAnsi="Times New Roman" w:eastAsia="Times New Roman"/>
          <w:b w:val="0"/>
          <w:sz w:val="28"/>
        </w:rPr>
        <w:t>Laboratoriyada BGR uchun standart eritrotsitar diagnostikumlar ishlatiladi; reaksiya chuqurchali plastinkalarda, probirkalarda yoki ko'proq mikroplanshetlarda qo'yiladi [1]. Sxema: izotonik natriy xlorid eritmasi, 1:10 suyultirilgan bemor zardobi qator suyultiriladi (1:10 dan 1:320 gacha), har bir suyultirishga eritrotsitar diagnostikum (0,25 ml) qo'shiladi; ikkita nazorat — zardob nazorati va diagnostikum nazorati qo'yiladi. Probirkalar aralashtirilib 37 °C termostatda 2 soat saqlanadi [1].</w:t>
      </w:r>
    </w:p>
    <w:p>
      <w:pPr>
        <w:spacing w:line="276" w:lineRule="auto"/>
        <w:ind w:firstLine="709"/>
        <w:jc w:val="both"/>
      </w:pPr>
      <w:r>
        <w:rPr>
          <w:rFonts w:ascii="Times New Roman" w:hAnsi="Times New Roman" w:eastAsia="Times New Roman"/>
          <w:b w:val="0"/>
          <w:sz w:val="28"/>
        </w:rPr>
        <w:t>Natija to'rt musbat belgi bilan baholanadi [1]:</w:t>
      </w:r>
    </w:p>
    <w:p>
      <w:pPr>
        <w:pStyle w:val="ListBullet"/>
        <w:jc w:val="both"/>
      </w:pPr>
      <w:r>
        <w:rPr>
          <w:rFonts w:ascii="Times New Roman" w:hAnsi="Times New Roman" w:eastAsia="Times New Roman"/>
          <w:b w:val="0"/>
          <w:sz w:val="28"/>
        </w:rPr>
        <w:t>(++++) — eritrotsitlar yopishib, probirka tubida «zontik» shaklidagi cho'kma hosil qiladi;</w:t>
      </w:r>
    </w:p>
    <w:p>
      <w:pPr>
        <w:pStyle w:val="ListBullet"/>
        <w:jc w:val="both"/>
      </w:pPr>
      <w:r>
        <w:rPr>
          <w:rFonts w:ascii="Times New Roman" w:hAnsi="Times New Roman" w:eastAsia="Times New Roman"/>
          <w:b w:val="0"/>
          <w:sz w:val="28"/>
        </w:rPr>
        <w:t>(+++) — zontik hosil bo'ladi, uning o'rtasida eritrotsitlar «tugma» ko'rinishida to'planadi;</w:t>
      </w:r>
    </w:p>
    <w:p>
      <w:pPr>
        <w:pStyle w:val="ListBullet"/>
        <w:jc w:val="both"/>
      </w:pPr>
      <w:r>
        <w:rPr>
          <w:rFonts w:ascii="Times New Roman" w:hAnsi="Times New Roman" w:eastAsia="Times New Roman"/>
          <w:b w:val="0"/>
          <w:sz w:val="28"/>
        </w:rPr>
        <w:t>(++) — «tugma» kattaroq bo'ladi;</w:t>
      </w:r>
    </w:p>
    <w:p>
      <w:pPr>
        <w:pStyle w:val="ListBullet"/>
        <w:jc w:val="both"/>
      </w:pPr>
      <w:r>
        <w:rPr>
          <w:rFonts w:ascii="Times New Roman" w:hAnsi="Times New Roman" w:eastAsia="Times New Roman"/>
          <w:b w:val="0"/>
          <w:sz w:val="28"/>
        </w:rPr>
        <w:t>(–) — eritrotsitlar yopishmaydi, probirka tubida tugmachaga o'xshash kichik cho'kma hosil qiladi.</w:t>
      </w:r>
    </w:p>
    <w:p>
      <w:pPr>
        <w:spacing w:line="276" w:lineRule="auto"/>
        <w:ind w:firstLine="709"/>
        <w:jc w:val="both"/>
      </w:pPr>
      <w:r>
        <w:rPr>
          <w:rFonts w:ascii="Times New Roman" w:hAnsi="Times New Roman" w:eastAsia="Times New Roman"/>
          <w:b w:val="0"/>
          <w:sz w:val="28"/>
        </w:rPr>
        <w:t>To'rt va uch belgili reaksiya musbat hisoblanadi [1].</w:t>
      </w:r>
    </w:p>
    <w:p>
      <w:pPr>
        <w:pStyle w:val="Heading2"/>
      </w:pPr>
      <w:r>
        <w:rPr>
          <w:rFonts w:ascii="Times New Roman" w:hAnsi="Times New Roman" w:eastAsia="Times New Roman"/>
          <w:b/>
          <w:sz w:val="28"/>
        </w:rPr>
        <w:t>Vi-gemagglyutinatsiya</w:t>
      </w:r>
    </w:p>
    <w:p>
      <w:pPr>
        <w:spacing w:line="276" w:lineRule="auto"/>
        <w:ind w:firstLine="709"/>
        <w:jc w:val="both"/>
      </w:pPr>
      <w:r>
        <w:rPr>
          <w:rFonts w:ascii="Times New Roman" w:hAnsi="Times New Roman" w:eastAsia="Times New Roman"/>
          <w:b w:val="0"/>
          <w:sz w:val="28"/>
        </w:rPr>
        <w:t>Rekonvalesentlar va bakteriya tashuvchilarni tekshirishda passiv Vi-gemagglyutinatsiya reaksiyasi keng qo'llanadi. Antigen sifatida eritrotsitar Vi-diagnostikum ishlatiladi: bu formalin bilan ishlov berilgan, qorin tifi mikrobining Vi-antigeni bilan sensibilizatsiya qilingan odam I (0) guruhi eritrotsitlari suspenziyasidir. Zardoblar 1:10 dan 1:1280 gacha suyultiriladi; musbat natijada eritrotsitlar probirka tagida chetlari notekis («zontik»), manfiy natijada esa tekis disk («tugmacha») shaklida joylashadi. Diagnostik ahamiyatga 1:40 va undan yuqori titrlar ega; zardobi musbat natija bergan shaxslar qorin tifi bakteriyasini tashuvchi deb gumon qilinib, bir necha marta bakteriologik tekshiriladi [3].</w:t>
      </w:r>
    </w:p>
    <w:p>
      <w:pPr>
        <w:pStyle w:val="Heading2"/>
      </w:pPr>
      <w:r>
        <w:rPr>
          <w:rFonts w:ascii="Times New Roman" w:hAnsi="Times New Roman" w:eastAsia="Times New Roman"/>
          <w:b/>
          <w:sz w:val="28"/>
        </w:rPr>
        <w:t>Viruslarning gemagglyutinatsiyasi</w:t>
      </w:r>
    </w:p>
    <w:p>
      <w:pPr>
        <w:spacing w:line="276" w:lineRule="auto"/>
        <w:ind w:firstLine="709"/>
        <w:jc w:val="both"/>
      </w:pPr>
      <w:r>
        <w:rPr>
          <w:rFonts w:ascii="Times New Roman" w:hAnsi="Times New Roman" w:eastAsia="Times New Roman"/>
          <w:b w:val="0"/>
          <w:sz w:val="28"/>
        </w:rPr>
        <w:t>Gripp virusi ajratilganda uni tovuq embrionida o'stirib, amnion yoki allantois suyuqligida virus borligi taxminiy GAR bilan aniqlanadi. A turdagi gripp virusi tovuq, dengiz cho'chqasi va odamning I (0) guruh eritrotsitlarini agglyutinatsiya qiladi, B turdagi esa faqat tovuq eritrotsitlarini. Titrlash uchun eritrotsitlarning 1 % suspenziyasi olinadi; virus titri deb eritrotsitlarning kamida ++ agglyutinatsiyasini beradigan eng yuqori suyultirish qabul qilinadi. Virus tipi gemagglyutinatsiyani to'xtatish reaksiyasi (GATR) bilan maxsus zardoblar to'plamida aniqlanadi: natija gemagglyutinatsiyaning tormozlanishi bilan belgilanadi [2].</w:t>
      </w:r>
    </w:p>
    <w:p>
      <w:pPr>
        <w:pStyle w:val="Heading2"/>
      </w:pPr>
      <w:r>
        <w:rPr>
          <w:rFonts w:ascii="Times New Roman" w:hAnsi="Times New Roman" w:eastAsia="Times New Roman"/>
          <w:b/>
          <w:sz w:val="28"/>
        </w:rPr>
        <w:t>Kumbs reaksiyasi — gemagglyutinatsiyaning antiglobulin varianti</w:t>
      </w:r>
    </w:p>
    <w:p>
      <w:pPr>
        <w:spacing w:line="276" w:lineRule="auto"/>
        <w:ind w:firstLine="709"/>
        <w:jc w:val="both"/>
      </w:pPr>
      <w:r>
        <w:rPr>
          <w:rFonts w:ascii="Times New Roman" w:hAnsi="Times New Roman" w:eastAsia="Times New Roman"/>
          <w:b w:val="0"/>
          <w:sz w:val="28"/>
        </w:rPr>
        <w:t>Kumbs reaksiyasi to'liq bo'lmagan, ya'ni bir valentli antitelalarni aniqlash uchun ishlatiladi. Bunday antitelalar antigenni qoplab oladi, ammo ko'zga ko'rinadigan agglyutinatsiya bermaydi, shuning uchun ularni «to'suvchi» antitelalar ham deyiladi [1]. Reaksiya antiglobulin zardob (odam zardobi globulinlari bilan immunizatsiya qilingan quyondan olingan) yordamida o'tkaziladi. Homilador ayol zardobida rezus-antigenga qarshi antitelalarni aniqlash misolida reaksiya ikki bosqichda qo'yiladi: birinchi bosqichda ikki marta suyultirilgan zardobga rezus-antigenli eritrotsitlar qo'shilib, 37 °C da bir soat saqlanadi va izotonik eritmada uch marta sentrifuga bilan yuviladi; ikkinchi bosqichda yuvilgan eritrotsitlarga titrlangan antiglobulin zardob qo'shiladi, 37 °C da 30 daqiqa saqlanadi va gemagglyutinatsiya bor-yo'qligi bo'yicha natija baholanadi [1]. Reaksiyada bir necha nazorat qo'yiladi: antiglobulin zardob bilan oldindan sensibilizatsiya qilingan eritrotsitlar, normal zardob, hamda rezus-manfiy eritrotsitlar bilan tekshiriladigan zardob [1].</w:t>
      </w:r>
    </w:p>
    <w:p>
      <w:pPr>
        <w:pStyle w:val="Heading2"/>
      </w:pPr>
      <w:r>
        <w:rPr>
          <w:rFonts w:ascii="Times New Roman" w:hAnsi="Times New Roman" w:eastAsia="Times New Roman"/>
          <w:b/>
          <w:sz w:val="28"/>
        </w:rPr>
        <w:t>Reaksiyaning ustun va kamchilik tomonlari</w:t>
      </w:r>
    </w:p>
    <w:p>
      <w:pPr>
        <w:pStyle w:val="ListBullet"/>
        <w:jc w:val="both"/>
      </w:pPr>
      <w:r>
        <w:rPr>
          <w:rFonts w:ascii="Times New Roman" w:hAnsi="Times New Roman" w:eastAsia="Times New Roman"/>
          <w:b w:val="0"/>
          <w:sz w:val="28"/>
        </w:rPr>
        <w:t>Ustunligi: yuqori sezgirlik va maxsuslik; eritrotsitar diagnostikumlar tayyor holda chiqarilgani uchun standartlashtirish oson; natija «zontik» yoki «tugma» ko'rinishida ko'z bilan aniq baholanadi [1].</w:t>
      </w:r>
    </w:p>
    <w:p>
      <w:pPr>
        <w:pStyle w:val="ListBullet"/>
        <w:jc w:val="both"/>
      </w:pPr>
      <w:r>
        <w:rPr>
          <w:rFonts w:ascii="Times New Roman" w:hAnsi="Times New Roman" w:eastAsia="Times New Roman"/>
          <w:b w:val="0"/>
          <w:sz w:val="28"/>
        </w:rPr>
        <w:t>Kamchiligi (muallif izohi, umumiy laboratoriya amaliyotiga asoslangan): diagnostikum seriyasi o'zgarganda titrlar qiyoslanmasligi mumkin, hayvon eritrotsitlari yoki zardob tarkibidagi geterofil antitelalar nospetsifik agglyutinatsiya berishi mumkin, shuning uchun nazoratlar zarur.</w:t>
      </w:r>
    </w:p>
    <w:p>
      <w:pPr>
        <w:pStyle w:val="Heading2"/>
      </w:pPr>
      <w:r>
        <w:rPr>
          <w:rFonts w:ascii="Times New Roman" w:hAnsi="Times New Roman" w:eastAsia="Times New Roman"/>
          <w:b/>
          <w:sz w:val="28"/>
        </w:rPr>
        <w:t>Laboratoriya amaliyotida natijani talqin qilish</w:t>
      </w:r>
    </w:p>
    <w:p>
      <w:pPr>
        <w:spacing w:line="276" w:lineRule="auto"/>
        <w:ind w:firstLine="709"/>
        <w:jc w:val="both"/>
      </w:pPr>
      <w:r>
        <w:rPr>
          <w:rFonts w:ascii="Times New Roman" w:hAnsi="Times New Roman" w:eastAsia="Times New Roman"/>
          <w:b w:val="0"/>
          <w:sz w:val="28"/>
        </w:rPr>
        <w:t>Bilvosita gemagglyutinatsiyada titr dinamikada baholangani ma'qul: birinchi va ikkinchi zardob bir vaqtda, bir xil diagnostikum seriyasi bilan tekshirilsa, titrning 2 baravar va undan ko'p oshishi tashxis uchun asos bo'ladi [1]. Vi-gemagglyutinatsiyada esa bir martalik 1:40 va undan yuqori titr tashuvchilikni gumon qilish uchun yetarli bo'lib, tashxis bakteriologik usul bilan tasdiqlanadi [3]. Natijani qayd etishda zardob raqami, diagnostikum seriyasi, suyultirishlar va nazorat natijalari yozib qo'yiladi.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Gemagglyutinatsiya reaksiyasida sensibilizatsiya qilingan eritrotsitlar yordamida antigen yoki antitelo aniqlanadi. Passiv (bilvosita) variantda antigenli eritrotsitar diagnostikumlar bilan zardobdagi antitelo titri, teskari variantda esa antitelali diagnostikumlar bilan antigen aniqlanadi. Natija 37 °C da 2 soatdan so'ng «zontik» yoki «tugma» ko'rinishida baholanadi. Usul sezgirligi yuqori bo'lgani uchun bakterial, rikketsioz va virusli infeksiyalar tashxisida qo'llanadi.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Aliyev ShR, Muxamedov IM. Mikrobiologiyadan laboratoriya mashg'ulotlariga doir qo'llanma — virusologiya bo'limlari (gripp, gepatit B). Xayrullo Komilov kutubxonasi, id 2355: https://xayrullokomilov.uz/kutubxona/2355</w:t>
      </w:r>
    </w:p>
    <w:p>
      <w:pPr>
        <w:spacing w:line="276" w:lineRule="auto"/>
        <w:jc w:val="left"/>
      </w:pPr>
      <w:r>
        <w:rPr>
          <w:rFonts w:ascii="Times New Roman" w:hAnsi="Times New Roman" w:eastAsia="Times New Roman"/>
          <w:b w:val="0"/>
          <w:sz w:val="24"/>
        </w:rPr>
        <w:t>[3] Aliyev ShR, Muxamedov IM. Mikrobiologiyadan laboratoriya mashg'ulotlariga doir qo'llanma — «Ichak infeksiyalari» bo'limi (Vidal va Vi-gemagglyutinatsiya).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