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Times New Roman" w:hAnsi="Times New Roman" w:eastAsia="Times New Roman"/>
          <w:b/>
          <w:sz w:val="32"/>
        </w:rPr>
        <w:t>30. Mikroblarning antibiotikka sezuvchanligini diffuz (disklar) usulida aniqlash.</w:t>
      </w:r>
    </w:p>
    <w:p>
      <w:pPr>
        <w:pStyle w:val="Heading2"/>
      </w:pPr>
      <w:r>
        <w:rPr>
          <w:rFonts w:ascii="Times New Roman" w:hAnsi="Times New Roman" w:eastAsia="Times New Roman"/>
          <w:b/>
          <w:sz w:val="28"/>
        </w:rPr>
        <w:t>Kirish</w:t>
      </w:r>
    </w:p>
    <w:p>
      <w:pPr>
        <w:spacing w:line="276" w:lineRule="auto"/>
        <w:ind w:firstLine="709"/>
        <w:jc w:val="both"/>
      </w:pPr>
      <w:r>
        <w:rPr>
          <w:rFonts w:ascii="Times New Roman" w:hAnsi="Times New Roman" w:eastAsia="Times New Roman"/>
          <w:b w:val="0"/>
          <w:sz w:val="28"/>
        </w:rPr>
        <w:t>Mikroorganizmlarning antibakterial preparatlarga sezuvchanligini aniqlash klinik bakteriologning asosiy vazifalaridan biri bo'lib, ajratilgan qo'zg'atuvchi qaysi preparatga sezgir ekanini bilish infeksiyani samarali davolash va uning tarqalishining oldini olish uchun zarur [1]. Sezuvchanlik uch kategoriyaga bo'linadi: sezgir, oraliq (o'rtacha chidamli) va chidamli [1], [2]. Usullar orasida agarda disk-diffuziya (diffuz) usuli eng oddiy va keng tarqalgan: u standart qog'oz disklar va agar muhitidan foydalanishga asoslangan. Disk-diffuziya usuli faqat bilvosita MIK ni baholashga imkon beradi va natija mikroorganizmni sezgir, oraliq yoki chidamli kategoriyaga kiritishdan iborat bo'ladi [2].</w:t>
      </w:r>
    </w:p>
    <w:p>
      <w:pPr>
        <w:pStyle w:val="Heading2"/>
      </w:pPr>
      <w:r>
        <w:rPr>
          <w:rFonts w:ascii="Times New Roman" w:hAnsi="Times New Roman" w:eastAsia="Times New Roman"/>
          <w:b/>
          <w:sz w:val="28"/>
        </w:rPr>
        <w:t>Usulning mohiyati</w:t>
      </w:r>
    </w:p>
    <w:p>
      <w:pPr>
        <w:spacing w:line="276" w:lineRule="auto"/>
        <w:ind w:firstLine="709"/>
        <w:jc w:val="both"/>
      </w:pPr>
      <w:r>
        <w:rPr>
          <w:rFonts w:ascii="Times New Roman" w:hAnsi="Times New Roman" w:eastAsia="Times New Roman"/>
          <w:b w:val="0"/>
          <w:sz w:val="28"/>
        </w:rPr>
        <w:t>Antibiotik shimdirilgan qog'oz diskdan agar muhitiga diffuziyalanadi va muhit yuzasiga ekilgan mikroorganizmning o'sishini to'xtatadi. O'sish bo'lmaydigan zona hosil bo'ladi; ma'lum chegarada zona diametri MIK ga teskari proporsional [2]. Zona diametri me'yoriy chegara qiymatlar (breykpointlar) bilan solishtirilib, kategoriya aniqlanadi [3].</w:t>
      </w:r>
    </w:p>
    <w:p>
      <w:pPr>
        <w:pStyle w:val="Heading2"/>
      </w:pPr>
      <w:r>
        <w:rPr>
          <w:rFonts w:ascii="Times New Roman" w:hAnsi="Times New Roman" w:eastAsia="Times New Roman"/>
          <w:b/>
          <w:sz w:val="28"/>
        </w:rPr>
        <w:t>Oziqa muhit</w:t>
      </w:r>
    </w:p>
    <w:p>
      <w:pPr>
        <w:spacing w:line="276" w:lineRule="auto"/>
        <w:ind w:firstLine="709"/>
        <w:jc w:val="both"/>
      </w:pPr>
      <w:r>
        <w:rPr>
          <w:rFonts w:ascii="Times New Roman" w:hAnsi="Times New Roman" w:eastAsia="Times New Roman"/>
          <w:b w:val="0"/>
          <w:sz w:val="28"/>
        </w:rPr>
        <w:t>Usul uchun Myuller–Xinton agari ishlatiladi; talabchan mikroblar uchun muhitga qo'shimchalar (masalan, 5 foiz defibrinlangan ot qoni va NAD) qo'shiladi [3]. Muhit qatlamining qalinligi (4,0 ± 0,5) mm bo'lishi shart, chunki inhibitsiya zonasining o'lchami va shakli agar qatlamining chuqurligi va bir tekisligiga bog'liq. Rossiya uslubiy ko'rsatmasida bunga diametri 90 mm idishga 20 ml, 100 mm ga 25 ml, 150 mm ga 60 ml agar quyish bilan erishiladi, EUCAST qo'llanmasida esa 90 mm idish uchun taxminan 25 ml, 100 mm uchun 31 ml ko'rsatilgan; farq idishlarning ichki diametriga bog'liq bo'lishi mumkin [2], [3]. Idish qat'iy gorizontal sirtga qo'yilib quyiladi. Tayyor idishlar polietilen xaltachada 4–8 °C da 7–10 sutkagacha saqlanishi mumkin; ekishdan oldin ular 35 °C da qopqog'i ochiq holda 10–20 daqiqa quritiladi, qopqoqda kondensat bo'lmasligi tekshiriladi [2].</w:t>
      </w:r>
    </w:p>
    <w:p>
      <w:pPr>
        <w:pStyle w:val="Heading2"/>
      </w:pPr>
      <w:r>
        <w:rPr>
          <w:rFonts w:ascii="Times New Roman" w:hAnsi="Times New Roman" w:eastAsia="Times New Roman"/>
          <w:b/>
          <w:sz w:val="28"/>
        </w:rPr>
        <w:t>Diskilar</w:t>
      </w:r>
    </w:p>
    <w:p>
      <w:pPr>
        <w:spacing w:line="276" w:lineRule="auto"/>
        <w:ind w:firstLine="709"/>
        <w:jc w:val="both"/>
      </w:pPr>
      <w:r>
        <w:rPr>
          <w:rFonts w:ascii="Times New Roman" w:hAnsi="Times New Roman" w:eastAsia="Times New Roman"/>
          <w:b w:val="0"/>
          <w:sz w:val="28"/>
        </w:rPr>
        <w:t>Faqat standartlashtirilgan sifatli disklar ishlatiladi; laboratoriyada disk tayyorlash maqsadga muvofiq emas, chunki xom ashyoga qat'iy talablar va sifat nazoratining murakkabligi bor. Disklarni uzoq saqlash germetik qadoqda −18 °C va undan past haroratda, kundalik ishlatiladigan kichik partiyalar 4–8 °C da namlikdan himoyalangan (silikagelli) idishda amalga oshiriladi. Flakon ishlatishdan 1 soat oldin sovitgichdan olinib, yopiq holda xona haroratiga yetguncha ushlanadi, bu disklarda kondensat hosil bo'lishining oldini oladi [2].</w:t>
      </w:r>
    </w:p>
    <w:p>
      <w:pPr>
        <w:pStyle w:val="Heading2"/>
      </w:pPr>
      <w:r>
        <w:rPr>
          <w:rFonts w:ascii="Times New Roman" w:hAnsi="Times New Roman" w:eastAsia="Times New Roman"/>
          <w:b/>
          <w:sz w:val="28"/>
        </w:rPr>
        <w:t>Inokulyum va ekish</w:t>
      </w:r>
    </w:p>
    <w:p>
      <w:pPr>
        <w:spacing w:line="276" w:lineRule="auto"/>
        <w:ind w:firstLine="709"/>
        <w:jc w:val="both"/>
      </w:pPr>
      <w:r>
        <w:rPr>
          <w:rFonts w:ascii="Times New Roman" w:hAnsi="Times New Roman" w:eastAsia="Times New Roman"/>
          <w:b w:val="0"/>
          <w:sz w:val="28"/>
        </w:rPr>
        <w:t>Standart inokulyum 0,5 McFarland zichligiga mos (taxminan 1,5·10^8 KHB/ml) bo'lib, tanlab ajratuvchi bo'lmagan zich muhitda o'sgan, bir turdagi, aniq ajralgan bir necha koloniyadan tayyorlanadi; suspenziya tayyorlangandan keyin 15 daqiqa ichida ishlatiladi [2]. 0,5 McFarland standarti 0,048 mol/l BaCl2 eritmasining 0,5 ml ini 0,18 mol/l (1 foiz) H2SO4 eritmasining 99,5 ml iga qo'shib tayyorlanadi [2]. Ekish steril paxta tampon bilan, tampon suspenziyaga botirilib, ortiqcha qismi probirka devorida siqib olinib, idishni 60° ga burib, uch yo'nalishda amalga oshiriladi; ikkinchi usulda 1–2 ml suspenziya idish yuzasiga tomizilib, yoyiladi, ortiqchasi olib tashlanib, idish 10–15 daqiqa quritiladi [2].</w:t>
      </w:r>
    </w:p>
    <w:p>
      <w:pPr>
        <w:pStyle w:val="Heading2"/>
      </w:pPr>
      <w:r>
        <w:rPr>
          <w:rFonts w:ascii="Times New Roman" w:hAnsi="Times New Roman" w:eastAsia="Times New Roman"/>
          <w:b/>
          <w:sz w:val="28"/>
        </w:rPr>
        <w:t>Disklarni qo'yish va inkubatsiya</w:t>
      </w:r>
    </w:p>
    <w:p>
      <w:pPr>
        <w:spacing w:line="276" w:lineRule="auto"/>
        <w:ind w:firstLine="709"/>
        <w:jc w:val="both"/>
      </w:pPr>
      <w:r>
        <w:rPr>
          <w:rFonts w:ascii="Times New Roman" w:hAnsi="Times New Roman" w:eastAsia="Times New Roman"/>
          <w:b w:val="0"/>
          <w:sz w:val="28"/>
        </w:rPr>
        <w:t>Disklar inokulyum surtilgandan keyin 15 daqiqa ichida steril pinset yoki dispenser yordamida agar yuzasiga qo'yiladi va yengil bosiladi. Disk bilan idish chekkasi va disklar orasidagi masofa 15–20 mm bo'lishi, 100 mm li idishga 6 tadan ko'p disk qo'yilmasligi kerak; EUCAST ko'rsatmasida 90 mm li idishga odatda 6 tadan, 150 mm li idishga 12 tadan ortiq disk qo'yilmaydi [2], [3]. Disk qo'yilgandan keyin idishlar darhol termostatga to'nkarilgan holda qo'yiladi va 35 °C da 18–24 soat (Rossiya ko'rsatmasi) yoki 35 ± 1 °C da, masalan, ichak bakteriyalari, psevdomonadalar, stafilokokklar uchun 16–20 soat (EUCAST) saqlanadi [2], [3]. Suspenziya tayyorlash, ekish va inkubatsiyani boshlash o'rtasidagi har bir bosqich 15 daqiqadan oshmasligi kerak («15-15-15 qoidasi»): ekma bilan disk qo'yish yoki inkubatsiya o'rtasida uzilish antibiotikning agarga oldindan diffuziyalanishiga va zona diametrining kattalashishiga olib keladi [2], [3]. Inkubatsiya muddatini oshirib yuborish zona ichida o'sish paydo bo'lib, yolg'on chidamli xulosaga olib kelishi mumkin [3]. Streptokokklar, pnevmokokklar, gemofillar kabi talabchan mikroblar uchun inkubatsiya 4–6 foiz CO₂ li muhitda o'tkaziladi; enterokokklarda glikopeptidlarga chidamlilik faqat 24 soatdan keyin aniqlanishi mumkin [3].</w:t>
      </w:r>
    </w:p>
    <w:p>
      <w:pPr>
        <w:pStyle w:val="Heading2"/>
      </w:pPr>
      <w:r>
        <w:rPr>
          <w:rFonts w:ascii="Times New Roman" w:hAnsi="Times New Roman" w:eastAsia="Times New Roman"/>
          <w:b/>
          <w:sz w:val="28"/>
        </w:rPr>
        <w:t>Natijani hisobga olish</w:t>
      </w:r>
    </w:p>
    <w:p>
      <w:pPr>
        <w:spacing w:line="276" w:lineRule="auto"/>
        <w:ind w:firstLine="709"/>
        <w:jc w:val="both"/>
      </w:pPr>
      <w:r>
        <w:rPr>
          <w:rFonts w:ascii="Times New Roman" w:hAnsi="Times New Roman" w:eastAsia="Times New Roman"/>
          <w:b w:val="0"/>
          <w:sz w:val="28"/>
        </w:rPr>
        <w:t>Inkubatsiyadan keyin idish qorong'i xira sirtga qo'yilib, yorug'lik 45° burchak ostida tushadigan qilib (qaytgan yorug'likda) ko'riladi, inhibitsiya zonasi diametri 1 mm aniqligida, afzalroq shtangensirkul yoki chizg'ich bilan o'lchanadi [2], [3]. O'lchashda o'sishning to'liq to'xtash zonasiga e'tibor beriladi; zona ichidagi juda mayda koloniyalar va chekkadagi sezilarsiz parda hisobga olinmaydi (stafilokokklarning oksasillinga sezuvchanligi bundan mustasno). Zona ichida yirik koloniyalar topilsa, bu begona mikroflora yoki populyatsiya geteroresistentligini bildiradi va identifikatsiya hamda sezuvchanlik qayta tekshiriladi. Proteus ning tarqaluvchi shtammlarida zonani yupqa parda qoplashi mumkin, u hisobga olinmaydi; sulfanilamidlar va trimetoprim bilan kombinatsiyasi uchun zona chegarasi o'sish 80 foiz to'xtagan chegarada olinadi [2]. Natijani sezgir, oraliq yoki chidamli deb baholash uchun zona diametri joriy chegara qiymatlar jadvali bilan solishtiriladi [3]. Beta-laktamazalarning kengaytirilgan spektrini aniqlash uchun markazga amoksitsillin/klavulanat (20/10 mkg) diski, uning yon tomonlariga 20 va 30 mm masofada seftazidim va sefotaksim (30 mkg) disklari qo'yiladi [2].</w:t>
      </w:r>
    </w:p>
    <w:p>
      <w:pPr>
        <w:pStyle w:val="Heading2"/>
      </w:pPr>
      <w:r>
        <w:rPr>
          <w:rFonts w:ascii="Times New Roman" w:hAnsi="Times New Roman" w:eastAsia="Times New Roman"/>
          <w:b/>
          <w:sz w:val="28"/>
        </w:rPr>
        <w:t>Sifat nazorati</w:t>
      </w:r>
    </w:p>
    <w:p>
      <w:pPr>
        <w:spacing w:line="276" w:lineRule="auto"/>
        <w:ind w:firstLine="709"/>
        <w:jc w:val="both"/>
      </w:pPr>
      <w:r>
        <w:rPr>
          <w:rFonts w:ascii="Times New Roman" w:hAnsi="Times New Roman" w:eastAsia="Times New Roman"/>
          <w:b w:val="0"/>
          <w:sz w:val="28"/>
        </w:rPr>
        <w:t>Disk-diffuziya natijasi muhit tarkibi, qalinligi, inokulyum zichligi, disk sifati, harorat va muddatga bog'liq, shu sababli har bir partiya nazorat shtammlari bilan tekshiriladi va ularning zonalari qabul qilingan chegaralarda bo'lishi kerak [2], [3]. Natija bemorning ismi, material, ajratilgan mikrob va preparatlar nomlari bilan jurnalga yoziladi. Antibiotik tanlashda faqat laboratoriya natijasi emas, balki klinik holat ham hisobga olinadi.</w:t>
      </w:r>
    </w:p>
    <w:p>
      <w:pPr>
        <w:pStyle w:val="Heading2"/>
      </w:pPr>
      <w:r>
        <w:rPr>
          <w:rFonts w:ascii="Times New Roman" w:hAnsi="Times New Roman" w:eastAsia="Times New Roman"/>
          <w:b/>
          <w:sz w:val="28"/>
        </w:rPr>
        <w:t>Xulosa</w:t>
      </w:r>
    </w:p>
    <w:p>
      <w:pPr>
        <w:spacing w:line="276" w:lineRule="auto"/>
        <w:ind w:firstLine="709"/>
        <w:jc w:val="both"/>
      </w:pPr>
      <w:r>
        <w:rPr>
          <w:rFonts w:ascii="Times New Roman" w:hAnsi="Times New Roman" w:eastAsia="Times New Roman"/>
          <w:b w:val="0"/>
          <w:sz w:val="28"/>
        </w:rPr>
        <w:t>Disk-diffuziya usuli antibiotikning agarga diffuziyalanishiga asoslangan, standart muhit (Myuller–Xinton), 0,5 McFarland inokulyum, standart disklar, belgilangan harorat va muddat talab etadi. Natija zona diametri bo'yicha sezgir, oraliq yoki chidamli kategoriyaga kiritiladi. Muhit qalinligi, ekish va disk qo'yish vaqti, o'lchash qoidalari va nazorat shtammlariga rioya qilish ishonchli natijaning asosidir.</w:t>
      </w:r>
    </w:p>
    <w:p>
      <w:pPr>
        <w:pStyle w:val="Heading2"/>
      </w:pPr>
      <w:r>
        <w:rPr>
          <w:rFonts w:ascii="Times New Roman" w:hAnsi="Times New Roman" w:eastAsia="Times New Roman"/>
          <w:b/>
          <w:sz w:val="28"/>
        </w:rPr>
        <w:t>Foydalanilgan adabiyotlar</w:t>
      </w:r>
    </w:p>
    <w:p>
      <w:pPr>
        <w:spacing w:line="276" w:lineRule="auto"/>
        <w:jc w:val="left"/>
      </w:pPr>
      <w:r>
        <w:rPr>
          <w:rFonts w:ascii="Times New Roman" w:hAnsi="Times New Roman" w:eastAsia="Times New Roman"/>
          <w:b w:val="0"/>
          <w:sz w:val="24"/>
        </w:rPr>
        <w:t>[1] Aliyev ShR, Muxamedov IM. Mikrobiologiyadan laboratoriya mashg'ulotlariga doir qo'llanma. Toshkent: Ibn Sino nomidagi nashriyot-matbaa birlashmasi; 2013 (kirill yozuvida). Xayrullo Komilov kutubxonasi, id 2355: https://xayrullokomilov.uz/kutubxona/2355</w:t>
      </w:r>
    </w:p>
    <w:p>
      <w:pPr>
        <w:spacing w:line="276" w:lineRule="auto"/>
        <w:jc w:val="left"/>
      </w:pPr>
      <w:r>
        <w:rPr>
          <w:rFonts w:ascii="Times New Roman" w:hAnsi="Times New Roman" w:eastAsia="Times New Roman"/>
          <w:b w:val="0"/>
          <w:sz w:val="24"/>
        </w:rPr>
        <w:t>[2] MUK 4.2.1890-04. Mikroorganizmlarning antibakterial preparatlarga sezuvchanligini aniqlash: uslubiy ko'rsatmalar (rus tilida). Moskva: Rossiya Sog'liqni saqlash vazirligi Davlat sanepidnazorat federal markazi; 2004. 91 b. (Rossiya Federatsiyasi hujjati; O'zbekistonda rasmiy qo'llanilishi tasdiqlanmagan.) Xayrullo Komilov kutubxonasi, id 1980: https://xayrullokomilov.uz/kutubxona/1980</w:t>
      </w:r>
    </w:p>
    <w:p>
      <w:pPr>
        <w:spacing w:line="276" w:lineRule="auto"/>
        <w:jc w:val="left"/>
      </w:pPr>
      <w:r>
        <w:rPr>
          <w:rFonts w:ascii="Times New Roman" w:hAnsi="Times New Roman" w:eastAsia="Times New Roman"/>
          <w:b w:val="0"/>
          <w:sz w:val="24"/>
        </w:rPr>
        <w:t>[3] EUCAST. Antimikrob preparatlarga sezuvchanlikni aniqlash. Disk-diffuziya usuli, 6.0 versiya (2017-yil yanvar) (rus tiliga tarjima). Yevropa antimikrob sezuvchanlikni aniqlash qo'mitasi (ESCMID). Xayrullo Komilov kutubxonasi, id 1990: https://xayrullokomilov.uz/kutubxona/1990</w:t>
      </w:r>
    </w:p>
    <w:sectPr w:rsidR="00FC693F" w:rsidRPr="0006063C" w:rsidSect="000346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