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171. Olingan surtmalarni mikroblarning umumiy soniga tekshirish..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Surtmalardagi mikroblarning umumiy soni (UMS) — tekshirilgan yuza birligiga (1 sm2) to'g'ri keladigan koloniya hosil qiluvchi birliklar (KHB) soni bo'lib, qo'l, jihoz, inventar va idish-tovoq yuzasining umumiy bakterial ifloslanishini ko'rsatadi [1]. Pravosudova va Melnikov bo'yicha surtmalarda maqsadga qarab umumiy bakterial ifloslanish 1 sm2 tekshirilgan maydonga qayta hisoblab, IGTB va oltinsimon stafilokokk, ko'k yiring tayoqchasi hamda boshqa patogen mikroblar aniqlanadi [1]. Belarus qo'llanmasiga ko'ra sanitariya-ko'rsatkich mikroorganizmlar qatoriga mezofil aerob va fakultativ anaerob mikroorganizmlar soni (KMAFAnM) va IGTB kiradi [2]. Mavzuda surtmalarda UMS ni aniqlash tartibi ko'rib chiqiladi.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Surtma olingan tampon steril fiziologik eritmada yuviladi, yuvindi suyuqlik Petri idishlarida oziq agarga chuqur usulda ekiladi, o'sgan koloniyalar sanalib, natija 1 sm2 yuzaga qayta hisoblanadi [1]. Usul oziq-ovqat mahsulotlari uchun GOST 10444.15-94 ga yaqin: oziqli agarga ekish, inkubatsiya, ko'rinadigan koloniyalarni sanash [3].</w:t>
      </w:r>
    </w:p>
    <w:p>
      <w:pPr>
        <w:pStyle w:val="Heading2"/>
      </w:pPr>
      <w:r>
        <w:rPr>
          <w:rFonts w:ascii="Times New Roman" w:hAnsi="Times New Roman" w:eastAsia="Times New Roman"/>
          <w:b/>
          <w:sz w:val="28"/>
        </w:rPr>
        <w:t>Surtma olish</w:t>
      </w:r>
    </w:p>
    <w:p>
      <w:pPr>
        <w:spacing w:line="276" w:lineRule="auto"/>
        <w:ind w:firstLine="709"/>
        <w:jc w:val="both"/>
      </w:pPr>
      <w:r>
        <w:rPr>
          <w:rFonts w:ascii="Times New Roman" w:hAnsi="Times New Roman" w:eastAsia="Times New Roman"/>
          <w:b w:val="0"/>
          <w:sz w:val="28"/>
        </w:rPr>
        <w:t>Surtma steril paxta tamponi yoki 5 × 5 sm salfetka bilan 2 ml steril fiziologik eritma bilan namlab olinadi; katta yuzalardan 100 sm2 maydondan (25 sm2 shablon 4 joyga), kichik buyumlardan butun yuzadan, qo'ldan kaft, barmoqlar, tirnoqlar va barmoqlararo yuzalardan olinadi (167–168-mavzular) [1][2]. Salfetka o'sha probirkaga qaytariladi [1].</w:t>
      </w:r>
    </w:p>
    <w:p>
      <w:pPr>
        <w:pStyle w:val="Heading2"/>
      </w:pPr>
      <w:r>
        <w:rPr>
          <w:rFonts w:ascii="Times New Roman" w:hAnsi="Times New Roman" w:eastAsia="Times New Roman"/>
          <w:b/>
          <w:sz w:val="28"/>
        </w:rPr>
        <w:t>Ekish</w:t>
      </w:r>
    </w:p>
    <w:p>
      <w:pPr>
        <w:spacing w:line="276" w:lineRule="auto"/>
        <w:ind w:firstLine="709"/>
        <w:jc w:val="both"/>
      </w:pPr>
      <w:r>
        <w:rPr>
          <w:rFonts w:ascii="Times New Roman" w:hAnsi="Times New Roman" w:eastAsia="Times New Roman"/>
          <w:b w:val="0"/>
          <w:sz w:val="28"/>
        </w:rPr>
        <w:t>Pravosudova va Melnikov bo'yicha [1]:</w:t>
      </w:r>
    </w:p>
    <w:p>
      <w:pPr>
        <w:pStyle w:val="ListBullet"/>
        <w:jc w:val="both"/>
      </w:pPr>
      <w:r>
        <w:rPr>
          <w:rFonts w:ascii="Times New Roman" w:hAnsi="Times New Roman" w:eastAsia="Times New Roman"/>
          <w:b w:val="0"/>
          <w:sz w:val="28"/>
        </w:rPr>
        <w:t>UMS ni aniqlash uchun tampon bilan namlangan 2 ml fiziologik eritmaga yana 8 ml qo'shiladi (jami 10 ml);</w:t>
      </w:r>
    </w:p>
    <w:p>
      <w:pPr>
        <w:pStyle w:val="ListBullet"/>
        <w:jc w:val="both"/>
      </w:pPr>
      <w:r>
        <w:rPr>
          <w:rFonts w:ascii="Times New Roman" w:hAnsi="Times New Roman" w:eastAsia="Times New Roman"/>
          <w:b w:val="0"/>
          <w:sz w:val="28"/>
        </w:rPr>
        <w:t>tampon shisha munchoqlar bilan 10 daqiqa chayqatilib yaxshilab yuviladi;</w:t>
      </w:r>
    </w:p>
    <w:p>
      <w:pPr>
        <w:pStyle w:val="ListBullet"/>
        <w:jc w:val="both"/>
      </w:pPr>
      <w:r>
        <w:rPr>
          <w:rFonts w:ascii="Times New Roman" w:hAnsi="Times New Roman" w:eastAsia="Times New Roman"/>
          <w:b w:val="0"/>
          <w:sz w:val="28"/>
        </w:rPr>
        <w:t>hosil bo'lgan yuvindi suyuqlik (1 : 10 suyultirma) dan 0,5 ml dan ikkita Petri idishiga go'sht-peptonli agar (GPA) bilan chuqur usulda ekiladi;</w:t>
      </w:r>
    </w:p>
    <w:p>
      <w:pPr>
        <w:pStyle w:val="ListBullet"/>
        <w:jc w:val="both"/>
      </w:pPr>
      <w:r>
        <w:rPr>
          <w:rFonts w:ascii="Times New Roman" w:hAnsi="Times New Roman" w:eastAsia="Times New Roman"/>
          <w:b w:val="0"/>
          <w:sz w:val="28"/>
        </w:rPr>
        <w:t>ekmalar 37 °C da 48 soat saqlanadi;</w:t>
      </w:r>
    </w:p>
    <w:p>
      <w:pPr>
        <w:pStyle w:val="ListBullet"/>
        <w:jc w:val="both"/>
      </w:pPr>
      <w:r>
        <w:rPr>
          <w:rFonts w:ascii="Times New Roman" w:hAnsi="Times New Roman" w:eastAsia="Times New Roman"/>
          <w:b w:val="0"/>
          <w:sz w:val="28"/>
        </w:rPr>
        <w:t>o'sgan koloniyalar sanalib, 1 sm2 tekshirilgan yuzaga qayta hisoblanadi.</w:t>
      </w:r>
    </w:p>
    <w:p>
      <w:pPr>
        <w:spacing w:line="276" w:lineRule="auto"/>
        <w:ind w:firstLine="709"/>
        <w:jc w:val="both"/>
      </w:pPr>
      <w:r>
        <w:rPr>
          <w:rFonts w:ascii="Times New Roman" w:hAnsi="Times New Roman" w:eastAsia="Times New Roman"/>
          <w:b w:val="0"/>
          <w:sz w:val="28"/>
        </w:rPr>
        <w:t>GOST 10444.15-94 da oziq-ovqat uchun umumiy tamoyil: 1 sm3 dan ikkita parallel idishga ekish, 30 ± 1 °C da 72 ± 3 soat saqlash, 15 dan 300 gacha koloniya o'sgan idishlarni sanash [3]; surtmalar uchun esa Pravosudova–Melnikov bo'yicha 37 °C va 48 soat ko'rsatilgan (bu farq hisobotda qayd etilgan).</w:t>
      </w:r>
    </w:p>
    <w:p>
      <w:pPr>
        <w:pStyle w:val="Heading2"/>
      </w:pPr>
      <w:r>
        <w:rPr>
          <w:rFonts w:ascii="Times New Roman" w:hAnsi="Times New Roman" w:eastAsia="Times New Roman"/>
          <w:b/>
          <w:sz w:val="28"/>
        </w:rPr>
        <w:t>Hisoblash</w:t>
      </w:r>
    </w:p>
    <w:p>
      <w:pPr>
        <w:spacing w:line="276" w:lineRule="auto"/>
        <w:ind w:firstLine="709"/>
        <w:jc w:val="both"/>
      </w:pPr>
      <w:r>
        <w:rPr>
          <w:rFonts w:ascii="Times New Roman" w:hAnsi="Times New Roman" w:eastAsia="Times New Roman"/>
          <w:b w:val="0"/>
          <w:sz w:val="28"/>
        </w:rPr>
        <w:t>Yuvindi hajmi 10 ml, ekilgan hajm 0,5 ml bo'lgani uchun tampon yuvindisidagi umumiy KHB: N = C · 20, bunda C — ikkala idishdagi koloniyalarning o'rtacha soni (20 = 10 ml : 0,5 ml). Maydon 100 sm2 bo'lsa, 1 sm2 ga: UMS = N / 100 (muallif hisob-kitobi, hajm va maydon nisbatidan chiqarilgan). Masalan, idishlarda 12 va 8 koloniya o'ssa, C = 10, N = 200, UMS = 200 : 100 = 2 KHB/sm2 (o'quv misoli, muallif izohi). Kichik buyumlarda maydon buyumning o'lchangan yuzasi bo'yicha olinadi [1].</w:t>
      </w:r>
    </w:p>
    <w:p>
      <w:pPr>
        <w:pStyle w:val="Heading2"/>
      </w:pPr>
      <w:r>
        <w:rPr>
          <w:rFonts w:ascii="Times New Roman" w:hAnsi="Times New Roman" w:eastAsia="Times New Roman"/>
          <w:b/>
          <w:sz w:val="28"/>
        </w:rPr>
        <w:t>Jihozlar va maydonni aniqlash</w:t>
      </w:r>
    </w:p>
    <w:p>
      <w:pPr>
        <w:spacing w:line="276" w:lineRule="auto"/>
        <w:ind w:firstLine="709"/>
        <w:jc w:val="both"/>
      </w:pPr>
      <w:r>
        <w:rPr>
          <w:rFonts w:ascii="Times New Roman" w:hAnsi="Times New Roman" w:eastAsia="Times New Roman"/>
          <w:b w:val="0"/>
          <w:sz w:val="28"/>
        </w:rPr>
        <w:t>Termostat (37 °C), steril Petri idishlari va pipetkalar, shisha munchoqlar solingan probirkalar yoki kolbalar, eritilgan va 45 °C gacha sovitilgan GPA, 0,9 % steril natriy xlorid eritmasi, steril shablonlar [1][6]. GOST 26669-85 bo'yicha namuna yuzasining maydoni tegishli o'lchamdagi teshikli steril shablonlar yordamida o'lchanadi, tampon peptonli-tuzli eritma bilan namlanadi va turli joylardan jami 100 sm2 maydon artiladi [6].</w:t>
      </w:r>
    </w:p>
    <w:p>
      <w:pPr>
        <w:pStyle w:val="Heading2"/>
      </w:pPr>
      <w:r>
        <w:rPr>
          <w:rFonts w:ascii="Times New Roman" w:hAnsi="Times New Roman" w:eastAsia="Times New Roman"/>
          <w:b/>
          <w:sz w:val="28"/>
        </w:rPr>
        <w:t>Chayindi suv usuli bilan taqqoslash</w:t>
      </w:r>
    </w:p>
    <w:p>
      <w:pPr>
        <w:spacing w:line="276" w:lineRule="auto"/>
        <w:ind w:firstLine="709"/>
        <w:jc w:val="both"/>
      </w:pPr>
      <w:r>
        <w:rPr>
          <w:rFonts w:ascii="Times New Roman" w:hAnsi="Times New Roman" w:eastAsia="Times New Roman"/>
          <w:b w:val="0"/>
          <w:sz w:val="28"/>
        </w:rPr>
        <w:t>Komilov qo'llanmasida dorixona idishlarining mikrob soni chayindi suv yordamida baholanadi: 10 ml steril suv bilan uchta bir xil flakon chayiladi, 1 ml chayindi suvdagi mikroblar soni 10 ga ko'paytiriladi (uchta flakonning umumiy yuzasidagi mikroblar soni); 3 ta flakon, 5 ta tiqin va 5 ta prokladkada (ya'ni 10 ml chayindi suvda) 150 tadan ko'p bo'lmasligi kerak [7]. Surtma usulida ham xuddi shu tamoyil: yuvindi hajmi va ekilgan hajm nisbati bo'yicha ko'paytirgich olinadi.</w:t>
      </w:r>
    </w:p>
    <w:p>
      <w:pPr>
        <w:pStyle w:val="Heading2"/>
      </w:pPr>
      <w:r>
        <w:rPr>
          <w:rFonts w:ascii="Times New Roman" w:hAnsi="Times New Roman" w:eastAsia="Times New Roman"/>
          <w:b/>
          <w:sz w:val="28"/>
        </w:rPr>
        <w:t>Umumiy sonni boshqa ko'rsatkichlar bilan solishtirish</w:t>
      </w:r>
    </w:p>
    <w:p>
      <w:pPr>
        <w:spacing w:line="276" w:lineRule="auto"/>
        <w:ind w:firstLine="709"/>
        <w:jc w:val="both"/>
      </w:pPr>
      <w:r>
        <w:rPr>
          <w:rFonts w:ascii="Times New Roman" w:hAnsi="Times New Roman" w:eastAsia="Times New Roman"/>
          <w:b w:val="0"/>
          <w:sz w:val="28"/>
        </w:rPr>
        <w:t>Umumiy son yuqori bo'lib, IGTB va stafilokokk topilmasa, bu yuzaning ifloslanishini bildirsa-da, patogen ifloslanishni isbotlamaydi. IGTB va S. aureus topilishi esa alohida muhim: ular uchun sifat testlari (169–170-mavzular) o'tkaziladi (muallif izohi).</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Pravosudova va Melnikov surtmalar uchun UMS bo'yicha raqamli norma keltirmaydi; talab sifatida IGTB, ko'k yiring tayoqchasi, proteylar va stafilokokk yo'qligi ko'rsatilgan [1]. Belarus qo'llanmasi ham surtmalar uchun umumiy son normasini bermaydi, faqat tekshiruv vazifalarini belgilaydi [2]. Shu sababli UMS natijasi muassasa ichki nazorati va dezinfeksiya (mexanik tozalash, yuvish) samaradorligini oldingi va keyingi natijalarni solishtirish orqali baholashda ishlatiladi (muallif izohi). Eski SSSR me'yorlarida umumiy ovqatlanishda yuvish vositalari samaradorligini nazorat qilishda umumiy bakterial ifloslanish ham aniqlanishi ko'rsatilgan [4].</w:t>
      </w:r>
    </w:p>
    <w:p>
      <w:pPr>
        <w:pStyle w:val="Heading2"/>
      </w:pPr>
      <w:r>
        <w:rPr>
          <w:rFonts w:ascii="Times New Roman" w:hAnsi="Times New Roman" w:eastAsia="Times New Roman"/>
          <w:b/>
          <w:sz w:val="28"/>
        </w:rPr>
        <w:t>Bayonnoma</w:t>
      </w:r>
    </w:p>
    <w:p>
      <w:pPr>
        <w:spacing w:line="276" w:lineRule="auto"/>
        <w:ind w:firstLine="709"/>
        <w:jc w:val="both"/>
      </w:pPr>
      <w:r>
        <w:rPr>
          <w:rFonts w:ascii="Times New Roman" w:hAnsi="Times New Roman" w:eastAsia="Times New Roman"/>
          <w:b w:val="0"/>
          <w:sz w:val="28"/>
        </w:rPr>
        <w:t>Bayonnomada surtma olingan ob'ekt, maydon (sm2), sana, tampon yuvindisi hajmi, ekilgan hajm, idishlardagi koloniyalar soni, hisoblangan KHB/sm2, inkubatsiya sharoiti (37 °C, 48 soat) va xulosa ko'rsatiladi; yo'llanma xati va yorliq bilan natijalar bir joyda saqlanadi (muallif izohi).</w:t>
      </w:r>
    </w:p>
    <w:p>
      <w:pPr>
        <w:pStyle w:val="Heading2"/>
      </w:pPr>
      <w:r>
        <w:rPr>
          <w:rFonts w:ascii="Times New Roman" w:hAnsi="Times New Roman" w:eastAsia="Times New Roman"/>
          <w:b/>
          <w:sz w:val="28"/>
        </w:rPr>
        <w:t>Davriylik</w:t>
      </w:r>
    </w:p>
    <w:p>
      <w:pPr>
        <w:spacing w:line="276" w:lineRule="auto"/>
        <w:ind w:firstLine="709"/>
        <w:jc w:val="both"/>
      </w:pPr>
      <w:r>
        <w:rPr>
          <w:rFonts w:ascii="Times New Roman" w:hAnsi="Times New Roman" w:eastAsia="Times New Roman"/>
          <w:b w:val="0"/>
          <w:sz w:val="28"/>
        </w:rPr>
        <w:t>SSSR-davri hujjatiga ko'ra umumiy ovqatlanish korxonalarida jihoz, inventar, idish va qo'llardan surtmalar +10 °C dan yuqori haroratda oyiga 1 marta, past haroratda 2 oyda 1 marta o'tkazilgan [4]. SanPiN № 0342-17 bo'yicha davolash muassasalarida tashqi muhit ob'ektlaridan surtmalar uchun laboratoriya nazorati har chorakda 1 marta amalga oshiriladi va natijalar infeksion nazorat komissiyasida muhokama qilinadi [5].</w:t>
      </w:r>
    </w:p>
    <w:p>
      <w:pPr>
        <w:pStyle w:val="Heading2"/>
      </w:pPr>
      <w:r>
        <w:rPr>
          <w:rFonts w:ascii="Times New Roman" w:hAnsi="Times New Roman" w:eastAsia="Times New Roman"/>
          <w:b/>
          <w:sz w:val="28"/>
        </w:rPr>
        <w:t>Nazorat va xatolar</w:t>
      </w:r>
    </w:p>
    <w:p>
      <w:pPr>
        <w:spacing w:line="276" w:lineRule="auto"/>
        <w:ind w:firstLine="709"/>
        <w:jc w:val="both"/>
      </w:pPr>
      <w:r>
        <w:rPr>
          <w:rFonts w:ascii="Times New Roman" w:hAnsi="Times New Roman" w:eastAsia="Times New Roman"/>
          <w:b w:val="0"/>
          <w:sz w:val="28"/>
        </w:rPr>
        <w:t>Namlangan tamponni suv bilan ortiqcha yuvish, shisha munchoqlarsiz chayqatish, ekilgan hajmni noto'g'ri hisoblash, idish ostiga yozuv qo'ymaslik natijani buzadi (muallif izohi). Yuza dezinfeksiya qilingan bo'lsa, neytralizator eritma ishlatish tavsiya etiladi (muallif izohi); Pravosudova va Melnikov bo'yicha jarroh qo'lidan surtma "neytralizator eritmasi" bilan namlangan salfetka bilan olinadi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Surtmalarda UMS tampon yuvindisini (10 ml, 1 : 10) 0,5 ml dan ikki idishga GPA bilan ekib, 37 °C da 48 soat saqlash va koloniyalarni sanash orqali aniqlanadi, natija 1 sm2 yuzaga qayta hisoblanadi. UMS ichki nazorat uchun ishlatiladi; IGTB, ko'k yiring tayoqchasi, proteylar va stafilokokk surtmalarda bo'lmasligi kerak.</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[2]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[3] GOST 10444.15-94. Oziq-ovqat mahsulotlari: mezofil aerob va fakultativ anaerob mikroorganizmlar sonini aniqlash usullari (davlatlararo standart; Uzgosstandart ovoz bergan; rus tilida). Xayrullo Komilov kutubxonasi, id 972: https://xayrullokomilov.uz/kutubxona/972</w:t>
      </w:r>
    </w:p>
    <w:p>
      <w:pPr>
        <w:spacing w:line="276" w:lineRule="auto"/>
        <w:jc w:val="left"/>
      </w:pPr>
      <w:r>
        <w:rPr>
          <w:rFonts w:ascii="Times New Roman" w:hAnsi="Times New Roman" w:eastAsia="Times New Roman"/>
          <w:b w:val="0"/>
          <w:sz w:val="24"/>
        </w:rPr>
        <w:t>[4] MU № 2671-83. Atrof-muhit ob'ektlarining asosiy sanitariya-bakteriologik tekshiruvlarini o'tkazish normativlari: uslubiy ko'rsatmalar (rus tilida; SSSR Sog'liqni saqlash vazirligi, 24.02.1983; tarixiy hujjat, O'zbekistonda qo'llanilishi tasdiqlanmagan). Xayrullo Komilov kutubxonasi, id 1310: https://xayrullokomilov.uz/kutubxona/1310</w:t>
      </w:r>
    </w:p>
    <w:p>
      <w:pPr>
        <w:spacing w:line="276" w:lineRule="auto"/>
        <w:jc w:val="left"/>
      </w:pPr>
      <w:r>
        <w:rPr>
          <w:rFonts w:ascii="Times New Roman" w:hAnsi="Times New Roman" w:eastAsia="Times New Roman"/>
          <w:b w:val="0"/>
          <w:sz w:val="24"/>
        </w:rPr>
        <w:t>[5]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[6] GOST 26669-85. Oziq-ovqat va ta'm mahsulotlari: mikrobiologik tahlillar uchun namunalarni tayyorlash (1-o'zgartirish bilan; rus tilida). Xayrullo Komilov kutubxonasi, id 1000: https://xayrullokomilov.uz/kutubxona/1000</w:t>
      </w:r>
    </w:p>
    <w:p>
      <w:pPr>
        <w:spacing w:line="276" w:lineRule="auto"/>
        <w:jc w:val="left"/>
      </w:pPr>
      <w:r>
        <w:rPr>
          <w:rFonts w:ascii="Times New Roman" w:hAnsi="Times New Roman" w:eastAsia="Times New Roman"/>
          <w:b w:val="0"/>
          <w:sz w:val="24"/>
        </w:rPr>
        <w:t>[7]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