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29. Disbakterioz va antibiotiklarni zaxarli ta'sirini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Antibiotiklar infeksiyalarni davolashda hal qiluvchi ahamiyatga ega, lekin ularni noto'g'ri yoki uzoq qo'llash organizmga nomaqbul ta'sir ko'rsatadi: normal mikroflora buziladi (disbakterioz), allergik reaksiyalar rivojlanadi va ayrim a'zolar shikastlanadi [1]. Bakteriolog-laborant disbakteriozni aniqlash usullarini va antibiotik terapiyasining asoratlarini bilishi kerak, chunki bu bilim sezuvchanlikni aniqlash, bemor materialini tekshirish va natijani to'g'ri talqin qilish uchun zarur.</w:t>
      </w:r>
    </w:p>
    <w:p>
      <w:pPr>
        <w:pStyle w:val="Heading2"/>
      </w:pPr>
      <w:r>
        <w:rPr>
          <w:rFonts w:ascii="Times New Roman" w:hAnsi="Times New Roman" w:eastAsia="Times New Roman"/>
          <w:b/>
          <w:sz w:val="28"/>
        </w:rPr>
        <w:t>Disbakterioz tushunchasi</w:t>
      </w:r>
    </w:p>
    <w:p>
      <w:pPr>
        <w:spacing w:line="276" w:lineRule="auto"/>
        <w:ind w:firstLine="709"/>
        <w:jc w:val="both"/>
      </w:pPr>
      <w:r>
        <w:rPr>
          <w:rFonts w:ascii="Times New Roman" w:hAnsi="Times New Roman" w:eastAsia="Times New Roman"/>
          <w:b w:val="0"/>
          <w:sz w:val="28"/>
        </w:rPr>
        <w:t>Me'yoriy ichak mikroflorasining sifat va miqdoriy buzilishi «disbakterioz» yoki «disbioz» deb ataladi. Atamani tibbiyot amaliyotiga 1916-yilda A. Nisle kiritgan. Ingliz tilida u bakteriyalarning ortiqcha o'sib ketish sindromi (bacterial overgrowth syndrome) deb nomlanadi. Disbakterioz mustaqil nozologik shakl emas, balki klinik-laborator sindrom hisoblanadi [2]. Normal mikroflora himoya, moddalar almashinuvi va immun vazifalarini bajargani uchun uning buzilishi metabolizm buzilishiga, vitaminlar, mikroelementlar yetishmovchiligiga va immun holatning pasayishiga olib kelishi mumkin [2].</w:t>
      </w:r>
    </w:p>
    <w:p>
      <w:pPr>
        <w:pStyle w:val="Heading2"/>
      </w:pPr>
      <w:r>
        <w:rPr>
          <w:rFonts w:ascii="Times New Roman" w:hAnsi="Times New Roman" w:eastAsia="Times New Roman"/>
          <w:b/>
          <w:sz w:val="28"/>
        </w:rPr>
        <w:t>Disbakteriozning sabablari</w:t>
      </w:r>
    </w:p>
    <w:p>
      <w:pPr>
        <w:spacing w:line="276" w:lineRule="auto"/>
        <w:ind w:firstLine="709"/>
        <w:jc w:val="both"/>
      </w:pPr>
      <w:r>
        <w:rPr>
          <w:rFonts w:ascii="Times New Roman" w:hAnsi="Times New Roman" w:eastAsia="Times New Roman"/>
          <w:b w:val="0"/>
          <w:sz w:val="28"/>
        </w:rPr>
        <w:t>Disbakterioz quyidagi sabablarga ko'ra yuzaga keladi [2]:</w:t>
      </w:r>
    </w:p>
    <w:p>
      <w:pPr>
        <w:pStyle w:val="ListBullet"/>
        <w:jc w:val="both"/>
      </w:pPr>
      <w:r>
        <w:rPr>
          <w:rFonts w:ascii="Times New Roman" w:hAnsi="Times New Roman" w:eastAsia="Times New Roman"/>
          <w:b w:val="0"/>
          <w:sz w:val="28"/>
        </w:rPr>
        <w:t>ovqatlanish turi, yosh, yil fasli, atrof-muhit holati;</w:t>
      </w:r>
    </w:p>
    <w:p>
      <w:pPr>
        <w:pStyle w:val="ListBullet"/>
        <w:jc w:val="both"/>
      </w:pPr>
      <w:r>
        <w:rPr>
          <w:rFonts w:ascii="Times New Roman" w:hAnsi="Times New Roman" w:eastAsia="Times New Roman"/>
          <w:b w:val="0"/>
          <w:sz w:val="28"/>
        </w:rPr>
        <w:t>oshqozon-ichak tizimining surunkali kasalliklari, ichakni shikastlaydigan o'tkir ichak infeksiyalari, surunkali kolit va enterokolit, nospetsifik yarali kolit, ichak invaziyalari;</w:t>
      </w:r>
    </w:p>
    <w:p>
      <w:pPr>
        <w:pStyle w:val="ListBullet"/>
        <w:jc w:val="both"/>
      </w:pPr>
      <w:r>
        <w:rPr>
          <w:rFonts w:ascii="Times New Roman" w:hAnsi="Times New Roman" w:eastAsia="Times New Roman"/>
          <w:b w:val="0"/>
          <w:sz w:val="28"/>
        </w:rPr>
        <w:t>antibiotiklar, gormonlar yoki nur bilan uzoq davolanish;</w:t>
      </w:r>
    </w:p>
    <w:p>
      <w:pPr>
        <w:pStyle w:val="ListBullet"/>
        <w:jc w:val="both"/>
      </w:pPr>
      <w:r>
        <w:rPr>
          <w:rFonts w:ascii="Times New Roman" w:hAnsi="Times New Roman" w:eastAsia="Times New Roman"/>
          <w:b w:val="0"/>
          <w:sz w:val="28"/>
        </w:rPr>
        <w:t>chaqaloqlarda — chala tug'ilish, sun'iy ovqatlantirishga erta o'tish, onadagi patologiyalar (og'ir toksikoz, mastit).</w:t>
      </w:r>
    </w:p>
    <w:p>
      <w:pPr>
        <w:spacing w:line="276" w:lineRule="auto"/>
        <w:ind w:firstLine="709"/>
        <w:jc w:val="both"/>
      </w:pPr>
      <w:r>
        <w:rPr>
          <w:rFonts w:ascii="Times New Roman" w:hAnsi="Times New Roman" w:eastAsia="Times New Roman"/>
          <w:b w:val="0"/>
          <w:sz w:val="28"/>
        </w:rPr>
        <w:t>Antibiotiklarni, ayniqsa keng spektrlisini katta miqdorda yuborish nafas yo'llari, ichak va boshqa a'zolar normal mikroflorasining nobud bo'lishiga olib keladi. Natijada bu antibiotiklarga chidamli shartli patogen bakteriyalar (stafilokokk, protey) va Candida avlodi zamburug'lari faollashib, ikkilamchi infeksiya chaqiradi — teri, shilliq qavat, ichki a'zolar kandidozi va disbakterioz yuzaga keladi [1].</w:t>
      </w:r>
    </w:p>
    <w:p>
      <w:pPr>
        <w:pStyle w:val="Heading2"/>
      </w:pPr>
      <w:r>
        <w:rPr>
          <w:rFonts w:ascii="Times New Roman" w:hAnsi="Times New Roman" w:eastAsia="Times New Roman"/>
          <w:b/>
          <w:sz w:val="28"/>
        </w:rPr>
        <w:t>Tasniflash</w:t>
      </w:r>
    </w:p>
    <w:p>
      <w:pPr>
        <w:spacing w:line="276" w:lineRule="auto"/>
        <w:ind w:firstLine="709"/>
        <w:jc w:val="both"/>
      </w:pPr>
      <w:r>
        <w:rPr>
          <w:rFonts w:ascii="Times New Roman" w:hAnsi="Times New Roman" w:eastAsia="Times New Roman"/>
          <w:b w:val="0"/>
          <w:sz w:val="28"/>
        </w:rPr>
        <w:t>Ichak disbakteriozi shakli (latent, mahalliy, tarqalgan), og'irligi va kompensatsiya darajasi (kompensatsiyalangan, subkompensatsiyalangan, dekompensatsiyalangan) bo'yicha tavsiflanadi. Rossiyada to'rt darajali baholash taklif qilingan: I daraja — bifido- va laktoflora me'yorda; II daraja — anaeroblar kamayadi, ichak tayoqchasining atipik shakllari paydo bo'ladi, qolgan mikroblar 10^3–10^4 KHB/g; III daraja — anaerob flora keskin kamayadi, shartli patogenlar 10^5–10^7 KHB/g va undan ko'p; IV daraja — shartli patogenlar 10^6–10^7 KHB/g va undan ko'p o'sib ketadi. Qozog'iston olimlari uch darajali baholashni taklif qilgan [2].</w:t>
      </w:r>
    </w:p>
    <w:p>
      <w:pPr>
        <w:spacing w:line="276" w:lineRule="auto"/>
        <w:ind w:firstLine="709"/>
        <w:jc w:val="both"/>
      </w:pPr>
      <w:r>
        <w:rPr>
          <w:rFonts w:ascii="Times New Roman" w:hAnsi="Times New Roman" w:eastAsia="Times New Roman"/>
          <w:b w:val="0"/>
          <w:sz w:val="28"/>
        </w:rPr>
        <w:t>O'zbekiston sharoitida ichak mikroflorasining o'zgarishi ikki darajada baholanadi (Garib F. Yu., Odilov Sh. K., Narbayeva I. E. va boshqalar usuli) [2]:</w:t>
      </w:r>
    </w:p>
    <w:p>
      <w:pPr>
        <w:pStyle w:val="ListBullet"/>
        <w:jc w:val="both"/>
      </w:pPr>
      <w:r>
        <w:rPr>
          <w:rFonts w:ascii="Times New Roman" w:hAnsi="Times New Roman" w:eastAsia="Times New Roman"/>
          <w:b w:val="0"/>
          <w:sz w:val="28"/>
        </w:rPr>
        <w:t>I daraja — o'zgarish faqat indigen (doimiy) guruh vakillari orasida: bifido- va laktobakteriyalar me'yordagi ichak tayoqchasiga nisbatan kamayadi, ichak disfunksiyasi bo'lmaydi;</w:t>
      </w:r>
    </w:p>
    <w:p>
      <w:pPr>
        <w:pStyle w:val="ListBullet"/>
        <w:jc w:val="both"/>
      </w:pPr>
      <w:r>
        <w:rPr>
          <w:rFonts w:ascii="Times New Roman" w:hAnsi="Times New Roman" w:eastAsia="Times New Roman"/>
          <w:b w:val="0"/>
          <w:sz w:val="28"/>
        </w:rPr>
        <w:t>II daraja — indigen bakteriyalar kamayibgina qolmay, fakultativ guruhdagi shartli patogenlar ham ko'payadi, ichak disfunksiyasi belgilari yaqqol ko'rinadi.</w:t>
      </w:r>
    </w:p>
    <w:p>
      <w:pPr>
        <w:spacing w:line="276" w:lineRule="auto"/>
        <w:ind w:firstLine="709"/>
        <w:jc w:val="both"/>
      </w:pPr>
      <w:r>
        <w:rPr>
          <w:rFonts w:ascii="Times New Roman" w:hAnsi="Times New Roman" w:eastAsia="Times New Roman"/>
          <w:b w:val="0"/>
          <w:sz w:val="28"/>
        </w:rPr>
        <w:t>Darajalar disbakterioz indeksi (DI) bilan aniqlanadi: DI I — E. coli KHB/g ning indigen bakteriyalar KHB/g ga nisbati, DI II — fakultativ bakteriyalar KHB/g ning indigen bakteriyalar KHB/g ga nisbati. Agar DI I &gt; 0,1, DI II ≤ 0,5 bo'lsa, disbakteriozning I darajasi; DI II &gt; 0,5 bo'lsa (DI I qanday bo'lishidan qat'i nazar), II darajasi deb qaraladi [2].</w:t>
      </w:r>
    </w:p>
    <w:p>
      <w:pPr>
        <w:pStyle w:val="Heading2"/>
      </w:pPr>
      <w:r>
        <w:rPr>
          <w:rFonts w:ascii="Times New Roman" w:hAnsi="Times New Roman" w:eastAsia="Times New Roman"/>
          <w:b/>
          <w:sz w:val="28"/>
        </w:rPr>
        <w:t>Bakteriologik tashxis</w:t>
      </w:r>
    </w:p>
    <w:p>
      <w:pPr>
        <w:spacing w:line="276" w:lineRule="auto"/>
        <w:ind w:firstLine="709"/>
        <w:jc w:val="both"/>
      </w:pPr>
      <w:r>
        <w:rPr>
          <w:rFonts w:ascii="Times New Roman" w:hAnsi="Times New Roman" w:eastAsia="Times New Roman"/>
          <w:b w:val="0"/>
          <w:sz w:val="28"/>
        </w:rPr>
        <w:t>Muvaffaqiyatning asosiy sharti — materialni to'g'ri olish va laboratoriyaga o'z vaqtida yetkazish. Dominant bo'lgan sporasiz qat'iy anaeroblar kislorodning o'ldiruvchi ta'siridan himoyalanishi kerak, shuning uchun najas rezina tiqinli probirkada, qin materiali esa tioglikolli transport muhiti solingan rezina tiqinli probirkada olib kelinadi; material olinganidan ekishgacha o'tadigan vaqt 2 soatdan oshmasligi lozim [2]. Shuningdek, tekshiruv natijasi bemorning yoshi, ovqatlanishi, dori qabul qilishi va klinik belgilari bilan birga baholanadi. Najasning chuqur qismidan 1 g (qin suyuqligidan 1 ml) 9 ml bufer eritmada aralashtiriladi, eritma 10^1 dan 10^10 gacha suyultirilib, quyidagi muhitlarga ekiladi [2]:</w:t>
      </w:r>
    </w:p>
    <w:p>
      <w:pPr>
        <w:pStyle w:val="ListBullet"/>
        <w:jc w:val="both"/>
      </w:pPr>
      <w:r>
        <w:rPr>
          <w:rFonts w:ascii="Times New Roman" w:hAnsi="Times New Roman" w:eastAsia="Times New Roman"/>
          <w:b w:val="0"/>
          <w:sz w:val="28"/>
        </w:rPr>
        <w:t>bakteroidlar uchun natriy-azid qo'shilgan qonli agar (35 °C, 72 soat, anaerostatda 2–4 kun);</w:t>
      </w:r>
    </w:p>
    <w:p>
      <w:pPr>
        <w:pStyle w:val="ListBullet"/>
        <w:jc w:val="both"/>
      </w:pPr>
      <w:r>
        <w:rPr>
          <w:rFonts w:ascii="Times New Roman" w:hAnsi="Times New Roman" w:eastAsia="Times New Roman"/>
          <w:b w:val="0"/>
          <w:sz w:val="28"/>
        </w:rPr>
        <w:t>bifidobakteriyalar uchun Blaurokka agari (37,5–38 °C, 48 soat, anaerob sharoit);</w:t>
      </w:r>
    </w:p>
    <w:p>
      <w:pPr>
        <w:pStyle w:val="ListBullet"/>
        <w:jc w:val="both"/>
      </w:pPr>
      <w:r>
        <w:rPr>
          <w:rFonts w:ascii="Times New Roman" w:hAnsi="Times New Roman" w:eastAsia="Times New Roman"/>
          <w:b w:val="0"/>
          <w:sz w:val="28"/>
        </w:rPr>
        <w:t>laktobakteriyalar uchun MRS-4 (zamburug'lar o'smasligi uchun sorbin kislotasi bilan);</w:t>
      </w:r>
    </w:p>
    <w:p>
      <w:pPr>
        <w:pStyle w:val="ListBullet"/>
        <w:jc w:val="both"/>
      </w:pPr>
      <w:r>
        <w:rPr>
          <w:rFonts w:ascii="Times New Roman" w:hAnsi="Times New Roman" w:eastAsia="Times New Roman"/>
          <w:b w:val="0"/>
          <w:sz w:val="28"/>
        </w:rPr>
        <w:t>Endo muhiti — enterobakteriyalar; 5 foizli qonli agar — kokklar (gemoliz); tuxum sarig'ili tuzli agar — patogen stafilokokklar; Kalina muhiti — D guruhi streptokokklari; shokolad agar — Gardnerella; Saburo muhiti — zamburug'lar; Vilson–Bler muhiti — klostridiyalar [2].</w:t>
      </w:r>
    </w:p>
    <w:p>
      <w:pPr>
        <w:spacing w:line="276" w:lineRule="auto"/>
        <w:ind w:firstLine="709"/>
        <w:jc w:val="both"/>
      </w:pPr>
      <w:r>
        <w:rPr>
          <w:rFonts w:ascii="Times New Roman" w:hAnsi="Times New Roman" w:eastAsia="Times New Roman"/>
          <w:b w:val="0"/>
          <w:sz w:val="28"/>
        </w:rPr>
        <w:t>Normal ichak mikroflorasining 98–99 foizini anaeroblar, 1–2 foizini aeroblar tashkil qiladi, shuning uchun o'stirishda kislorodni yutuvchi gaz paketli mikroanaerostatdan foydalaniladi [2].</w:t>
      </w:r>
    </w:p>
    <w:p>
      <w:pPr>
        <w:pStyle w:val="Heading2"/>
      </w:pPr>
      <w:r>
        <w:rPr>
          <w:rFonts w:ascii="Times New Roman" w:hAnsi="Times New Roman" w:eastAsia="Times New Roman"/>
          <w:b/>
          <w:sz w:val="28"/>
        </w:rPr>
        <w:t>Antibiotiklarning nomaqbul ta'siri</w:t>
      </w:r>
    </w:p>
    <w:p>
      <w:pPr>
        <w:spacing w:line="276" w:lineRule="auto"/>
        <w:ind w:firstLine="709"/>
        <w:jc w:val="both"/>
      </w:pPr>
      <w:r>
        <w:rPr>
          <w:rFonts w:ascii="Times New Roman" w:hAnsi="Times New Roman" w:eastAsia="Times New Roman"/>
          <w:b w:val="0"/>
          <w:sz w:val="28"/>
        </w:rPr>
        <w:t>Antibiotik terapiyasi quyidagi asoratlarga olib kelishi mumkin [1]:</w:t>
      </w:r>
    </w:p>
    <w:p>
      <w:pPr>
        <w:pStyle w:val="ListBullet"/>
        <w:jc w:val="both"/>
      </w:pPr>
      <w:r>
        <w:rPr>
          <w:rFonts w:ascii="Times New Roman" w:hAnsi="Times New Roman" w:eastAsia="Times New Roman"/>
          <w:b w:val="0"/>
          <w:sz w:val="28"/>
        </w:rPr>
        <w:t>allergik reaksiyalar: ayrim antibiotiklar (penitsillin, streptomitsin va boshqalar) yuqori sezuvchanlik holatini yuzaga keltiradi, preparatni qabul qilgan sari kuchayib boradi; toshma, qichima, dermatit, burun, lab, qovoqlarning shishishi kuzatiladi; eng xavfli asorat — anafilaktik shok, bemor o'lishi mumkin, shuning uchun antibiotik yuborishdan oldin organizmning unga sezuvchanligini sinab ko'rish lozim;</w:t>
      </w:r>
    </w:p>
    <w:p>
      <w:pPr>
        <w:pStyle w:val="ListBullet"/>
        <w:jc w:val="both"/>
      </w:pPr>
      <w:r>
        <w:rPr>
          <w:rFonts w:ascii="Times New Roman" w:hAnsi="Times New Roman" w:eastAsia="Times New Roman"/>
          <w:b w:val="0"/>
          <w:sz w:val="28"/>
        </w:rPr>
        <w:t>toksik ta'sir: antibiotiklarni uzoq qo'llash organizmga zaharli ta'sir ko'rsatishi mumkin — tetratsiklin jigarni shikastlaydi, streptomitsin vestibulyar va eshitish analizatorini, sefalosporinlar buyrak funksiyasini buzadi (nefrotoksik); ko'p antibiotiklar gipovitaminoz chaqiradi va oshqozon-ichak shilliq qavatini yallig'lantiradi;</w:t>
      </w:r>
    </w:p>
    <w:p>
      <w:pPr>
        <w:pStyle w:val="ListBullet"/>
        <w:jc w:val="both"/>
      </w:pPr>
      <w:r>
        <w:rPr>
          <w:rFonts w:ascii="Times New Roman" w:hAnsi="Times New Roman" w:eastAsia="Times New Roman"/>
          <w:b w:val="0"/>
          <w:sz w:val="28"/>
        </w:rPr>
        <w:t>homilaga ta'sir: antibiotiklar homila rivojlanishiga ta'sir qiladi, ayniqsa homiladorlikning birinchi davrida; tetratsiklin guruhi to'g'ridan-to'g'ri homila organizmiga ta'sir ko'rsatadi;</w:t>
      </w:r>
    </w:p>
    <w:p>
      <w:pPr>
        <w:pStyle w:val="ListBullet"/>
        <w:jc w:val="both"/>
      </w:pPr>
      <w:r>
        <w:rPr>
          <w:rFonts w:ascii="Times New Roman" w:hAnsi="Times New Roman" w:eastAsia="Times New Roman"/>
          <w:b w:val="0"/>
          <w:sz w:val="28"/>
        </w:rPr>
        <w:t>superinfeksiya va disbakterioz: normal mikroflora nobud bo'lib, chidamli shartli patogenlar va Candida faollashadi.</w:t>
      </w:r>
    </w:p>
    <w:p>
      <w:pPr>
        <w:spacing w:line="276" w:lineRule="auto"/>
        <w:ind w:firstLine="709"/>
        <w:jc w:val="both"/>
      </w:pPr>
      <w:r>
        <w:rPr>
          <w:rFonts w:ascii="Times New Roman" w:hAnsi="Times New Roman" w:eastAsia="Times New Roman"/>
          <w:b w:val="0"/>
          <w:sz w:val="28"/>
        </w:rPr>
        <w:t>Davolash-profilaktika sifatida kandidoz oldini olish uchun zamburug'larga qarshi preparatlar antibiotiklar bilan birga yuboriladi; normal mikroflora turlaridan tayyorlangan preparatlar (kolibakterin, bifidumbakterin, bifanol) antibiotik qo'llangandan keyin disbakterioz rivojlanishining oldini oladi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Disbakterioz — normal ichak mikroflorasining sifat va miqdoriy buzilishi bo'lib, uning asosiy sabablaridan biri antibiotiklarni uzoq va noto'g'ri qo'llashdir. U darajalar va disbakterioz indeksi bilan baholanadi, laboratoriyada ichak va qin mikroflorasi ketma-ket suyultirib maxsus muhitlarga ekilib o'rganiladi. Antibiotiklar allergik, toksik va superinfeksiya asoratlari chaqirishi mumkin; shu sababli sezuvchanlikni aniqlash, ratsional tanlash va probiotik preparatlar qo'llash zarur. Laboratoriya xodimi disbakteriozga gumon qilingan materialni tez va anaerob sharoitni saqlab tekshirishi, natijani miqdoriy ko'rsatkichlar (KHB/g) bilan berishi lozim.</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