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75. Meningokokk kasalliklarida tekshirish materialini qabul qilish qoidalari.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Meningokokk infeksiyasini tashxislashda laboratoriyaga kelgan materialni to'g'ri qabul qilish natijaning ishonchliligini belgilovchi bosqichdir. Chunki meningokokklar sovuq va qurishga o'ta chidamsiz, tashqi muhitda tez nobud bo'ladi [1][2]. Shu sababli yiringli bakterial meningit bemorlaridan patologik materiallar to'liq hajmda, belgilangan muddat va sharoitda laboratoriyaga yetkazilishi shart [1]. Mavzuda materialni qabul qilishda tekshiriladigan talablar, hajm, harorat, yetkazish muddati va hujjatlashtirish tartibi bayon etiladi.</w:t>
      </w:r>
    </w:p>
    <w:p>
      <w:pPr>
        <w:pStyle w:val="Heading2"/>
      </w:pPr>
      <w:r>
        <w:rPr>
          <w:rFonts w:ascii="Times New Roman" w:hAnsi="Times New Roman" w:eastAsia="Times New Roman"/>
          <w:b/>
          <w:sz w:val="28"/>
        </w:rPr>
        <w:t>Laboratoriyaga yetkaziladigan material hajmi</w:t>
      </w:r>
    </w:p>
    <w:p>
      <w:pPr>
        <w:spacing w:line="276" w:lineRule="auto"/>
        <w:ind w:firstLine="709"/>
        <w:jc w:val="both"/>
      </w:pPr>
      <w:r>
        <w:rPr>
          <w:rFonts w:ascii="Times New Roman" w:hAnsi="Times New Roman" w:eastAsia="Times New Roman"/>
          <w:b w:val="0"/>
          <w:sz w:val="28"/>
        </w:rPr>
        <w:t>O'zbekiston SSV 177-sonli buyrug'iga 2-ilovaga ko'ra laboratoriyaga quyidagi miqdorda material yetkaziladi [1]:</w:t>
      </w:r>
    </w:p>
    <w:p>
      <w:pPr>
        <w:pStyle w:val="ListBullet"/>
        <w:jc w:val="both"/>
      </w:pPr>
      <w:r>
        <w:rPr>
          <w:rFonts w:ascii="Times New Roman" w:hAnsi="Times New Roman" w:eastAsia="Times New Roman"/>
          <w:b w:val="0"/>
          <w:sz w:val="28"/>
        </w:rPr>
        <w:t>birlamchi ekish, bakterioskopiya va serologik tekshiruvlar uchun orqa miya suyuqligidan kamida 1 ml;</w:t>
      </w:r>
    </w:p>
    <w:p>
      <w:pPr>
        <w:pStyle w:val="ListBullet"/>
        <w:jc w:val="both"/>
      </w:pPr>
      <w:r>
        <w:rPr>
          <w:rFonts w:ascii="Times New Roman" w:hAnsi="Times New Roman" w:eastAsia="Times New Roman"/>
          <w:b w:val="0"/>
          <w:sz w:val="28"/>
        </w:rPr>
        <w:t>likvorni bakteriologik ko'paytirish uchun 0,1 % li boyitilgan yarim suyuq agarga (0,5 ml OMS + 37 °C gacha isitilgan 5 ml yarim suyuq agar) bemor yotgan joyda ekilib, dastlabki ekma yuboriladi;</w:t>
      </w:r>
    </w:p>
    <w:p>
      <w:pPr>
        <w:pStyle w:val="ListBullet"/>
        <w:jc w:val="both"/>
      </w:pPr>
      <w:r>
        <w:rPr>
          <w:rFonts w:ascii="Times New Roman" w:hAnsi="Times New Roman" w:eastAsia="Times New Roman"/>
          <w:b w:val="0"/>
          <w:sz w:val="28"/>
        </w:rPr>
        <w:t>bakterioskopiya uchun «yo'g'on tomchi» (qondan);</w:t>
      </w:r>
    </w:p>
    <w:p>
      <w:pPr>
        <w:pStyle w:val="ListBullet"/>
        <w:jc w:val="both"/>
      </w:pPr>
      <w:r>
        <w:rPr>
          <w:rFonts w:ascii="Times New Roman" w:hAnsi="Times New Roman" w:eastAsia="Times New Roman"/>
          <w:b w:val="0"/>
          <w:sz w:val="28"/>
        </w:rPr>
        <w:t>kultural ko'paytirish uchun 5 ml qon 50 ml 0,1 % yarim suyuq agarga ekiladi;</w:t>
      </w:r>
    </w:p>
    <w:p>
      <w:pPr>
        <w:pStyle w:val="ListBullet"/>
        <w:jc w:val="both"/>
      </w:pPr>
      <w:r>
        <w:rPr>
          <w:rFonts w:ascii="Times New Roman" w:hAnsi="Times New Roman" w:eastAsia="Times New Roman"/>
          <w:b w:val="0"/>
          <w:sz w:val="28"/>
        </w:rPr>
        <w:t>serologik tekshiruvlarga (QQIF, presipitatsiya va boshqalar) kamida 2 ml qon [1].</w:t>
      </w:r>
    </w:p>
    <w:p>
      <w:pPr>
        <w:spacing w:line="276" w:lineRule="auto"/>
        <w:ind w:firstLine="709"/>
        <w:jc w:val="both"/>
      </w:pPr>
      <w:r>
        <w:rPr>
          <w:rFonts w:ascii="Times New Roman" w:hAnsi="Times New Roman" w:eastAsia="Times New Roman"/>
          <w:b w:val="0"/>
          <w:sz w:val="28"/>
        </w:rPr>
        <w:t>G'anixo'jayeva darsligida likvor 2–5 ml hajmda steril probirkaga yig'iladi; qon 5–10 ml olinadi [2]. Aliyev va Muxamedov likvorni 2–5 ml miqdorda olib ikki qismga bo'lish (bir qismi sentrifugalanib cho'kma bakterioskopiya qilinadi, ikkinchi qismiga yarim suyuq oziqa muhit qo'shilib termostatga qo'yiladi) tavsiya qilganini keltiradi [3].</w:t>
      </w:r>
    </w:p>
    <w:p>
      <w:pPr>
        <w:pStyle w:val="Heading2"/>
      </w:pPr>
      <w:r>
        <w:rPr>
          <w:rFonts w:ascii="Times New Roman" w:hAnsi="Times New Roman" w:eastAsia="Times New Roman"/>
          <w:b/>
          <w:sz w:val="28"/>
        </w:rPr>
        <w:t>Harorat va yetkazish sharoiti</w:t>
      </w:r>
    </w:p>
    <w:p>
      <w:pPr>
        <w:spacing w:line="276" w:lineRule="auto"/>
        <w:ind w:firstLine="709"/>
        <w:jc w:val="both"/>
      </w:pPr>
      <w:r>
        <w:rPr>
          <w:rFonts w:ascii="Times New Roman" w:hAnsi="Times New Roman" w:eastAsia="Times New Roman"/>
          <w:b w:val="0"/>
          <w:sz w:val="28"/>
        </w:rPr>
        <w:t>Bakteriologik va serologik tekshiruv materiallari iliq holatda (37 °C) maxsus jihozlangan konteynerlarda darhol laboratoriyaga yetkaziladi; agar darhol yetkazib bo'lmasa, 37 °C termostatda saqlanadi [1]. Likvor sovuq va qurishdan saqlangan holda, paxtaga yoki grelkaga o'rab, iliq sharoitda yetkaziladi [1]. G'anixo'jayeva ham likvor 2–3 soat ichida, sovuq va qurishdan saqlangan holda (paxtaga o'rab yoki grelka qo'yib) yetkazilishini ko'rsatadi [2]. Aliyev va Muxamedov materialni laboratoriyaga yuborishda uni sovuq va qurishdan saqlash zarurligini ta'kidlaydi [3].</w:t>
      </w:r>
    </w:p>
    <w:p>
      <w:pPr>
        <w:spacing w:line="276" w:lineRule="auto"/>
        <w:ind w:firstLine="709"/>
        <w:jc w:val="both"/>
      </w:pPr>
      <w:r>
        <w:rPr>
          <w:rFonts w:ascii="Times New Roman" w:hAnsi="Times New Roman" w:eastAsia="Times New Roman"/>
          <w:b w:val="0"/>
          <w:sz w:val="28"/>
        </w:rPr>
        <w:t>Burun-halqum tamponi uchun masofaga qarab qoidalar: 1–2 soat uzoqlikda maxsus muhit shart emas; 2–4 soat masofada tampon antibiotiksiz Igla 199 muhitiga solinadi yoki namlangan tampon ishlatiladi; uzoq masofa yoki 3 soatdan ortiq bo'lsa transport muhiti ishlatiladi; yarim suyuq boyitilgan muhit yetkazish vaqtidan qat'i nazar ishlatiladi. Qishki mavsumda ekilgan kosachalar grelka yordamida +37–38 °C da yetkaziladi va laboratoriyaga yetgach darhol termostatga qo'yiladi [1].</w:t>
      </w:r>
    </w:p>
    <w:p>
      <w:pPr>
        <w:pStyle w:val="Heading2"/>
      </w:pPr>
      <w:r>
        <w:rPr>
          <w:rFonts w:ascii="Times New Roman" w:hAnsi="Times New Roman" w:eastAsia="Times New Roman"/>
          <w:b/>
          <w:sz w:val="28"/>
        </w:rPr>
        <w:t>Material olingan idish va muhitlar</w:t>
      </w:r>
    </w:p>
    <w:p>
      <w:pPr>
        <w:spacing w:line="276" w:lineRule="auto"/>
        <w:ind w:firstLine="709"/>
        <w:jc w:val="both"/>
      </w:pPr>
      <w:r>
        <w:rPr>
          <w:rFonts w:ascii="Times New Roman" w:hAnsi="Times New Roman" w:eastAsia="Times New Roman"/>
          <w:b w:val="0"/>
          <w:sz w:val="28"/>
        </w:rPr>
        <w:t>Qabul qilinadigan materialning idish va transport muhitlari: steril probirkalar (likvor); boyitilgan muhitlar — Igla yoki 199 (0,5–1 ml dan steril probirkalarda); ristomitsin yoki linkomitsin qo'shilgan zardobli agar bilan kosachalar (burun-halqum); yarim suyuq 0,1 % li agar [1]. Tamponlar uchun diametri 2–3 mm li paxtali tamponlar alyuminiy simga biriktirilgan va 135° gacha bukilgan, ularni 5–10 donadan qog'ozga o'rab avtoklav yoki quritish shkafida sterillanadi; quruq paxtali tamponlarni probirkada ham ishlatish mumkin [1].</w:t>
      </w:r>
    </w:p>
    <w:p>
      <w:pPr>
        <w:pStyle w:val="Heading2"/>
      </w:pPr>
      <w:r>
        <w:rPr>
          <w:rFonts w:ascii="Times New Roman" w:hAnsi="Times New Roman" w:eastAsia="Times New Roman"/>
          <w:b/>
          <w:sz w:val="28"/>
        </w:rPr>
        <w:t>Qabul qilishda tekshiriladigan nuqtalar (muallif izohi)</w:t>
      </w:r>
    </w:p>
    <w:p>
      <w:pPr>
        <w:spacing w:line="276" w:lineRule="auto"/>
        <w:ind w:firstLine="709"/>
        <w:jc w:val="both"/>
      </w:pPr>
      <w:r>
        <w:rPr>
          <w:rFonts w:ascii="Times New Roman" w:hAnsi="Times New Roman" w:eastAsia="Times New Roman"/>
          <w:b w:val="0"/>
          <w:sz w:val="28"/>
        </w:rPr>
        <w:t>Quyidagi umumiy talablar bakteriologik laboratoriya amaliyotidan kelib chiqadi va manbalarda to'g'ridan-to'g'ri keltirilmagan:</w:t>
      </w:r>
    </w:p>
    <w:p>
      <w:pPr>
        <w:pStyle w:val="ListBullet"/>
        <w:jc w:val="both"/>
      </w:pPr>
      <w:r>
        <w:rPr>
          <w:rFonts w:ascii="Times New Roman" w:hAnsi="Times New Roman" w:eastAsia="Times New Roman"/>
          <w:b w:val="0"/>
          <w:sz w:val="28"/>
        </w:rPr>
        <w:t>yo'llanma xat va idishdagi yozuvlar mos kelishi: bemorning ismi, materialning turi, olingan sana va vaqt, antibiotik qabul qilingan yoki qilinmaganligi;</w:t>
      </w:r>
    </w:p>
    <w:p>
      <w:pPr>
        <w:pStyle w:val="ListBullet"/>
        <w:jc w:val="both"/>
      </w:pPr>
      <w:r>
        <w:rPr>
          <w:rFonts w:ascii="Times New Roman" w:hAnsi="Times New Roman" w:eastAsia="Times New Roman"/>
          <w:b w:val="0"/>
          <w:sz w:val="28"/>
        </w:rPr>
        <w:t>materialni olish va yetkazish vaqti qayd etilishi;</w:t>
      </w:r>
    </w:p>
    <w:p>
      <w:pPr>
        <w:pStyle w:val="ListBullet"/>
        <w:jc w:val="both"/>
      </w:pPr>
      <w:r>
        <w:rPr>
          <w:rFonts w:ascii="Times New Roman" w:hAnsi="Times New Roman" w:eastAsia="Times New Roman"/>
          <w:b w:val="0"/>
          <w:sz w:val="28"/>
        </w:rPr>
        <w:t>idish germetik yopilgan va tashqi tomoni ifloslanmagan bo'lishi;</w:t>
      </w:r>
    </w:p>
    <w:p>
      <w:pPr>
        <w:pStyle w:val="ListBullet"/>
        <w:jc w:val="both"/>
      </w:pPr>
      <w:r>
        <w:rPr>
          <w:rFonts w:ascii="Times New Roman" w:hAnsi="Times New Roman" w:eastAsia="Times New Roman"/>
          <w:b w:val="0"/>
          <w:sz w:val="28"/>
        </w:rPr>
        <w:t>likvor shaffofligi va hajmi yozib qo'yilishi.</w:t>
      </w:r>
    </w:p>
    <w:p>
      <w:pPr>
        <w:spacing w:line="276" w:lineRule="auto"/>
        <w:ind w:firstLine="709"/>
        <w:jc w:val="both"/>
      </w:pPr>
      <w:r>
        <w:rPr>
          <w:rFonts w:ascii="Times New Roman" w:hAnsi="Times New Roman" w:eastAsia="Times New Roman"/>
          <w:b w:val="0"/>
          <w:sz w:val="28"/>
        </w:rPr>
        <w:t>Agar material talab qilinadigan sharoitda (iliq) yetkazilmagan bo'lsa yoki uzoq vaqt sovuqda qolgan bo'lsa, natijaning ishonchliligi pasayadi; bunday holda ham tekshiruvni boshlash mumkin, lekin javobda bu holat ko'rsatiladi, yangi namuna olish imkoni bo'lsa, qayta olinadi.</w:t>
      </w:r>
    </w:p>
    <w:p>
      <w:pPr>
        <w:pStyle w:val="Heading2"/>
      </w:pPr>
      <w:r>
        <w:rPr>
          <w:rFonts w:ascii="Times New Roman" w:hAnsi="Times New Roman" w:eastAsia="Times New Roman"/>
          <w:b/>
          <w:sz w:val="28"/>
        </w:rPr>
        <w:t>Material qabulida etiologik doirani hisobga olish</w:t>
      </w:r>
    </w:p>
    <w:p>
      <w:pPr>
        <w:spacing w:line="276" w:lineRule="auto"/>
        <w:ind w:firstLine="709"/>
        <w:jc w:val="both"/>
      </w:pPr>
      <w:r>
        <w:rPr>
          <w:rFonts w:ascii="Times New Roman" w:hAnsi="Times New Roman" w:eastAsia="Times New Roman"/>
          <w:b w:val="0"/>
          <w:sz w:val="28"/>
        </w:rPr>
        <w:t>Qabul qilingan likvor yoki qonda meningokokkdan boshqa qo'zg'atuvchilar ham bo'lishi mumkin, shuning uchun material shokoladli va zardobli agarga ekiladi. SSV ilovasida yoshga bog'liq etiologik omillar qayd etilgan: H. influenzae (b serotip) 2 oylikdan 5 yoshgacha bolalarda og'ir tarqalgan shaklni chaqiradi; pnevmokokk meningiti ko'proq 15 yoshdan kattalarda uchraydi (pnevmokokkning aniqlangan 90 serovaridan 18 tasi meningit qo'zg'atuvchisi sifatida yozilgan); yangi tug'ilgan chaqaloqlarda va 2–3 oylik bolalarda S. agalactiae (B guruh), E. coli K-1 va Listeria monocytogenes etiologik omil hisoblanadi; boshqa hollarda enterobakteriyalar, ko'k yiring tayoqchasi, enterokokklar, stafilokokklar va Candida ham meningit qo'zg'atuvchisi bo'lishi mumkin [1]. Shu sababli laborant likvorning hajmi bir necha turdagi ekmaga yetishini qabul paytidayoq hisobga oladi: bir qismi bakterioskopiya va serologiya, bir qismi zich muhitlarga, bir qismi boyitilgan yarim suyuq muhitga ketadi.</w:t>
      </w:r>
    </w:p>
    <w:p>
      <w:pPr>
        <w:pStyle w:val="Heading2"/>
      </w:pPr>
      <w:r>
        <w:rPr>
          <w:rFonts w:ascii="Times New Roman" w:hAnsi="Times New Roman" w:eastAsia="Times New Roman"/>
          <w:b/>
          <w:sz w:val="28"/>
        </w:rPr>
        <w:t>Qabuldan keyingi birinchi harakatlar</w:t>
      </w:r>
    </w:p>
    <w:p>
      <w:pPr>
        <w:spacing w:line="276" w:lineRule="auto"/>
        <w:ind w:firstLine="709"/>
        <w:jc w:val="both"/>
      </w:pPr>
      <w:r>
        <w:rPr>
          <w:rFonts w:ascii="Times New Roman" w:hAnsi="Times New Roman" w:eastAsia="Times New Roman"/>
          <w:b w:val="0"/>
          <w:sz w:val="28"/>
        </w:rPr>
        <w:t>Material qabul qilingach, imkon qadar tezda ish boshlanadi: likvorning bir tomchisi yog'sizlantirilgan buyum oynasiga tomiziladi, quriganidan keyin ikkinchi tomchi qo'shiladi (shunda surtmada bakterial hujayralar ko'proq bo'ladi); materialni katta yuzaga yoyish yaramaydi, chunki mikrob kam bo'lsa topilish ehtimoli kamayadi; ko'rish ehtimolini oshirish uchun bir nechta surtma tayyorlash tavsiya etiladi [1]. Zichligi past ekmalar uchun materialni Petri kosachasining markaziga tomizib, muhit yuzasi bo'ylab bir tekis tarqalishi uchun chayqatiladi [1]. Bakterioskopiya natijasi darhol davolovchi shifokorga dastlabki natija sifatida xabar qilinadi [1].</w:t>
      </w:r>
    </w:p>
    <w:p>
      <w:pPr>
        <w:pStyle w:val="Heading2"/>
      </w:pPr>
      <w:r>
        <w:rPr>
          <w:rFonts w:ascii="Times New Roman" w:hAnsi="Times New Roman" w:eastAsia="Times New Roman"/>
          <w:b/>
          <w:sz w:val="28"/>
        </w:rPr>
        <w:t>Hujjatlashtirish va javob muddati</w:t>
      </w:r>
    </w:p>
    <w:p>
      <w:pPr>
        <w:spacing w:line="276" w:lineRule="auto"/>
        <w:ind w:firstLine="709"/>
        <w:jc w:val="both"/>
      </w:pPr>
      <w:r>
        <w:rPr>
          <w:rFonts w:ascii="Times New Roman" w:hAnsi="Times New Roman" w:eastAsia="Times New Roman"/>
          <w:b w:val="0"/>
          <w:sz w:val="28"/>
        </w:rPr>
        <w:t>Natija qaysi kunda va qaysi shaklda berilishi belgilangan: 1-kunda bakterioskopiya asosida taxminiy javob, 2–3-kunlarda yakuniy musbat javob, bakteriya o'smasa — 5-kunda manfiy javob. Burun-halqum shilliqini tekshirishda faqat yakuniy javob beriladi (to'rtinchi kunda) [1]. Shuning uchun materialni qabul qilgan sana va soat jurnalga yozib qo'yiladi, javob muddatlari shu sanadan hisoblanadi (muallif izohi).</w:t>
      </w:r>
    </w:p>
    <w:p>
      <w:pPr>
        <w:pStyle w:val="Heading2"/>
      </w:pPr>
      <w:r>
        <w:rPr>
          <w:rFonts w:ascii="Times New Roman" w:hAnsi="Times New Roman" w:eastAsia="Times New Roman"/>
          <w:b/>
          <w:sz w:val="28"/>
        </w:rPr>
        <w:t>Laboratoriya xavfsizligi</w:t>
      </w:r>
    </w:p>
    <w:p>
      <w:pPr>
        <w:spacing w:line="276" w:lineRule="auto"/>
        <w:ind w:firstLine="709"/>
        <w:jc w:val="both"/>
      </w:pPr>
      <w:r>
        <w:rPr>
          <w:rFonts w:ascii="Times New Roman" w:hAnsi="Times New Roman" w:eastAsia="Times New Roman"/>
          <w:b w:val="0"/>
          <w:sz w:val="28"/>
        </w:rPr>
        <w:t>Orqa miya suyuqligi, qon va burun-halqum materiali yuqumli hisoblanadi. Ular bilan ishlaganda xodim xalat, qo'lqop, niqob kiyadi, ishlatilgan pipetka, probirka va kosachalar dezinfeksiyalovchi eritmaga solinadi, kulturalar dezinfeksiya qilib yo'qotiladi yoki talab asosida yetkazib beriladi [1] (xavfsizlik chorasi bo'yicha umumiy qoidalar muallif izohi). Identifikatsiya qilingan kulturalarni saqlash va tashish qoidalari ham mavjud: meningokokk va pnevmokokk tashqi muhitda tez o'ladi, ularni ustunchali ekish usulida 5–6 hafta saqlash mumkin; meningokokk uchun optimal muhit — zardobli agar, pnevmokokk uchun — qonli agar; ustunchaga ekilib, 24 soatdan keyin o'sish bo'lsa, 1,5–2 ml steril vazelin moyi quyiladi va sovuqdan saqlangan holda saqlanadi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Meningokokk infeksiyasida materialni qabul qilishning asosiy qoidalari: to'liq hajm (OMS kamida 1 ml, qon 2–10 ml), iliq (37 °C) holatda va darhol yetkazish, sovuq va qurishdan saqlash, selektiv va boyitilgan muhitlardan foydalanish, tampon va idishlarning sterilligi hamda natijani belgilangan muddatlarda berish. Bu talablar bajarilmasa, nobud bo'ladigan meningokokk o'smay qolishi va soxta manfiy natija olinishi mumkin.</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O'zbekiston Respublikasi Sog'liqni saqlash vazirining 2015-yildagi 177-sonli buyrug'iga 2-ilova: Meningokokk infeksiyasi va boshqa bakterial meningitlarning mikrobiologik tashxisi — uslubiy ko'rsatma (kirill yozuvida). Xayrullo Komilov kutubxonasi, id 2052: https://xayrullokomilov.uz/kutubxona/2052</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