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84. Salmonella kasalliklarida tekshirish, serologik (Vidal reaksiyasi) usuli.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Serologik tashxis usullari ichida qorin tifi va paratiflarda amaliyotda eng ko'p Vidal agglyutinatsiya reaksiyasi qo'llanadi [1][2]. Bu reaksiyada antitelo bemor qon zardobi, antigen esa ma'lum mikrob kulturasi (diagnostikum) hisoblanadi; ya'ni noma'lum antitelo ma'lum antigen yordamida aniqlanadi [2]. Vidal reaksiyasi kasallikning ikkinchi yoki uchinchi haftasi boshida qo'yiladi: bemor qon zardobida maxsus antitelalar kasallikning birinchi haftasi oxirida va ikkinchi haftasi boshlarida paydo bo'ladi [1][2]. Reaksiyaning asosi antitelalar titrining dinamikada oshishini, saqlanish muddatini o'rganishdir [1].</w:t>
      </w:r>
    </w:p>
    <w:p>
      <w:pPr>
        <w:pStyle w:val="Heading2"/>
      </w:pPr>
      <w:r>
        <w:rPr>
          <w:rFonts w:ascii="Times New Roman" w:hAnsi="Times New Roman" w:eastAsia="Times New Roman"/>
          <w:b/>
          <w:sz w:val="28"/>
        </w:rPr>
        <w:t>Reaksiya mohiyati va diagnostikumlar</w:t>
      </w:r>
    </w:p>
    <w:p>
      <w:pPr>
        <w:spacing w:line="276" w:lineRule="auto"/>
        <w:ind w:firstLine="709"/>
        <w:jc w:val="both"/>
      </w:pPr>
      <w:r>
        <w:rPr>
          <w:rFonts w:ascii="Times New Roman" w:hAnsi="Times New Roman" w:eastAsia="Times New Roman"/>
          <w:b w:val="0"/>
          <w:sz w:val="28"/>
        </w:rPr>
        <w:t>Reaksiya bir vaqtning o'zida to'rt antigen bilan qo'yiladi: qorin tifi O- va H-diagnostikumlari, paratif A va paratif B diagnostikumlari [1]. Qorin tifi monodiagnostikumlari (O va H) kasallik bosqichlarini aniqlashda ishlatiladi, chunki O- va H-antigenlarga qarshi antitelalar miqdori turli davrlarda o'zgarib turadi: O-antigenga qarshi antitelalar kasallik avjida ko'payib, sog'ayish davrida yo'qoladi, H-antigenga qarshi antitelalar esa kasallikning oxirida paydo bo'lib, sog'aygandan keyin ham uzoq vaqt saqlanadi [1]. Diagnostikum sifatida ishlab chiqarish korxonalarida tayyorlangan o'ldirilgan mikrob aralashmasi ishlatiladi: bu ishni osonlashtiradi va xavfsiz qiladi [2].</w:t>
      </w:r>
    </w:p>
    <w:p>
      <w:pPr>
        <w:pStyle w:val="Heading2"/>
      </w:pPr>
      <w:r>
        <w:rPr>
          <w:rFonts w:ascii="Times New Roman" w:hAnsi="Times New Roman" w:eastAsia="Times New Roman"/>
          <w:b/>
          <w:sz w:val="28"/>
        </w:rPr>
        <w:t>Zardob va antigenni tayyorlash</w:t>
      </w:r>
    </w:p>
    <w:p>
      <w:pPr>
        <w:spacing w:line="276" w:lineRule="auto"/>
        <w:ind w:firstLine="709"/>
        <w:jc w:val="both"/>
      </w:pPr>
      <w:r>
        <w:rPr>
          <w:rFonts w:ascii="Times New Roman" w:hAnsi="Times New Roman" w:eastAsia="Times New Roman"/>
          <w:b w:val="0"/>
          <w:sz w:val="28"/>
        </w:rPr>
        <w:t>Bemor qoni venadan olinib, eritrotsitsiz zardob ajratiladi. IK 595 tartibida birinchi marta olingan qon zardobini ikkinchi marta qon olinguncha (5–7 kun o'tgach) muzlatgichda saqlash mumkin; serologik reaksiya ikki zardob bilan bir vaqtda, ya'ni juft zardoblar bilan dinamikada qo'yiladi [3]. Tirik antigen sifatida 24 soatlik qiyshiq agarda o'stirilgan kulturadan 3–4 ml steril fiziologik eritma bilan yuvilgan suspenziya ishlatiladi; u gomogen bo'lishi, loyqalik optik standartga (1 ml da taxminan 30 birlik) mos kelishi kerak [2].</w:t>
      </w:r>
    </w:p>
    <w:p>
      <w:pPr>
        <w:pStyle w:val="Heading2"/>
      </w:pPr>
      <w:r>
        <w:rPr>
          <w:rFonts w:ascii="Times New Roman" w:hAnsi="Times New Roman" w:eastAsia="Times New Roman"/>
          <w:b/>
          <w:sz w:val="28"/>
        </w:rPr>
        <w:t>Reaksiyani qo'yish</w:t>
      </w:r>
    </w:p>
    <w:p>
      <w:pPr>
        <w:spacing w:line="276" w:lineRule="auto"/>
        <w:ind w:firstLine="709"/>
        <w:jc w:val="both"/>
      </w:pPr>
      <w:r>
        <w:rPr>
          <w:rFonts w:ascii="Times New Roman" w:hAnsi="Times New Roman" w:eastAsia="Times New Roman"/>
          <w:b w:val="0"/>
          <w:sz w:val="28"/>
        </w:rPr>
        <w:t>Vidal reaksiyasi 4 qator probirkada qo'yiladi; har bir qatorda 7 tadan probirka bo'lib, ulardan 5 tasi tajriba, 2 tasi nazorat probirkalari. Tekshiriladigan qon zardobining suyultirish usuli jadvalda keltirilgan [1]. Har bir diagnostikum nazorati uchun probirkalarga 1 ml dan izotonik natriy xlorid solinib, unga 2 tomchidan diagnostikum qo'shiladi. 1 ml zardob solingan (diagnostikumsiz) nazorat probirkasida cho'kma bo'lmasligi kerak [1]. Aralashmalar termostatda saqlanadi: Aliyev va Muxamedovga ko'ra kengaytirilgan agglyutinatsiya reaksiyasida probirkalar 37 °C da 2 soat termostatda, so'ng xona haroratida bir sutka saqlanadi; xivchinli (H) antigen bilan qo'yilgan reaksiya natijasi avval ko'riladi, somatik (O) antigen bilan reaksiya natijasi 18–48 soatdan keyin aniqlanadi [1]. Musbat natijada cho'kma H-agglyutinatsiyada ipir-ipir, O-agglyutinatsiyada donador bo'ladi [1].</w:t>
      </w:r>
    </w:p>
    <w:p>
      <w:pPr>
        <w:pStyle w:val="Heading2"/>
      </w:pPr>
      <w:r>
        <w:rPr>
          <w:rFonts w:ascii="Times New Roman" w:hAnsi="Times New Roman" w:eastAsia="Times New Roman"/>
          <w:b/>
          <w:sz w:val="28"/>
        </w:rPr>
        <w:t>Natijani baholash</w:t>
      </w:r>
    </w:p>
    <w:p>
      <w:pPr>
        <w:pStyle w:val="ListBullet"/>
        <w:jc w:val="both"/>
      </w:pPr>
      <w:r>
        <w:rPr>
          <w:rFonts w:ascii="Times New Roman" w:hAnsi="Times New Roman" w:eastAsia="Times New Roman"/>
          <w:b w:val="0"/>
          <w:sz w:val="28"/>
        </w:rPr>
        <w:t>Agglyutinatsiya darajasi to'rt musbat belgi bilan: (++++) — barcha antigenlar cho'kadi, suyuqlik tiniq; (+++) — suyuqlik biroz loyqa; (++) — antigenlarning yarmi cho'kadi; to'rt va uch belgili reaksiya musbat, ikki belgili esa manfiy hisoblanadi [1].</w:t>
      </w:r>
    </w:p>
    <w:p>
      <w:pPr>
        <w:pStyle w:val="ListBullet"/>
        <w:jc w:val="both"/>
      </w:pPr>
      <w:r>
        <w:rPr>
          <w:rFonts w:ascii="Times New Roman" w:hAnsi="Times New Roman" w:eastAsia="Times New Roman"/>
          <w:b w:val="0"/>
          <w:sz w:val="28"/>
        </w:rPr>
        <w:t>Spontan (o'z-o'zidan) agglyutinatsiya sodir bo'lgan hollarda reaksiya natijasi hisobga olinmaydi [1].</w:t>
      </w:r>
    </w:p>
    <w:p>
      <w:pPr>
        <w:pStyle w:val="ListBullet"/>
        <w:jc w:val="both"/>
      </w:pPr>
      <w:r>
        <w:rPr>
          <w:rFonts w:ascii="Times New Roman" w:hAnsi="Times New Roman" w:eastAsia="Times New Roman"/>
          <w:b w:val="0"/>
          <w:sz w:val="28"/>
        </w:rPr>
        <w:t>Vidal reaksiyasining diagnostik titri 1:200 ga teng [1].</w:t>
      </w:r>
    </w:p>
    <w:p>
      <w:pPr>
        <w:pStyle w:val="ListBullet"/>
        <w:jc w:val="both"/>
      </w:pPr>
      <w:r>
        <w:rPr>
          <w:rFonts w:ascii="Times New Roman" w:hAnsi="Times New Roman" w:eastAsia="Times New Roman"/>
          <w:b w:val="0"/>
          <w:sz w:val="28"/>
        </w:rPr>
        <w:t>Juft zardoblarda titr kasallik davomida 2 baravar va undan ko'p oshsa, tashxis qo'yiladi; oshmasa, ko'pincha emlanganlarda yoki kasallikni oldin o'tkazganlarda, tashxis qo'yilmaydi [1][2].</w:t>
      </w:r>
    </w:p>
    <w:p>
      <w:pPr>
        <w:pStyle w:val="Heading2"/>
      </w:pPr>
      <w:r>
        <w:rPr>
          <w:rFonts w:ascii="Times New Roman" w:hAnsi="Times New Roman" w:eastAsia="Times New Roman"/>
          <w:b/>
          <w:sz w:val="28"/>
        </w:rPr>
        <w:t>Emlash bilan bog'liq muammo</w:t>
      </w:r>
    </w:p>
    <w:p>
      <w:pPr>
        <w:spacing w:line="276" w:lineRule="auto"/>
        <w:ind w:firstLine="709"/>
        <w:jc w:val="both"/>
      </w:pPr>
      <w:r>
        <w:rPr>
          <w:rFonts w:ascii="Times New Roman" w:hAnsi="Times New Roman" w:eastAsia="Times New Roman"/>
          <w:b w:val="0"/>
          <w:sz w:val="28"/>
        </w:rPr>
        <w:t>Qorin tifi va paratifga qarshi emlangan odamlarda ham Vidal reaksiyasi musbat bo'ladi, hatto bir oz yuqori titrlarda kuzatiladi. Shu sababli «yuqumli» Vidal reaksiyasini «emlash oqibatidagi» reaksiyadan faqat kasallik jarayonida qon zardobidagi antitelalar titrining ortishi bilan farqlash mumkin: emlanganlarda titr dinamikada ortmaydi [1].</w:t>
      </w:r>
    </w:p>
    <w:p>
      <w:pPr>
        <w:pStyle w:val="Heading2"/>
      </w:pPr>
      <w:r>
        <w:rPr>
          <w:rFonts w:ascii="Times New Roman" w:hAnsi="Times New Roman" w:eastAsia="Times New Roman"/>
          <w:b/>
          <w:sz w:val="28"/>
        </w:rPr>
        <w:t>Vi-gemagglyutinatsiya (tashuvchilarni aniqlash)</w:t>
      </w:r>
    </w:p>
    <w:p>
      <w:pPr>
        <w:spacing w:line="276" w:lineRule="auto"/>
        <w:ind w:firstLine="709"/>
        <w:jc w:val="both"/>
      </w:pPr>
      <w:r>
        <w:rPr>
          <w:rFonts w:ascii="Times New Roman" w:hAnsi="Times New Roman" w:eastAsia="Times New Roman"/>
          <w:b w:val="0"/>
          <w:sz w:val="28"/>
        </w:rPr>
        <w:t>Rekonvalesentlar va bakteriya tashuvchilarni serologik tekshirishda passiv Vi-gemagglyutinatsiya reaksiyasi (PGAR) keng qo'llanadi; unda eritrotsitar Vi-diagnostikum — formalin bilan ishlov berilgan, qorin tifi mikrobining Vi-antigeni bilan sensibilizatsiya qilingan odamning I (0) guruh eritrotsitlari suspenziyasi ishlatiladi. Zardoblar 1:10 dan 1:1280 gacha suyultiriladi; musbat natijada eritrotsitlar probirka tagiga cho'kib, chetlari notekis («zontik») joylashadi, manfiyda esa tekis disk («tugmacha») shaklida bo'ladi. Diagnostik ahamiyatga 1:40 va undan yuqori titrlar ega; zardobi eritrotsitar Vi-diagnostikum bilan musbat natija bergan barcha shaxslar qorin tifi bakteriyasi tashuvchisi deb gumon qilinib, bir necha marta bakteriologik tekshiriladi [1].</w:t>
      </w:r>
    </w:p>
    <w:p>
      <w:pPr>
        <w:pStyle w:val="Heading2"/>
      </w:pPr>
      <w:r>
        <w:rPr>
          <w:rFonts w:ascii="Times New Roman" w:hAnsi="Times New Roman" w:eastAsia="Times New Roman"/>
          <w:b/>
          <w:sz w:val="28"/>
        </w:rPr>
        <w:t>Serologik usulning boshqa usullar bilan o'rni</w:t>
      </w:r>
    </w:p>
    <w:p>
      <w:pPr>
        <w:spacing w:line="276" w:lineRule="auto"/>
        <w:ind w:firstLine="709"/>
        <w:jc w:val="both"/>
      </w:pPr>
      <w:r>
        <w:rPr>
          <w:rFonts w:ascii="Times New Roman" w:hAnsi="Times New Roman" w:eastAsia="Times New Roman"/>
          <w:b w:val="0"/>
          <w:sz w:val="28"/>
        </w:rPr>
        <w:t>Aliyev va Muxamedov sxemasida qorin tifi va paratiflarni kasallik davrlariga mos uch bosqichda tekshirish ko'rsatilgan: I davr — gemokultura, II davr — koprokultura, III davr — Vidal reaksiyasi; kasallikning ikkinchi haftasida Vidal reaksiyasi qo'yiladi [1]. G'anixo'jayeva darsligida ham birinchi haftada qon olinib gemokultura usulida, ikkinchi haftada yoki uchinchi haftaning boshida serologik usulda Vidal reaksiyasi, uchinchi haftada najas, siydik va o't suyuqligi bilan koprokultura usuli qo'llanishi ko'rsatilgan [2]. Shu sababli bemor kasallikning birinchi kunlarida kelganida serologik javob manfiy bo'lishi tabiiy, bu esa kasallikni istisno qilmaydi.</w:t>
      </w:r>
    </w:p>
    <w:p>
      <w:pPr>
        <w:pStyle w:val="Heading2"/>
      </w:pPr>
      <w:r>
        <w:rPr>
          <w:rFonts w:ascii="Times New Roman" w:hAnsi="Times New Roman" w:eastAsia="Times New Roman"/>
          <w:b/>
          <w:sz w:val="28"/>
        </w:rPr>
        <w:t>Reaksiyaning cheklovlari</w:t>
      </w:r>
    </w:p>
    <w:p>
      <w:pPr>
        <w:pStyle w:val="ListBullet"/>
        <w:jc w:val="both"/>
      </w:pPr>
      <w:r>
        <w:rPr>
          <w:rFonts w:ascii="Times New Roman" w:hAnsi="Times New Roman" w:eastAsia="Times New Roman"/>
          <w:b w:val="0"/>
          <w:sz w:val="28"/>
        </w:rPr>
        <w:t>Antitelalar kasallikning boshida hali to'planmagan bo'ladi, shu sababli erta tekshiruvda soxta manfiy natija mumkin [1].</w:t>
      </w:r>
    </w:p>
    <w:p>
      <w:pPr>
        <w:pStyle w:val="ListBullet"/>
        <w:jc w:val="both"/>
      </w:pPr>
      <w:r>
        <w:rPr>
          <w:rFonts w:ascii="Times New Roman" w:hAnsi="Times New Roman" w:eastAsia="Times New Roman"/>
          <w:b w:val="0"/>
          <w:sz w:val="28"/>
        </w:rPr>
        <w:t>Emlangan yoki avval kasallikni o'tkazgan shaxslarda titr yuqori bo'lishi mumkin, shuning uchun bir martalik tekshiruv yetarli emas [1][3].</w:t>
      </w:r>
    </w:p>
    <w:p>
      <w:pPr>
        <w:pStyle w:val="ListBullet"/>
        <w:jc w:val="both"/>
      </w:pPr>
      <w:r>
        <w:rPr>
          <w:rFonts w:ascii="Times New Roman" w:hAnsi="Times New Roman" w:eastAsia="Times New Roman"/>
          <w:b w:val="0"/>
          <w:sz w:val="28"/>
        </w:rPr>
        <w:t>Nazoratda spontan agglyutinatsiya bo'lsa, natija baholanmaydi [1].</w:t>
      </w:r>
    </w:p>
    <w:p>
      <w:pPr>
        <w:pStyle w:val="ListBullet"/>
        <w:jc w:val="both"/>
      </w:pPr>
      <w:r>
        <w:rPr>
          <w:rFonts w:ascii="Times New Roman" w:hAnsi="Times New Roman" w:eastAsia="Times New Roman"/>
          <w:b w:val="0"/>
          <w:sz w:val="28"/>
        </w:rPr>
        <w:t>Boshqa ichak infeksiyalari va qarindosh mikroorganizmlar bilan kross-reaksiyalar bo'lishi mumkin (muallif izohi, agglyutinatsiya reaksiyasining umumiy xossalaridan: qarindosh mikroorganizmlar bilan ham kam miqdorda agglyutinatsiya berishi mumkin [1]).</w:t>
      </w:r>
    </w:p>
    <w:p>
      <w:pPr>
        <w:pStyle w:val="Heading2"/>
      </w:pPr>
      <w:r>
        <w:rPr>
          <w:rFonts w:ascii="Times New Roman" w:hAnsi="Times New Roman" w:eastAsia="Times New Roman"/>
          <w:b/>
          <w:sz w:val="28"/>
        </w:rPr>
        <w:t>Natijani qayd etish</w:t>
      </w:r>
    </w:p>
    <w:p>
      <w:pPr>
        <w:spacing w:line="276" w:lineRule="auto"/>
        <w:ind w:firstLine="709"/>
        <w:jc w:val="both"/>
      </w:pPr>
      <w:r>
        <w:rPr>
          <w:rFonts w:ascii="Times New Roman" w:hAnsi="Times New Roman" w:eastAsia="Times New Roman"/>
          <w:b w:val="0"/>
          <w:sz w:val="28"/>
        </w:rPr>
        <w:t>Natija jurnalga zardob raqami, olingan sana, diagnostikum turi (O, H, A, B), suyultirish va agglyutinatsiya darajasi (++++, +++, ++) ko'rsatilgan holda yoziladi; ikkinchi zardob natijasi birinchisi bilan solishtirilib, titr dinamikasi baholanadi (muallif izohi, laboratoriya amaliyotiga asoslangan) [3].</w:t>
      </w:r>
    </w:p>
    <w:p>
      <w:pPr>
        <w:pStyle w:val="Heading2"/>
      </w:pPr>
      <w:r>
        <w:rPr>
          <w:rFonts w:ascii="Times New Roman" w:hAnsi="Times New Roman" w:eastAsia="Times New Roman"/>
          <w:b/>
          <w:sz w:val="28"/>
        </w:rPr>
        <w:t>Natijani talqin qilishda e'tibor</w:t>
      </w:r>
    </w:p>
    <w:p>
      <w:pPr>
        <w:spacing w:line="276" w:lineRule="auto"/>
        <w:ind w:firstLine="709"/>
        <w:jc w:val="both"/>
      </w:pPr>
      <w:r>
        <w:rPr>
          <w:rFonts w:ascii="Times New Roman" w:hAnsi="Times New Roman" w:eastAsia="Times New Roman"/>
          <w:b w:val="0"/>
          <w:sz w:val="28"/>
        </w:rPr>
        <w:t>Serologik natija faqat kasallikning klinik ko'rinishi, emlash anamnezi va boshqa usullar (gemokultura, koprokultura) bilan birga baholanadi. Titr bir martalik tekshiruvda emlanish yoki oldingi kasallik tufayli ham yuqori bo'lishi mumkin; shu sababli juft zardoblar tekshiriladi [1][2]. Birinchi va ikkinchi zardoblar bir xil diagnostikum seriyasi bilan, bir vaqtda tekshirilishi kerak [3] (muallif izohi: taqqoslash to'g'riligi uchun).</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Vidal reaksiyasi qorin tifi va paratiflarni kasallikning 2-haftasidan boshlab serologik tashxislash usuli bo'lib, 4 diagnostikum (O- va H-qorin tifi, paratif A va B) bilan, nazoratlar bilan qo'yiladi; diagnostik titr 1:200, dinamikada titr 2 baravar va undan ko'p oshishi tashxis uchun asos. Emlanganlarda reaksiya musbat bo'lishi mumkinligi sababli juft zardoblar tekshiriladi; tashuvchilarni aniqlashda Vi-gemagglyutinatsiya (titr ≥ 1:40) qo'llanadi.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[3] O'zbekiston Respublikasi Sog'liqni saqlash vazirining 2007-yil 29-dekabrdagi 595-sonli buyrug'iga 4-ilova: Ichak infeksiyalarini bakteriologik tekshirish tartibi (uslubiy qo'llanma). Toshkent; 2008 (kirill yozuvida). Xayrullo Komilov kutubxonasi, id 1949: https://xayrullokomilov.uz/kutubxona/1949</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