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91. O'ta xavfli laboratoriyalarda ishlash qoidasi.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O'ta xavfli yuqumli kasalliklar (vabo, o'lat, kuydirgi, brutsellyoz, tulyaremiya va boshqalar) qo'zg'atuvchilari bilan ishlash laboratoriya xodimlari va atrofdagilar uchun xavf tug'diradi, shuning uchun bunday laboratoriyalarda ishlash qat'iy qoidalar bilan tartibga solinadi [1][2][3]. O'zbekistonda bu laboratoriyalar SEOJSQ qo'mitasi tizimida O'ta xavfli yuqumli kasalliklar laboratoriyasi sifatida faoliyat yuritadi: Qo'mitaning 2024-yil 25-yanvardagi 8-sonli buyrug'iga 7-ilova bilan Qo'mita laboratoriyasi to'g'risida nizom, 7-a-ilova bilan esa Qoraqalpog'iston Respublikasi, viloyatlar va Toshkent shahar boshqarmalarining namunaviy nizomi tasdiqlangan [1]. Mavzuda tashkiliy, xodimlarga oid va ish davomidagi asosiy qoidalar yoritiladi.</w:t>
      </w:r>
    </w:p>
    <w:p>
      <w:pPr>
        <w:pStyle w:val="Heading2"/>
      </w:pPr>
      <w:r>
        <w:rPr>
          <w:rFonts w:ascii="Times New Roman" w:hAnsi="Times New Roman" w:eastAsia="Times New Roman"/>
          <w:b/>
          <w:sz w:val="28"/>
        </w:rPr>
        <w:t>Xodimlarga qo'yiladigan talablar</w:t>
      </w:r>
    </w:p>
    <w:p>
      <w:pPr>
        <w:spacing w:line="276" w:lineRule="auto"/>
        <w:ind w:firstLine="709"/>
        <w:jc w:val="both"/>
      </w:pPr>
      <w:r>
        <w:rPr>
          <w:rFonts w:ascii="Times New Roman" w:hAnsi="Times New Roman" w:eastAsia="Times New Roman"/>
          <w:b w:val="0"/>
          <w:sz w:val="28"/>
        </w:rPr>
        <w:t>Laboratoriya lavozimlarida (mudir, vrach-bakteriolog, laborant, sanitarka) tibbiyot oliygohlarining «Tibbiy-profilaktika ishi» fakultetini tamomlagan vrachlar hamda o'rta maxsus ta'lim muassasalarining Bakteriologiya-laboratoriya yo'nalishini tamomlagan mutaxassislar ishlaydi; ishlashga o'ta xavfli yuqumli kasalliklar bilan ishlashga birlamchi ixtisoslashtirish kurslaridan maxsus tayyorgarlikdan o'tgan mutaxassislarga ruxsat etiladi [1]. SP 1.3.1285-03 (Rossiya Federatsiyasi hujjati) ga ko'ra patogen biologik agentlar bilan 18 yoshdan kichik bo'lmagan, tegishli ma'lumotli, ixtisoslashtirish kurslarini tamomlagan, maxsus preparatlar bilan davolashga va himoya vositalarida ishlashga qarshi ko'rsatmasi bo'lmagan mutaxassislar ishlaydi; muhandis-texnik xodimlar, dezinfektorlar va sanitarkalar o'z lavozimiga mos maxsus biologik xavfsizlik tayyorgarligidan o'tadi; xodimlarga ruxsat rahbar tomonidan ikki yilda bir marta (biologik aerozollar bilan ishlashga — har yili) bilimlar tekshirilgandan keyin beriladi [3]. Har bir xodim biologik xavfsizlik buzilishlari haqida rahbarga xabar berishi shart; ishning shoshilinchligi yoki moddiy-texnik ta'minot yetishmasligi talablardan chekinishga asos bo'lmaydi [3].</w:t>
      </w:r>
    </w:p>
    <w:p>
      <w:pPr>
        <w:pStyle w:val="Heading2"/>
      </w:pPr>
      <w:r>
        <w:rPr>
          <w:rFonts w:ascii="Times New Roman" w:hAnsi="Times New Roman" w:eastAsia="Times New Roman"/>
          <w:b/>
          <w:sz w:val="28"/>
        </w:rPr>
        <w:t>Laboratoriya darajalari va ish taqsimoti</w:t>
      </w:r>
    </w:p>
    <w:p>
      <w:pPr>
        <w:spacing w:line="276" w:lineRule="auto"/>
        <w:ind w:firstLine="709"/>
        <w:jc w:val="both"/>
      </w:pPr>
      <w:r>
        <w:rPr>
          <w:rFonts w:ascii="Times New Roman" w:hAnsi="Times New Roman" w:eastAsia="Times New Roman"/>
          <w:b w:val="0"/>
          <w:sz w:val="28"/>
        </w:rPr>
        <w:t>Vabo diagnostikasi misolida: shahar va tuman DSENM bakteriologiya laboratoriyalarida o'tkir ichak kasalliklari bilan og'rigan bemorlar va tashqi muhit ob'ektlaridan olingan namunalar tekshiriladi; Vibrio turiga gumon qilinganda hududiy DSENM ga darhol xabar beriladi va kultura belgilangan tartibda maxsus laboratoriyaga yuboriladi; hududiy O'XYUK laboratoriyalari vaboga gumon qilingan bemorlar, o'lganlar va tashqi muhit namunalarini tekshiradi, ajratilgan kulturalarni identifikatsiya qiladi; respublika O'XYUK laboratoriyasi taksonomik mansublikni tasdiqlaydi, atipik kulturalarni aniqlaydi va hududiy laboratoriyalar faoliyatini nazorat qiladi [2].</w:t>
      </w:r>
    </w:p>
    <w:p>
      <w:pPr>
        <w:pStyle w:val="Heading2"/>
      </w:pPr>
      <w:r>
        <w:rPr>
          <w:rFonts w:ascii="Times New Roman" w:hAnsi="Times New Roman" w:eastAsia="Times New Roman"/>
          <w:b/>
          <w:sz w:val="28"/>
        </w:rPr>
        <w:t>Materialni qabul qilish va tashish</w:t>
      </w:r>
    </w:p>
    <w:p>
      <w:pPr>
        <w:spacing w:line="276" w:lineRule="auto"/>
        <w:ind w:firstLine="709"/>
        <w:jc w:val="both"/>
      </w:pPr>
      <w:r>
        <w:rPr>
          <w:rFonts w:ascii="Times New Roman" w:hAnsi="Times New Roman" w:eastAsia="Times New Roman"/>
          <w:b w:val="0"/>
          <w:sz w:val="28"/>
        </w:rPr>
        <w:t>Bemor namunasi kasallikka gumon qilinganda darhol, antibiotik qabul qilishdan oldin tibbiyot xodimi tomonidan olinadi; davolash-profilaktika muassasasi rahbari namunani to'g'ri olish, saqlash va o'z vaqtida yetkazishga javobgar [2]. Namuna olish uchun dezinfeksiyalovchi eritma qoldig'i bo'lmagan toza steril idishlar ishlatiladi; ular avtoklav, quruq issiqlik yoki 2 % ichimlik sodasi eritmasida qaynatish bilan sterillanadi [2]. Idishlar og'zi mahkam berkitiladi, tashqi qismi dezinfeksiyalovchi eritmada ho'llangan salfetka bilan artiladi, raqamlanib maxsus metall idishga joylanadi va xizmat transportida maxsus xodim nazoratida laboratoriyaga olib boriladi; har bir namuna uchun yo'llanma to'ldiriladi [2]. G'anixo'jayeva darsligida: yo'llanma xatida bemorning familiyasi, ismi, olingan material, taxminiy tashxis, qayerda va kim tomonidan olinganligi ko'rsatiladi; material solingan idish dezinfeksiyalovchi modda (5 % li lizol yoki karbol kislotasi) bilan ho'llangan sochiqqa o'raladi; ekilgan probirka va Petri kosachalari metall byukslarga solinib, ustiga «ehtiyot bo'ling» deb yozib qo'yiladi va maxsus transport bilan yetkaziladi [4]. SP 1.3.1285-03 ga ko'ra materialni laboratoriyaga konteyner, biks yoki sumka-muzlatgichlarda yetkaziladi; qabul qilish va ochish ehtiyot choralariga rioya qilib, ko'p qavatli dezinfeksiyalovchi eritma bilan ho'llangan doka salfetka qoplangan patnisda o'tkaziladi [3].</w:t>
      </w:r>
    </w:p>
    <w:p>
      <w:pPr>
        <w:pStyle w:val="Heading2"/>
      </w:pPr>
      <w:r>
        <w:rPr>
          <w:rFonts w:ascii="Times New Roman" w:hAnsi="Times New Roman" w:eastAsia="Times New Roman"/>
          <w:b/>
          <w:sz w:val="28"/>
        </w:rPr>
        <w:t>Ish tartibi</w:t>
      </w:r>
    </w:p>
    <w:p>
      <w:pPr>
        <w:pStyle w:val="ListBullet"/>
        <w:jc w:val="both"/>
      </w:pPr>
      <w:r>
        <w:rPr>
          <w:rFonts w:ascii="Times New Roman" w:hAnsi="Times New Roman" w:eastAsia="Times New Roman"/>
          <w:b w:val="0"/>
          <w:sz w:val="28"/>
        </w:rPr>
        <w:t>Mikrobiologik xonalarga (boks) kirish-chiqish predboks (shlyuz) orqali amalga oshiriladi, himoya kiyimi shu yerda kiyiladi va yechiladi; ish vaqtida boks va predboks eshiklari yopiq bo'ladi [3].</w:t>
      </w:r>
    </w:p>
    <w:p>
      <w:pPr>
        <w:pStyle w:val="ListBullet"/>
        <w:jc w:val="both"/>
      </w:pPr>
      <w:r>
        <w:rPr>
          <w:rFonts w:ascii="Times New Roman" w:hAnsi="Times New Roman" w:eastAsia="Times New Roman"/>
          <w:b w:val="0"/>
          <w:sz w:val="28"/>
        </w:rPr>
        <w:t>Biologik xavfsizlik bokslari (II–III sinf) ishlatiladi; ishdan oldin shamollatish yoqiladi, uskuna sozligi va favqulodda dezinfeksiyalovchi zaxira tekshiriladi; ish orqa devorga yaqin bajariladi [3].</w:t>
      </w:r>
    </w:p>
    <w:p>
      <w:pPr>
        <w:pStyle w:val="ListBullet"/>
        <w:jc w:val="both"/>
      </w:pPr>
      <w:r>
        <w:rPr>
          <w:rFonts w:ascii="Times New Roman" w:hAnsi="Times New Roman" w:eastAsia="Times New Roman"/>
          <w:b w:val="0"/>
          <w:sz w:val="28"/>
        </w:rPr>
        <w:t>Barcha ishlar juftlik prinsipi bo'yicha bajariladi (kamida ikki kishi, ulardan biri vrach yoki ilmiy xodim); uzluksiz ishlash 4 soat bilan cheklanadi, so'ng 30–60 daqiqa tanaffus [3].</w:t>
      </w:r>
    </w:p>
    <w:p>
      <w:pPr>
        <w:pStyle w:val="ListBullet"/>
        <w:jc w:val="both"/>
      </w:pPr>
      <w:r>
        <w:rPr>
          <w:rFonts w:ascii="Times New Roman" w:hAnsi="Times New Roman" w:eastAsia="Times New Roman"/>
          <w:b w:val="0"/>
          <w:sz w:val="28"/>
        </w:rPr>
        <w:t>Ish tugagach bokslarda bakteritsid lampalar yoqiladi; har kuni joriy dezinfeksiyadan so'ng ho'l tozalash, «yuqumli» zonada haftalik umumiy tozalash o'tkaziladi [3].</w:t>
      </w:r>
    </w:p>
    <w:p>
      <w:pPr>
        <w:pStyle w:val="Heading2"/>
      </w:pPr>
      <w:r>
        <w:rPr>
          <w:rFonts w:ascii="Times New Roman" w:hAnsi="Times New Roman" w:eastAsia="Times New Roman"/>
          <w:b/>
          <w:sz w:val="28"/>
        </w:rPr>
        <w:t>Materialni zararsizlantirish</w:t>
      </w:r>
    </w:p>
    <w:p>
      <w:pPr>
        <w:spacing w:line="276" w:lineRule="auto"/>
        <w:ind w:firstLine="709"/>
        <w:jc w:val="both"/>
      </w:pPr>
      <w:r>
        <w:rPr>
          <w:rFonts w:ascii="Times New Roman" w:hAnsi="Times New Roman" w:eastAsia="Times New Roman"/>
          <w:b w:val="0"/>
          <w:sz w:val="28"/>
        </w:rPr>
        <w:t>SP 1.3.1285-03 bo'yicha qo'zg'atuvchi turiga ko'ra zararsizlantirish rejimi: vabo — 30 daqiqa qaynatish; kuydirgi — 60 daqiqa qaynatib, so'ng formalinni 4 % gacha qo'shib 1 soatgacha ushlab turish; brutsellyoz va tulyaremiya — 20 daqiqa qaynatish, keyin formalin 2 % gacha va 2 soat ekspozitsiya; o'lat — formalin 1–2 % va kamida 12 soat ekspozitsiya; zararsizlantirish samaradorligi «spetsifik sterillik» sinamasi bilan tekshiriladi [3]. Dezinfeksiyalovchi eritmalarni laborant yoki dezinfektor shifokor nazoratida tayyorlaydi, laboratoriyada kamida haftalik zaxira saqlanadi, avtoklavlash maxsus kurs tamomlagan xodim tomonidan bajariladi [3].</w:t>
      </w:r>
    </w:p>
    <w:p>
      <w:pPr>
        <w:pStyle w:val="Heading2"/>
      </w:pPr>
      <w:r>
        <w:rPr>
          <w:rFonts w:ascii="Times New Roman" w:hAnsi="Times New Roman" w:eastAsia="Times New Roman"/>
          <w:b/>
          <w:sz w:val="28"/>
        </w:rPr>
        <w:t>Shaxsiy himoya vositalari</w:t>
      </w:r>
    </w:p>
    <w:p>
      <w:pPr>
        <w:spacing w:line="276" w:lineRule="auto"/>
        <w:ind w:firstLine="709"/>
        <w:jc w:val="both"/>
      </w:pPr>
      <w:r>
        <w:rPr>
          <w:rFonts w:ascii="Times New Roman" w:hAnsi="Times New Roman" w:eastAsia="Times New Roman"/>
          <w:b w:val="0"/>
          <w:sz w:val="28"/>
        </w:rPr>
        <w:t>Xodim maxsus ish va himoya kiyimi, poyabzal, nafas, ko'z va teri himoyasi vositalari bilan ta'minlanadi; kiyim individual bo'lib, ish kiyimi sanitar o'tkazgichda shaxsiy kiyimdan alohida saqlanadi; pnevmokostyum va izolyatsion kostyumlar raqamlanib, foydalanish vaqti maxsus jurnalda qayd etiladi, har foydalanishdan keyin zararsizlantiriladi; laboratoriyada himoya kiyimi ifloslanganda, kamida haftada bir almashtiriladi [3].</w:t>
      </w:r>
    </w:p>
    <w:p>
      <w:pPr>
        <w:pStyle w:val="Heading2"/>
      </w:pPr>
      <w:r>
        <w:rPr>
          <w:rFonts w:ascii="Times New Roman" w:hAnsi="Times New Roman" w:eastAsia="Times New Roman"/>
          <w:b/>
          <w:sz w:val="28"/>
        </w:rPr>
        <w:t>Litsenziya, saqlash va uzatish</w:t>
      </w:r>
    </w:p>
    <w:p>
      <w:pPr>
        <w:spacing w:line="276" w:lineRule="auto"/>
        <w:ind w:firstLine="709"/>
        <w:jc w:val="both"/>
      </w:pPr>
      <w:r>
        <w:rPr>
          <w:rFonts w:ascii="Times New Roman" w:hAnsi="Times New Roman" w:eastAsia="Times New Roman"/>
          <w:b w:val="0"/>
          <w:sz w:val="28"/>
        </w:rPr>
        <w:t>SP 1.3.1285-03 ga ko'ra patogen biologik agentlar bilan ishlaydigan har bir tuzilma faoliyatga litsenziya va ish turiga sanitariya-epidemiologik xulosaga ega bo'lishi kerak; agentlar «yuqumli» zonadagi xonalarda saqlanadi va litsenziyasi yo'q tashkilotlarga uzatilmaydi; zararsizlantirilgan material laboratoriyalar o'rtasida faqat spetsifik sterillik tekshiruvidan keyin uzatiladi; har bir bo'linma o'z sharoitiga mos xavfsiz ish rejimi hujjatini ishlab chiqadi; hudud va xonalar kechayu kunduz qo'riqlanadi [3]. Ushbu qoidalar O'zbekistonda nizom va uslubiy ko'rsatmalar bilan birga qo'llanadigan umumiy tamoyillar sifatida keltirildi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O'ta xavfli laboratoriyalarda ishlash maxsus tayyorgarlikdan o'tgan xodimlarga ruxsat etilishi, materialni antibiotikdan oldin steril idishga olib, dezinfeksiyalangan metall idishda maxsus transportda yetkazish, predboks va biologik xavfsizlik shkaflaridan foydalanish, juftlik prinsipi, qo'zg'atuvchi turiga mos zararsizlantirish va shaxsiy himoya vositalarini nazorat qilishni talab qiladi. Rossiya qoidalari (SP 1.3.1285-03) O'zbekistondagi rasmiy talab o'rnini bosmaydi, ammo xalqaro tajribaga mos o'quv ma'lumoti sifatida keltirildi.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O'zbekiston Respublikasi SEOJSQ qo'mitasining 2024-yil 25-yanvardagi 8-sonli buyrug'iga 7-ilova: O'ta xavfli yuqumli kasalliklar laboratoriyasi to'g'risida nizom. Xayrullo Komilov kutubxonasi, id 325: https://xayrullokomilov.uz/kutubxona/325</w:t>
      </w:r>
    </w:p>
    <w:p>
      <w:pPr>
        <w:spacing w:line="276" w:lineRule="auto"/>
        <w:jc w:val="left"/>
      </w:pPr>
      <w:r>
        <w:rPr>
          <w:rFonts w:ascii="Times New Roman" w:hAnsi="Times New Roman" w:eastAsia="Times New Roman"/>
          <w:b w:val="0"/>
          <w:sz w:val="24"/>
        </w:rPr>
        <w:t>[2] O'zbekiston Respublikasi Sog'liqni saqlash vazirining 2015-yil 1-maydagi 177-sonli buyrug'i ilovalari: Bakteriologik, virusologik va o'ta xavfli yuqumli kasalliklar laboratoriyalarida o'tkaziladigan laboratoriya tekshiruvlari bo'yicha uslubiy ko'rsatmalar (kirill yozuvida). Xayrullo Komilov kutubxonasi, id 491: https://xayrullokomilov.uz/kutubxona/491</w:t>
      </w:r>
    </w:p>
    <w:p>
      <w:pPr>
        <w:spacing w:line="276" w:lineRule="auto"/>
        <w:jc w:val="left"/>
      </w:pPr>
      <w:r>
        <w:rPr>
          <w:rFonts w:ascii="Times New Roman" w:hAnsi="Times New Roman" w:eastAsia="Times New Roman"/>
          <w:b w:val="0"/>
          <w:sz w:val="24"/>
        </w:rPr>
        <w:t>[3] SP 1.3.1285-03. I–II patogenlik (xavflilik) guruhi mikroorganizmlari bilan ishlash xavfsizligi: sanitariya-epidemiologik qoidalar (rus tilida). Moskva: Rossiya Federatsiyasi Sog'liqni saqlash vazirligi; 2003 (Rossiya Federatsiyasi hujjati; O'zbekistonda rasmiy qo'llanilishi tasdiqlanmagan). Xayrullo Komilov kutubxonasi, id 604: https://xayrullokomilov.uz/kutubxona/604</w:t>
      </w:r>
    </w:p>
    <w:p>
      <w:pPr>
        <w:spacing w:line="276" w:lineRule="auto"/>
        <w:jc w:val="left"/>
      </w:pPr>
      <w:r>
        <w:rPr>
          <w:rFonts w:ascii="Times New Roman" w:hAnsi="Times New Roman" w:eastAsia="Times New Roman"/>
          <w:b w:val="0"/>
          <w:sz w:val="24"/>
        </w:rPr>
        <w:t>[4] G'anixo'jayeva A, Nazarova H. Mikrobiologiya: tibbiyot kollejlari va bilim yurtlari o'quvchilari uchun darslik. Toshkent: Abu Ali ibn Sino nomidagi tibbiyot nashriyoti; 2002 (kirill yozuvida). Xayrullo Komilov kutubxonasi, id 2323: https://xayrullokomilov.uz/kutubxona/2323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