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100. Patogen anaeroblarga umumiy xarakteristika.</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Anaeroblar — kislorodsiz sharoitda ko'payadigan mikroorganizmlar guruhi bo'lib, ular orasida odam uchun patogen sporali tayoqchalar — klostridiylar alohida o'rin tutadi [1]. Ular jarohat anaerob infeksiyalari (gazli gangrena), qoqshol va botulizm kabi og'ir kasalliklarni qo'zg'atadi [2]. Mazkur ishda patogen anaeroblarning taksonomik o'rni, umumiy morfologik va biologik xossalari, o'stirish usullari, chidamliligi va laboratoriya diagnostikasining umumiy tamoyillari G'anixo'jayeva va Aliyev–Muxamedov o'quv qo'llanmalari asosida bayon etiladi.</w:t>
      </w:r>
    </w:p>
    <w:p>
      <w:pPr>
        <w:pStyle w:val="Heading2"/>
      </w:pPr>
      <w:r>
        <w:rPr>
          <w:rFonts w:ascii="Times New Roman" w:hAnsi="Times New Roman" w:eastAsia="Times New Roman"/>
          <w:b/>
          <w:sz w:val="28"/>
        </w:rPr>
        <w:t>Taksonomiya va tabiatda tarqalishi</w:t>
      </w:r>
    </w:p>
    <w:p>
      <w:pPr>
        <w:spacing w:line="276" w:lineRule="auto"/>
        <w:ind w:firstLine="709"/>
        <w:jc w:val="both"/>
      </w:pPr>
      <w:r>
        <w:rPr>
          <w:rFonts w:ascii="Times New Roman" w:hAnsi="Times New Roman" w:eastAsia="Times New Roman"/>
          <w:b w:val="0"/>
          <w:sz w:val="28"/>
        </w:rPr>
        <w:t>Patogen anaeroblar Bacillaceae oilasining Clostridium avlodiga kiradi; ularga qoqshol, gazli gangrena (polimikrob infeksiya) va botulizm klostridiylari mansub [1]. Aliyev qo'llanmasida bu avlodga Cl. perfringens, Cl. novyi, Cl. septicum, Cl. sordellii, Cl. histolyticum, C. difficile, C. tetani va C. botulinum kiritilgan: dastlabki oltitasi gazli gangrena, C. tetani qoqshol, C. botulinum esa oziq-ovqatdan zaharlanish (toksikoinfeksiya) bilan bog'liq [2]. Gazli gangrena hollarining taxminan 90 % ida Cl. perfringens qo'zg'atuvchi hisoblanadi; qolgan turlardan Cl. novyi va Cl. septicum ko'proq rol o'ynaydi [2].</w:t>
      </w:r>
    </w:p>
    <w:p>
      <w:pPr>
        <w:spacing w:line="276" w:lineRule="auto"/>
        <w:ind w:firstLine="709"/>
        <w:jc w:val="both"/>
      </w:pPr>
      <w:r>
        <w:rPr>
          <w:rFonts w:ascii="Times New Roman" w:hAnsi="Times New Roman" w:eastAsia="Times New Roman"/>
          <w:b w:val="0"/>
          <w:sz w:val="28"/>
        </w:rPr>
        <w:t>Patogen anaeroblar odam va hayvonlar ichagida yashaydi va tashqi muhitga najas bilan chiqariladi; spora shaklida tuproqda, dengiz va ariq suvlarida uchraydi [1][2]. Jarohatga sporalar tuproq yoki chang bilan tushadi; kasallikni faqat bitta turdagi klostridiy chaqirishi kam uchraydi, odatda stafilokokklar, ko'k yiring tayoqchasi, protey va klostridiy bo'lmagan anaeroblar ham ishtirok etib, kechishni og'irlashtiradi [2].</w:t>
      </w:r>
    </w:p>
    <w:p>
      <w:pPr>
        <w:pStyle w:val="Heading2"/>
      </w:pPr>
      <w:r>
        <w:rPr>
          <w:rFonts w:ascii="Times New Roman" w:hAnsi="Times New Roman" w:eastAsia="Times New Roman"/>
          <w:b/>
          <w:sz w:val="28"/>
        </w:rPr>
        <w:t>Morfologik xossalari</w:t>
      </w:r>
    </w:p>
    <w:p>
      <w:pPr>
        <w:spacing w:line="276" w:lineRule="auto"/>
        <w:ind w:firstLine="709"/>
        <w:jc w:val="both"/>
      </w:pPr>
      <w:r>
        <w:rPr>
          <w:rFonts w:ascii="Times New Roman" w:hAnsi="Times New Roman" w:eastAsia="Times New Roman"/>
          <w:b w:val="0"/>
          <w:sz w:val="28"/>
        </w:rPr>
        <w:t>Patogen anaeroblar yirik tayoqchasimon, 4–9 × 0,6–1,2 mkm o'lchamda bo'ladi; yosh kulturalarda Gram-musbat bo'lib bo'yaladi, eski kulturalar esa Gram usulida bo'yalish xususiyatini yo'qotadi [1]. Hammasi spora hosil qiladi; spora oval yoki yumaloq, terminal, subterminal yoki markaziy joylashadi, shuning uchun mikrob duksimon ko'rinadi — «clostridium» nomi lotincha «duk» so'zidan kelib chiqqan [1][2]. Ko'pchiligi harakatchan, xivchinlari peritrix joylashgan [1]. Cl. perfringens harakatsiz va kapsula hosil qiladi, Cl. tetani esa harakatchan, kapsulasiz [2][1].</w:t>
      </w:r>
    </w:p>
    <w:p>
      <w:pPr>
        <w:pStyle w:val="Heading2"/>
      </w:pPr>
      <w:r>
        <w:rPr>
          <w:rFonts w:ascii="Times New Roman" w:hAnsi="Times New Roman" w:eastAsia="Times New Roman"/>
          <w:b/>
          <w:sz w:val="28"/>
        </w:rPr>
        <w:t>Fiziologik xossalari va o'stirish usullari</w:t>
      </w:r>
    </w:p>
    <w:p>
      <w:pPr>
        <w:spacing w:line="276" w:lineRule="auto"/>
        <w:ind w:firstLine="709"/>
        <w:jc w:val="both"/>
      </w:pPr>
      <w:r>
        <w:rPr>
          <w:rFonts w:ascii="Times New Roman" w:hAnsi="Times New Roman" w:eastAsia="Times New Roman"/>
          <w:b w:val="0"/>
          <w:sz w:val="28"/>
        </w:rPr>
        <w:t>Anaeroblar kislorodsiz sharoitda rivojlanadi, shuning uchun o'stirishda anaerob muhit fizik, kimyoviy va biologik usullar bilan yaratiladi [1]:</w:t>
      </w:r>
    </w:p>
    <w:p>
      <w:pPr>
        <w:pStyle w:val="ListBullet"/>
        <w:jc w:val="both"/>
      </w:pPr>
      <w:r>
        <w:rPr>
          <w:rFonts w:ascii="Times New Roman" w:hAnsi="Times New Roman" w:eastAsia="Times New Roman"/>
          <w:b w:val="0"/>
          <w:sz w:val="28"/>
        </w:rPr>
        <w:t>Fizik usul: anaerostat (germetik yopiladigan idish; havo kran orqali so'riladi, vakuummetr bilan nazorat qilinadi); glyukozali tik agarga sanchib ekish (ekma tez qotiriladi, mikroblar probirka tubida o'sadi); Vinyal–Veyon usuli (45 °C gacha sovitilgan agar Paster pipetkasiga olinib, uchi alangada kavsharlanadi) [1].</w:t>
      </w:r>
    </w:p>
    <w:p>
      <w:pPr>
        <w:pStyle w:val="ListBullet"/>
        <w:jc w:val="both"/>
      </w:pPr>
      <w:r>
        <w:rPr>
          <w:rFonts w:ascii="Times New Roman" w:hAnsi="Times New Roman" w:eastAsia="Times New Roman"/>
          <w:b w:val="0"/>
          <w:sz w:val="28"/>
        </w:rPr>
        <w:t>Kimyoviy usul: eksikator tubiga kislorodni yutuvchi moddalar (pirogallol, natriy gidropirit va boshqalar) solinadi [1].</w:t>
      </w:r>
    </w:p>
    <w:p>
      <w:pPr>
        <w:pStyle w:val="ListBullet"/>
        <w:jc w:val="both"/>
      </w:pPr>
      <w:r>
        <w:rPr>
          <w:rFonts w:ascii="Times New Roman" w:hAnsi="Times New Roman" w:eastAsia="Times New Roman"/>
          <w:b w:val="0"/>
          <w:sz w:val="28"/>
        </w:rPr>
        <w:t>Biologik usul: aerob va anaeroblarni bir kosachada, o'rtasida ariqchasi bor qonli agarga ekib, kosacha qopqog'i orasiga eritilgan parafin quyiladi; aeroblar kislorodni yutgach, anaeroblar o'sa boshlaydi [1].</w:t>
      </w:r>
    </w:p>
    <w:p>
      <w:pPr>
        <w:pStyle w:val="ListBullet"/>
        <w:jc w:val="both"/>
      </w:pPr>
      <w:r>
        <w:rPr>
          <w:rFonts w:ascii="Times New Roman" w:hAnsi="Times New Roman" w:eastAsia="Times New Roman"/>
          <w:b w:val="0"/>
          <w:sz w:val="28"/>
        </w:rPr>
        <w:t>Kitt–Tarozzi muhitida o'stirish: muhit 10 daqiqa qaynatilib kislorodi chiqariladi, 45 °C gacha sovitilib ekiladi va ustiga 1–1,5 sm qalinlikda steril vazelin moyi quyiladi [1].</w:t>
      </w:r>
    </w:p>
    <w:p>
      <w:pPr>
        <w:pStyle w:val="Heading2"/>
      </w:pPr>
      <w:r>
        <w:rPr>
          <w:rFonts w:ascii="Times New Roman" w:hAnsi="Times New Roman" w:eastAsia="Times New Roman"/>
          <w:b/>
          <w:sz w:val="28"/>
        </w:rPr>
        <w:t>Oziq muhitlar</w:t>
      </w:r>
    </w:p>
    <w:p>
      <w:pPr>
        <w:spacing w:line="276" w:lineRule="auto"/>
        <w:ind w:firstLine="709"/>
        <w:jc w:val="both"/>
      </w:pPr>
      <w:r>
        <w:rPr>
          <w:rFonts w:ascii="Times New Roman" w:hAnsi="Times New Roman" w:eastAsia="Times New Roman"/>
          <w:b w:val="0"/>
          <w:sz w:val="28"/>
        </w:rPr>
        <w:t>Kitt–Tarozzi muhiti (buqa jigari yoki go'shti, sho'rva, pH 7,4–7,6), qonli agar (GPA ga 1–2 % glyukoza va 15–20 % defibrinlangan qo'y yoki ot qoni), Vilson–Bler muhiti (glyukozali GPA ga natriy sulfit va temir xlorid qo'shiladi) va Villis–Xobbs muhiti (laktoza, neytral qizil, tuxum sarig'i, yog'sizlantirilgan sut) tavsiflangan [1]. Aliyev qo'llanmasiga ko'ra, Cl. perfringens Vilson–Bler muhitida 1–3 soatda qora koloniyalar hosil qiladi; temir sulfid va CO2 hosil bo'lishidan muhit qorayib, yoriladi [2].</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Vegetativ shakllar tashqi muhitda chidamsiz; sporalar fizik va kimyoviy omillarga chidamli: tur va shtammga qarab qaynatganda 15–20 daqiqadan bir necha soatgacha saqlanadi, past harorat va qurishga chidamli, dezinfeksiyalovchi moddalar ta'sirida 12–14 soatdan keyin nobud bo'ladi [1]. Botulizm qo'zg'atuvchisi sporasi ayniqsa chidamli. Anaerob toksinlari yuqori harorat, to'g'ri quyosh nuri va dezinfeksiyalovchilarga sezuvchan, botulizm ekzotoksini esa chidamliroq: qaynatilganda 15–20 daqiqadan keyin parchalanadi [1].</w:t>
      </w:r>
    </w:p>
    <w:p>
      <w:pPr>
        <w:pStyle w:val="Heading2"/>
      </w:pPr>
      <w:r>
        <w:rPr>
          <w:rFonts w:ascii="Times New Roman" w:hAnsi="Times New Roman" w:eastAsia="Times New Roman"/>
          <w:b/>
          <w:sz w:val="28"/>
        </w:rPr>
        <w:t>Toksin hosil qilish</w:t>
      </w:r>
    </w:p>
    <w:p>
      <w:pPr>
        <w:spacing w:line="276" w:lineRule="auto"/>
        <w:ind w:firstLine="709"/>
        <w:jc w:val="both"/>
      </w:pPr>
      <w:r>
        <w:rPr>
          <w:rFonts w:ascii="Times New Roman" w:hAnsi="Times New Roman" w:eastAsia="Times New Roman"/>
          <w:b w:val="0"/>
          <w:sz w:val="28"/>
        </w:rPr>
        <w:t>Klostridiylar biologik faol ekzotoksin ishlab chiqaradi [1]. Gazli gangrena qo'zg'atuvchisi Cl. perfringens α-gemolizin, β-nekrotoksin, neyrotoksin va enterotoksin ishlab chiqaradi hamda toksini bo'yicha A, B, C, D, E, F serovariantlarga bo'linadi; qoqshol qo'zg'atuvchisi tetanolizin va tetanospazmin hosil qiladi, kasallik patogenezida asosiy rolni tetanospazmin o'ynaydi: u sinapslarda tormozlovchi neyromediatorlar ajralishini to'xtatib, mushaklarning kuchli qisqarishiga olib keladi; o'lim 35–70 % ni tashkil qiladi [2]. Har bir tur toksini o'ziga xos antigenlikka ega, shu sababli turni aniqlashda laboratoriya hayvonlarida neytrallash reaksiyasi qo'llanadi [2].</w:t>
      </w:r>
    </w:p>
    <w:p>
      <w:pPr>
        <w:pStyle w:val="Heading2"/>
      </w:pPr>
      <w:r>
        <w:rPr>
          <w:rFonts w:ascii="Times New Roman" w:hAnsi="Times New Roman" w:eastAsia="Times New Roman"/>
          <w:b/>
          <w:sz w:val="28"/>
        </w:rPr>
        <w:t>Laboratoriya diagnostikasining umumiy tamoyillari</w:t>
      </w:r>
    </w:p>
    <w:p>
      <w:pPr>
        <w:spacing w:line="276" w:lineRule="auto"/>
        <w:ind w:firstLine="709"/>
        <w:jc w:val="both"/>
      </w:pPr>
      <w:r>
        <w:rPr>
          <w:rFonts w:ascii="Times New Roman" w:hAnsi="Times New Roman" w:eastAsia="Times New Roman"/>
          <w:b w:val="0"/>
          <w:sz w:val="28"/>
        </w:rPr>
        <w:t>Jarohat anaerob infeksiyasida shish suyuqligi yoki nekroz to'qimasidan surtma Gram va Gins usullarida bo'yaladi; yirik (1–1,5 × 3–10 mkm) Gram-musbat tayoqchalar, shu jumladan kapsulali Cl. perfringens ko'rinishi dastlabki tashxisga imkon beradi [2]. Bakteriologik tekshirishda material Kitt–Tarozzi muhitiga, sutga va temir sulfitli agarga ekiladi; ekmalarning bir qismi begona vegetativ shakllarni yo'qotish uchun 80 °C da 20 daqiqa suv hammomida isitiladi [2]. Sof kultura qand, qon va tuxum sarig'i qo'shilgan agarlarda qat'iy anaerob sharoitda 37 °C da 2–3 kun o'stirilib, biokimyoviy belgilar bo'yicha identifikatsiya qilinadi; toksigenlik oq sichqon yoki dengiz cho'chqachasida biosinamada aniqlanadi [2].</w:t>
      </w:r>
    </w:p>
    <w:p>
      <w:pPr>
        <w:pStyle w:val="Heading2"/>
      </w:pPr>
      <w:r>
        <w:rPr>
          <w:rFonts w:ascii="Times New Roman" w:hAnsi="Times New Roman" w:eastAsia="Times New Roman"/>
          <w:b/>
          <w:sz w:val="28"/>
        </w:rPr>
        <w:t>Profilaktika va davolash preparatlari</w:t>
      </w:r>
    </w:p>
    <w:p>
      <w:pPr>
        <w:spacing w:line="276" w:lineRule="auto"/>
        <w:ind w:firstLine="709"/>
        <w:jc w:val="both"/>
      </w:pPr>
      <w:r>
        <w:rPr>
          <w:rFonts w:ascii="Times New Roman" w:hAnsi="Times New Roman" w:eastAsia="Times New Roman"/>
          <w:b w:val="0"/>
          <w:sz w:val="28"/>
        </w:rPr>
        <w:t>Gazli gangrena profilaktikasi va maxsus davosida antitoksik zardoblar — antiperfringens, anti-novi, antiseptikum va boshqalar — qo'llanadi; ular otlarni tegishli anatoksinlar bilan ko'p marta emlab, zardobni fermentativ gidroliz (Diaferm-3) usulida tozalab olinadi [2]. Gazli gangrenaga qarshi maxsus profilaktika yo'q; davoda polivalent antitoksik zardob va kislorod terapiyasidan foydalaniladi [2]. Qoqsholda adsorbsiyalangan anatoksin (AKDS va ADS-M vaksinalari tarkibida), qoqsholga qarshi zardob va odam immunoglobulini ishlatiladi [2]. Laboratoriya amaliyotida Cl. perfringens toksinini tez aniqlash uchun lesitovitellaza sinamasi (tuxum sarig'li agarda α-toksin hosil qilgan lesitinaza bo'yicha, zardob bilan neytrallash orqali) qo'llanadi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Patogen anaeroblar — Clostridium avlodiga mansub sporali, odatda Gram-musbat, anaerob tayoqchalar bo'lib, ichak mikrobiotasi va tuproq bilan bog'liq. Ularning xavflilik darajasi sporalarning chidamliligi va kuchli ekzotoksin hosil qilishi bilan belgilanadi. Laboratoriya diagnostikasi anaerob sharoit yaratish, maxsus oziq muhitlar, bakterioskopiya, sof kultura ajratish va biosinama/neytrallash reaksiyalariga asoslanadi.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