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108. Botulizm kasalligida tekshirish materiali, tekshirish usullari, tashxisi.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Botulizm tashxisida laboratoriya tekshiruvining maqsadi odatda qo'zg'atuvchining o'zini emas, balki botulinik toksinni aniqlash va uning serotipini belgilashdir; shu bilan birga C. botulinum sof kulturasi ham ajratiladi [1][2]. Asosiy tekshirish usullari — biologik va bakteriologik [1]. Klinik tashxis ko'z-harakat, yutish va nafas buzilishlariga asoslanadi, laboratoriya natijasi esa uni tasdiqlaydi va davo uchun zardob turini tanlashga imkon beradi [2][3]. Quyida tekshirish materiallari, ularni olish qoidalari, tekshirish bosqichlari va tashxisni baholash G'anixo'jayeva va Aliyev–Muxamedov qo'llanmalari hamda kutubxonadagi rus tilidagi mikrobiologiya bobi va ma'ruza slaydlari asosida yoritiladi.</w:t>
      </w:r>
    </w:p>
    <w:p>
      <w:pPr>
        <w:pStyle w:val="Heading2"/>
      </w:pPr>
      <w:r>
        <w:rPr>
          <w:rFonts w:ascii="Times New Roman" w:hAnsi="Times New Roman" w:eastAsia="Times New Roman"/>
          <w:b/>
          <w:sz w:val="28"/>
        </w:rPr>
        <w:t>Tekshirish materiali</w:t>
      </w:r>
    </w:p>
    <w:p>
      <w:pPr>
        <w:spacing w:line="276" w:lineRule="auto"/>
        <w:ind w:firstLine="709"/>
        <w:jc w:val="both"/>
      </w:pPr>
      <w:r>
        <w:rPr>
          <w:rFonts w:ascii="Times New Roman" w:hAnsi="Times New Roman" w:eastAsia="Times New Roman"/>
          <w:b w:val="0"/>
          <w:sz w:val="28"/>
        </w:rPr>
        <w:t>G'anixo'jayeva darsligida: qusuq massalari, oshqozon yuvindisi, najas, qon va ovqat qoldiqlari [1]. Aliyev: ovqat qoldiqlari (go'sht, baliq konservalari va boshqa mahsulotlar) va kasaldan olingan material (qusuq, qon, oshqozon yuvindisi, sektsion material); toksinni aniqlash uchun bemorning qon zardobi, siydigi, najasi, oshqozon yuvindisi, ovqat qoldiqlari yoki gumon qilingan mahsulotlar (kolbasa, go'sht, baliq, meva va sabzavotdan tayyorlangan konservalar) ishlatiladi [4]. Rus manbasida bemordan oshqozon yuvindi suvlari, najas, qon, siydik, qusuq massasi; murdadan oshqozon, ingichka va yo'g'on ichak tarkibi, limfa tugunlari, bosh va orqa miya; shuningdek zaharlanishga sabab bo'lgan mahsulot olinadi [2].</w:t>
      </w:r>
    </w:p>
    <w:p>
      <w:pPr>
        <w:pStyle w:val="Heading2"/>
      </w:pPr>
      <w:r>
        <w:rPr>
          <w:rFonts w:ascii="Times New Roman" w:hAnsi="Times New Roman" w:eastAsia="Times New Roman"/>
          <w:b/>
          <w:sz w:val="28"/>
        </w:rPr>
        <w:t>Materialni olish</w:t>
      </w:r>
    </w:p>
    <w:p>
      <w:pPr>
        <w:pStyle w:val="ListBullet"/>
        <w:jc w:val="both"/>
      </w:pPr>
      <w:r>
        <w:rPr>
          <w:rFonts w:ascii="Times New Roman" w:hAnsi="Times New Roman" w:eastAsia="Times New Roman"/>
          <w:b w:val="0"/>
          <w:sz w:val="28"/>
        </w:rPr>
        <w:t>Qusuq massasi: steril shisha shpatel bilan 50–60 g steril idishga olinadi (G'anixo'jayeva); ma'ruzada 20–30 ml zich yopiladigan steril idishga [1][3].</w:t>
      </w:r>
    </w:p>
    <w:p>
      <w:pPr>
        <w:pStyle w:val="ListBullet"/>
        <w:jc w:val="both"/>
      </w:pPr>
      <w:r>
        <w:rPr>
          <w:rFonts w:ascii="Times New Roman" w:hAnsi="Times New Roman" w:eastAsia="Times New Roman"/>
          <w:b w:val="0"/>
          <w:sz w:val="28"/>
        </w:rPr>
        <w:t>Oshqozon yuvindisi: 50–100 ml (ma'ruzada 20–50 ml) steril idishga; yuvish suvi natriy gidrokarbonat va kaliy permanganat qo'shilmagan toza qaynatilgan suv bo'lishi kerak [1][3].</w:t>
      </w:r>
    </w:p>
    <w:p>
      <w:pPr>
        <w:pStyle w:val="ListBullet"/>
        <w:jc w:val="both"/>
      </w:pPr>
      <w:r>
        <w:rPr>
          <w:rFonts w:ascii="Times New Roman" w:hAnsi="Times New Roman" w:eastAsia="Times New Roman"/>
          <w:b w:val="0"/>
          <w:sz w:val="28"/>
        </w:rPr>
        <w:t>Najas: 25–30 g steril shisha idishga [1].</w:t>
      </w:r>
    </w:p>
    <w:p>
      <w:pPr>
        <w:pStyle w:val="ListBullet"/>
        <w:jc w:val="both"/>
      </w:pPr>
      <w:r>
        <w:rPr>
          <w:rFonts w:ascii="Times New Roman" w:hAnsi="Times New Roman" w:eastAsia="Times New Roman"/>
          <w:b w:val="0"/>
          <w:sz w:val="28"/>
        </w:rPr>
        <w:t>Qon: 6–8 ml, davolovchi zardob yuborilishidan oldin bilak venasidan [1].</w:t>
      </w:r>
    </w:p>
    <w:p>
      <w:pPr>
        <w:pStyle w:val="ListBullet"/>
        <w:jc w:val="both"/>
      </w:pPr>
      <w:r>
        <w:rPr>
          <w:rFonts w:ascii="Times New Roman" w:hAnsi="Times New Roman" w:eastAsia="Times New Roman"/>
          <w:b w:val="0"/>
          <w:sz w:val="28"/>
        </w:rPr>
        <w:t>Ovqat qoldig'i: ovqatning turli qismlaridan 100 g steril idishga [1].</w:t>
      </w:r>
    </w:p>
    <w:p>
      <w:pPr>
        <w:spacing w:line="276" w:lineRule="auto"/>
        <w:ind w:firstLine="709"/>
        <w:jc w:val="both"/>
      </w:pPr>
      <w:r>
        <w:rPr>
          <w:rFonts w:ascii="Times New Roman" w:hAnsi="Times New Roman" w:eastAsia="Times New Roman"/>
          <w:b w:val="0"/>
          <w:sz w:val="28"/>
        </w:rPr>
        <w:t>Barcha idishlarga etiketka yopishtiriladi; yo'llanmada bemor ma'lumotlari va taxminiy tashxis yoziladi; materiallar maxsus bikslarda laboratoriyaga jo'natiladi, zudlik bilan yuborishning iloji bo'lmasa bir necha soatga muzlatgichda saqlanadi [1][3].</w:t>
      </w:r>
    </w:p>
    <w:p>
      <w:pPr>
        <w:pStyle w:val="Heading2"/>
      </w:pPr>
      <w:r>
        <w:rPr>
          <w:rFonts w:ascii="Times New Roman" w:hAnsi="Times New Roman" w:eastAsia="Times New Roman"/>
          <w:b/>
          <w:sz w:val="28"/>
        </w:rPr>
        <w:t>Tekshirish bosqichlari (G'anixo'jayeva)</w:t>
      </w:r>
    </w:p>
    <w:p>
      <w:pPr>
        <w:spacing w:line="276" w:lineRule="auto"/>
        <w:ind w:firstLine="709"/>
        <w:jc w:val="both"/>
      </w:pPr>
      <w:r>
        <w:rPr>
          <w:rFonts w:ascii="Times New Roman" w:hAnsi="Times New Roman" w:eastAsia="Times New Roman"/>
          <w:b w:val="0"/>
          <w:sz w:val="28"/>
        </w:rPr>
        <w:t>1-kun. Material steril xovonchada steril qum va fiziologik eritma bilan ezilib, ikki qismga bo'linadi: biri biologik, ikkinchisi bakteriologik tekshiruv uchun. Birinchi qismi 0,5 % glyukozali Xottinger sho'rvasi va tik agarga ekiladi. Ikkinchi qismi toksin hosil bo'lishi uchun 30–40 daqiqa qoldirilib, paxta-doka orqali filtrlanadi; filtrat ikkiga bo'linib, biriga botulizmga qarshi polivalent zardob qo'shiladi va neytrallanish uchun 30–40 daqiqa qoldiriladi. Ikki juft sichqondan biriga zardobli filtrat, ikkinchisiga oddiy filtrat yuboriladi [1].</w:t>
      </w:r>
    </w:p>
    <w:p>
      <w:pPr>
        <w:spacing w:line="276" w:lineRule="auto"/>
        <w:ind w:firstLine="709"/>
        <w:jc w:val="both"/>
      </w:pPr>
      <w:r>
        <w:rPr>
          <w:rFonts w:ascii="Times New Roman" w:hAnsi="Times New Roman" w:eastAsia="Times New Roman"/>
          <w:b w:val="0"/>
          <w:sz w:val="28"/>
        </w:rPr>
        <w:t>2–4-kunlar. Hayvonlar 1–4 kun ichida kasallanib nobud bo'ladi: nafas tezlashadi, qorin devori muskullari bo'shashib «ari qorni»ga o'xshab qoladi, titrash, falajlik; zardobli filtrat olgan sichqonlar tirik qoladi. Toksin aniqlangach neytrallash reaksiyasi qo'yiladi: filtratga A, B, C, E, F, G tipospetsifik diagnostik zardoblar alohida qo'shilib, alohida shpritslarda sichqonlarga yuboriladi; gomologik zardob olgan sichqonlar tirik qoladi, qolganlari nobud bo'ladi. Ekilgan muhit ko'rilib, sof kultura uchun Kitt–Tarozzi muhitiga ekiladi va neytrallash qayta o'tkaziladi [1].</w:t>
      </w:r>
    </w:p>
    <w:p>
      <w:pPr>
        <w:spacing w:line="276" w:lineRule="auto"/>
        <w:ind w:firstLine="709"/>
        <w:jc w:val="both"/>
      </w:pPr>
      <w:r>
        <w:rPr>
          <w:rFonts w:ascii="Times New Roman" w:hAnsi="Times New Roman" w:eastAsia="Times New Roman"/>
          <w:b w:val="0"/>
          <w:sz w:val="28"/>
        </w:rPr>
        <w:t>5–6-kunlar. Ajratilgan sof kulturaning morfologik, fermentativ xossalari va harakatchanligi o'rganiladi; biologik sinama natija bermasa, sof kultura bilan qayta qo'yiladi [1].</w:t>
      </w:r>
    </w:p>
    <w:p>
      <w:pPr>
        <w:pStyle w:val="Heading2"/>
      </w:pPr>
      <w:r>
        <w:rPr>
          <w:rFonts w:ascii="Times New Roman" w:hAnsi="Times New Roman" w:eastAsia="Times New Roman"/>
          <w:b/>
          <w:sz w:val="28"/>
        </w:rPr>
        <w:t>Boshqa usullar</w:t>
      </w:r>
    </w:p>
    <w:p>
      <w:pPr>
        <w:spacing w:line="276" w:lineRule="auto"/>
        <w:ind w:firstLine="709"/>
        <w:jc w:val="both"/>
      </w:pPr>
      <w:r>
        <w:rPr>
          <w:rFonts w:ascii="Times New Roman" w:hAnsi="Times New Roman" w:eastAsia="Times New Roman"/>
          <w:b w:val="0"/>
          <w:sz w:val="28"/>
        </w:rPr>
        <w:t>Aliyev bo'yicha qondagi toksin oq sichqonlarga (2 ml) va dengiz cho'chqachalariga (5–8 ml) yuborib aniqlanadi; bemor zardobida toksinni aniqlash uchun A, B, E tipli monovalent antitoksik zardoblar bilan ishlangan eritrotsitlar bilan passiv gemagglyutinatsiya reaksiyasi (PGAR) qo'yiladi, nazorat sifatida normal zardob olinadi; mahsulotlardagi toksinni va C. botulinum toksigenligini aniqlash uchun oq sichqonlarda toksinni neytrallash reaksiyasi qo'llanadi, toksin serotipi A, B, E monovalent zardoblar bilan aniqlanadi [4]. Rus manbasida sichqonlar bilan biosinama (kamida 5 sichqon: bittasiga faqat material, qolgan to'rttasiga material va 200 antitoksik birlik A, B, C, E tipidagi zardob aralashmasi; 40 daqiqa saqlangach), PGAR va fagotsitozni bostirish xususiyatiga asoslangan sezgir usul keltirilgan; kulturani ajratish uchun material zich muhitlar va Kitt–Tarozzi muhitiga ekiladi, probirkalarning bir qismi sporasiz bakteriyalarni yo'qotish uchun 85 °C da 20 daqiqa isitiladi [2].</w:t>
      </w:r>
    </w:p>
    <w:p>
      <w:pPr>
        <w:pStyle w:val="Heading2"/>
      </w:pPr>
      <w:r>
        <w:rPr>
          <w:rFonts w:ascii="Times New Roman" w:hAnsi="Times New Roman" w:eastAsia="Times New Roman"/>
          <w:b/>
          <w:sz w:val="28"/>
        </w:rPr>
        <w:t>Davo-diagnostik preparatlar</w:t>
      </w:r>
    </w:p>
    <w:p>
      <w:pPr>
        <w:spacing w:line="276" w:lineRule="auto"/>
        <w:ind w:firstLine="709"/>
        <w:jc w:val="both"/>
      </w:pPr>
      <w:r>
        <w:rPr>
          <w:rFonts w:ascii="Times New Roman" w:hAnsi="Times New Roman" w:eastAsia="Times New Roman"/>
          <w:b w:val="0"/>
          <w:sz w:val="28"/>
        </w:rPr>
        <w:t>Botulizm qo'zg'atuvchisiga qarshi zardoblar botulin anatoksinlari bilan giperimmunizatsiya qilingan otlar qonidan olinadi, Diaferm-3 usulida tozalanib konsentrlanadi; davolash-profilaktika uchun A, B, E, F tiplari tayyorlanadi, monovalent zardoblar esa toksin serotipini sichqonlarda neytrallash reaksiyasi bilan aniqlashda ishlatiladi [4]. Rus manbasida tur aniqlanmaguncha mushak orasiga A, C, E tipidagi zardobdan 10 000 ME dan va B tipidan 5000 ME (jami 35 000 ME) yuborish keltirilgan [2]; ma'ruza slaydlarida zardobning bir davolash dozasi 25 000 XB (A — 10 000, B — 5000, E — 10 000) deb ko'rsatilgan [3]. Bu farq turli mamlakatlar va yillar tavsiyalariga bog'liq bo'lishi mumkin; amalda amaldagi klinik protokol qo'llanadi (muallif izohi).</w:t>
      </w:r>
    </w:p>
    <w:p>
      <w:pPr>
        <w:pStyle w:val="Heading2"/>
      </w:pPr>
      <w:r>
        <w:rPr>
          <w:rFonts w:ascii="Times New Roman" w:hAnsi="Times New Roman" w:eastAsia="Times New Roman"/>
          <w:b/>
          <w:sz w:val="28"/>
        </w:rPr>
        <w:t>Tashxisni baholash</w:t>
      </w:r>
    </w:p>
    <w:p>
      <w:pPr>
        <w:spacing w:line="276" w:lineRule="auto"/>
        <w:ind w:firstLine="709"/>
        <w:jc w:val="both"/>
      </w:pPr>
      <w:r>
        <w:rPr>
          <w:rFonts w:ascii="Times New Roman" w:hAnsi="Times New Roman" w:eastAsia="Times New Roman"/>
          <w:b w:val="0"/>
          <w:sz w:val="28"/>
        </w:rPr>
        <w:t>Natijalar quyidagicha baholanadi: toksin borligi — zardobsiz material olgan hayvonlarning nobud bo'lishi va gomologik antitoksik zardob bilan neytrallangan guruhning tirik qolishi bilan tasdiqlanadi; toksin turi tirik qolgan guruh olgan zardob turi bilan belgilanadi [1][2][4]. Tur aniqlanmaguncha polivalent zardob qo'llanadi, so'ngra gomologik zardobga o'tiladi [1][2]. Ma'ruza slaydlarida zardobni Bezredko usulida yuborish qoidalari ham keltirilgan: 0,1 ml 1:100 suyultirilgan zardob teri ichiga; 20 daqiqada papula 1 sm dan kichik bo'lsa manfiy; so'ng 0,1 ml suyultirilmagan zardob teri ostiga; 30 daqiqada reaksiya bo'lmasa, qolgan doza yuboriladi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Botulizmda qusuq, oshqozon yuvindisi, najas, qon va gumon qilingan mahsulot tekshiriladi. Asosiy usullar — oq sichqonlarda biosinama va tipospetsifik zardoblar bilan neytrallash reaksiyasi (toksin va uning serotipini aniqlash), bakteriologik ekish (Kitt–Tarozzi, tik agar, 85 °C da isitish), PGAR. Natijalar 5–6 kunda tayyor bo'ladi, shu sababli davo klinik belgilar asosida polivalent zardob bilan boshlanadi, tur aniqlangach esa gomologik zardobga o'tiladi. Materialni olish antitoksik zardob yuborilishidan oldin amalga oshirilishi shart, aks holda zardob toksinni neytrallab qo'yishi mumkin (muallif izohi).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Mikrobiologiya botulizma (rus tilida; elektron kitob bobi, muallifi va nashr ma'lumotlari faylda ko'rsatilmagan). Xayrullo Komilov kutubxonasi, id 1965: https://xayrullokomilov.uz/kutubxona/1965</w:t>
      </w:r>
    </w:p>
    <w:p>
      <w:pPr>
        <w:spacing w:line="276" w:lineRule="auto"/>
        <w:jc w:val="left"/>
      </w:pPr>
      <w:r>
        <w:rPr>
          <w:rFonts w:ascii="Times New Roman" w:hAnsi="Times New Roman" w:eastAsia="Times New Roman"/>
          <w:b w:val="0"/>
          <w:sz w:val="24"/>
        </w:rPr>
        <w:t>[3] Karimova MT. Ovqatdan zaharlanish (ovqat toksikoinfeksiyalari): ma'ruza slaydlari (kirill yozuvida). Toshkent tibbiyot akademiyasi, Yuqumli va bolalar yuqumli kasalliklari kafedrasi. Xayrullo Komilov kutubxonasi, id 1314: https://xayrullokomilov.uz/kutubxona/1314</w:t>
      </w:r>
    </w:p>
    <w:p>
      <w:pPr>
        <w:spacing w:line="276" w:lineRule="auto"/>
        <w:jc w:val="left"/>
      </w:pPr>
      <w:r>
        <w:rPr>
          <w:rFonts w:ascii="Times New Roman" w:hAnsi="Times New Roman" w:eastAsia="Times New Roman"/>
          <w:b w:val="0"/>
          <w:sz w:val="24"/>
        </w:rPr>
        <w:t>[4]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