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147. Suv mikroflorasi, ochiq suv xavzalaridan namuna olish,yo'llanma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Ochiq suv havzalari (daryo, ko'l, kanal, ariq, suv omborlari) tabiiy mikroflorasi bilan birga axlat-maishiy oqava suvlar, hayvonlar chiqindisi va yuvilgan tuproq orqali tushgan mikroorganizmlarni ham saqlaydi; shuning uchun ularning sanitariya holati suvning umumiy mikrob soni, ichak tayoqchalari guruhidagi bakteriyalar (BGKP), esherixiyalar va kolifaglar kabi ko'rsatkichlar bilan baholanadi [1][2]. Suv namunasini to'g'ri olish tahlil natijalarining ishonchliligini belgilaydi. Ochiq suv havzalarida namuna olish bo'yicha tavsiflar Rossiya Federatsiyasining MUK 4.2.1884-04 uslubiy ko'rsatmasida batafsil berilgan (O'zbekistonda rasmiy qo'llanilishi tasdiqlanmagan; amalda O'zbekiston me'yoriy hujjatlari bilan birga qo'llash mumkin); bu ishda shu hujjat, MUK 4.2.1018-01 va O'zMSt 133:2024 ma'lumotlari keltiriladi.</w:t>
      </w:r>
    </w:p>
    <w:p>
      <w:pPr>
        <w:pStyle w:val="Heading2"/>
      </w:pPr>
      <w:r>
        <w:rPr>
          <w:rFonts w:ascii="Times New Roman" w:hAnsi="Times New Roman" w:eastAsia="Times New Roman"/>
          <w:b/>
          <w:sz w:val="28"/>
        </w:rPr>
        <w:t>Suv mikroflorasi</w:t>
      </w:r>
    </w:p>
    <w:p>
      <w:pPr>
        <w:spacing w:line="276" w:lineRule="auto"/>
        <w:ind w:firstLine="709"/>
        <w:jc w:val="both"/>
      </w:pPr>
      <w:r>
        <w:rPr>
          <w:rFonts w:ascii="Times New Roman" w:hAnsi="Times New Roman" w:eastAsia="Times New Roman"/>
          <w:b w:val="0"/>
          <w:sz w:val="28"/>
        </w:rPr>
        <w:t>Suv mikroorganizmlarning tabiiy yashash muhitlaridan biri; uning mikroflorasi tarkibi sho'r dengiz, okean va chuchuk suv havzalariga bog'liq, suv mikroflorasi majmuasi mikroblar planktoni deb ataladi [5]. Suvning avtoxton mikroflorasiga suvda doim yashovchi mikroblar (Micrococcus candicans, M. roseus, Sarcina lutea, Pseudomonas, Proteus, Leptospira, Clostridium, Chromobacterium violaceum va boshqalar) kiradi; allohton flora tashqi muhitdan tasodifan tushgan mikroorganizmlardan iborat bo'lib, suvda uzoq saqlanmaydi [5]. Ochiq havzalar mikroflorasining miqdoriy ko'rsatkichlari havzaning turi, ifloslanish darajasi, meteorologik holat va yil fasllariga qarab doimo o'zgaradi; suvning bakteriyalar bilan ifloslanishi asosan tozalanmagan oqova suvlarning tushishi natijasida sodir bo'ladi va bunda odam hamda hayvonlarning normal mikroflorasidan tashqari shartli patogen va patogen mikroorganizmlar (ichak infeksiyalari, tulyaremiya, iersiniozlar, leptospiroz qo'zg'atuvchilari, poliomielit va gepatit A viruslari) ham tushishi mumkin; odamlar va hayvonlarning cho'milishi ham allohton mikroblar manbai [5]. Suv patogen bakteriyalarning ko'payishi uchun noqulay muhit; suv o'z-o'zidan tozalanadi, chunki avtoxton flora kuchli antagonistik xossaga ega [5]. Ifloslanish darajasiga qarab polisaprob (1 ml da milliondan ortiq mikrob), mezosaprob (taxminan 100 ming) va oligosaprob (10–1000 mikrob) zonalar ajratiladi; patogenlar polisaprob zonada ko'p, oligosaprob zonada deyarli uchramaydi [5]. Sanitariya-mikrobiologik baholashda suvning umumiy mikrob soni (UMS), umumiy va termotolerant koliform bakteriyalar (OKB, TKB), kolifaglar aniqlanadi; ichimlik suvi uchun O'zMSt 133:2024 bo'yicha UMS 1 sm³ da ko'pi bilan 100, BGKP (koli-indeks) 1 dm³ da ko'pi bilan 3, esherixiyalar 300 sm³ da va kolifaglar 200 sm³ da bo'lmasligi kerak [3]. Aliyev: ochiq havzalardagi suv va oqava suvlar uchun termotolerant koliformlarni (43–44,5 °C) aniqlash talab etiladi, chunki bu obyektlarni najas bilan ifloslanishdan saqlab bo'lmaydi [5]. Ochiq havzalar uchun alohida me'yorlar bu mavzuda ko'rilmagan.</w:t>
      </w:r>
    </w:p>
    <w:p>
      <w:pPr>
        <w:pStyle w:val="Heading2"/>
      </w:pPr>
      <w:r>
        <w:rPr>
          <w:rFonts w:ascii="Times New Roman" w:hAnsi="Times New Roman" w:eastAsia="Times New Roman"/>
          <w:b/>
          <w:sz w:val="28"/>
        </w:rPr>
        <w:t>Namuna olishga qo'yiladigan umumiy talablar</w:t>
      </w:r>
    </w:p>
    <w:p>
      <w:pPr>
        <w:pStyle w:val="ListBullet"/>
        <w:jc w:val="both"/>
      </w:pPr>
      <w:r>
        <w:rPr>
          <w:rFonts w:ascii="Times New Roman" w:hAnsi="Times New Roman" w:eastAsia="Times New Roman"/>
          <w:b w:val="0"/>
          <w:sz w:val="28"/>
        </w:rPr>
        <w:t>Namunani maxsus ko'rsatma olgan mutaxassis oladi [1][2].</w:t>
      </w:r>
    </w:p>
    <w:p>
      <w:pPr>
        <w:pStyle w:val="ListBullet"/>
        <w:jc w:val="both"/>
      </w:pPr>
      <w:r>
        <w:rPr>
          <w:rFonts w:ascii="Times New Roman" w:hAnsi="Times New Roman" w:eastAsia="Times New Roman"/>
          <w:b w:val="0"/>
          <w:sz w:val="28"/>
        </w:rPr>
        <w:t>Idish: bir martalik yoki ko'p martalik, mikroorganizmlar hayotiga ta'sir qilmaydigan materialdan; zich yopiladigan tiqinli (silikon, rezina) va himoya qalpoqchali (alyuminiy folga, zich qog'oz) yoki burab yopiladigan qopqoqli; ko'p martalik idish va tiqinlar quruq issiqlik yoki avtoklav sterilizatsiyasiga chidashi kerak; paxta tiqin qo'llanmaydi [1][2].</w:t>
      </w:r>
    </w:p>
    <w:p>
      <w:pPr>
        <w:pStyle w:val="ListBullet"/>
        <w:jc w:val="both"/>
      </w:pPr>
      <w:r>
        <w:rPr>
          <w:rFonts w:ascii="Times New Roman" w:hAnsi="Times New Roman" w:eastAsia="Times New Roman"/>
          <w:b w:val="0"/>
          <w:sz w:val="28"/>
        </w:rPr>
        <w:t>Steril idish namuna olishdan bevosita oldin ochiladi, tiqin steril qalpoqcha bilan birga olinadi; tiqin va idish chetlari hech narsaga tegmasligi kerak; idish chayilmaydi [1][2].</w:t>
      </w:r>
    </w:p>
    <w:p>
      <w:pPr>
        <w:pStyle w:val="ListBullet"/>
        <w:jc w:val="both"/>
      </w:pPr>
      <w:r>
        <w:rPr>
          <w:rFonts w:ascii="Times New Roman" w:hAnsi="Times New Roman" w:eastAsia="Times New Roman"/>
          <w:b w:val="0"/>
          <w:sz w:val="28"/>
        </w:rPr>
        <w:t>To'ldirilganda tiqin va suv yuzasi orasida bo'sh joy qoladi, shunda tiqin tashishda namlanmaydi [1][2].</w:t>
      </w:r>
    </w:p>
    <w:p>
      <w:pPr>
        <w:pStyle w:val="ListBullet"/>
        <w:jc w:val="both"/>
      </w:pPr>
      <w:r>
        <w:rPr>
          <w:rFonts w:ascii="Times New Roman" w:hAnsi="Times New Roman" w:eastAsia="Times New Roman"/>
          <w:b w:val="0"/>
          <w:sz w:val="28"/>
        </w:rPr>
        <w:t>Bir nuqtadan turli maqsadlarda olinganda birinchi bo'lib bakteriologik tekshiruv uchun namuna olinadi [1][2].</w:t>
      </w:r>
    </w:p>
    <w:p>
      <w:pPr>
        <w:pStyle w:val="ListBullet"/>
        <w:jc w:val="both"/>
      </w:pPr>
      <w:r>
        <w:rPr>
          <w:rFonts w:ascii="Times New Roman" w:hAnsi="Times New Roman" w:eastAsia="Times New Roman"/>
          <w:b w:val="0"/>
          <w:sz w:val="28"/>
        </w:rPr>
        <w:t>Suv xlor yoki boshqa dezinfektantlar bilan qayta ishlangan bo'lsa, idishga sterilizatsiyadan oldin 500 ml suvga 10 mg natriy tiosulfat kristallari solinadi (qoldiq dezinfektantni neytrallash uchun) [2].</w:t>
      </w:r>
    </w:p>
    <w:p>
      <w:pPr>
        <w:pStyle w:val="Heading2"/>
      </w:pPr>
      <w:r>
        <w:rPr>
          <w:rFonts w:ascii="Times New Roman" w:hAnsi="Times New Roman" w:eastAsia="Times New Roman"/>
          <w:b/>
          <w:sz w:val="28"/>
        </w:rPr>
        <w:t>Ochiq havzadan namuna olish usuli</w:t>
      </w:r>
    </w:p>
    <w:p>
      <w:pPr>
        <w:spacing w:line="276" w:lineRule="auto"/>
        <w:ind w:firstLine="709"/>
        <w:jc w:val="both"/>
      </w:pPr>
      <w:r>
        <w:rPr>
          <w:rFonts w:ascii="Times New Roman" w:hAnsi="Times New Roman" w:eastAsia="Times New Roman"/>
          <w:b w:val="0"/>
          <w:sz w:val="28"/>
        </w:rPr>
        <w:t>MUK 4.2.1884-04 bo'yicha [1]:</w:t>
      </w:r>
    </w:p>
    <w:p>
      <w:pPr>
        <w:pStyle w:val="ListBullet"/>
        <w:jc w:val="both"/>
      </w:pPr>
      <w:r>
        <w:rPr>
          <w:rFonts w:ascii="Times New Roman" w:hAnsi="Times New Roman" w:eastAsia="Times New Roman"/>
          <w:b w:val="0"/>
          <w:sz w:val="28"/>
        </w:rPr>
        <w:t>yuza namuna suv yuzasidan yoki muz chetidan 10–15 sm chuqurlikdan olinadi;</w:t>
      </w:r>
    </w:p>
    <w:p>
      <w:pPr>
        <w:pStyle w:val="ListBullet"/>
        <w:jc w:val="both"/>
      </w:pPr>
      <w:r>
        <w:rPr>
          <w:rFonts w:ascii="Times New Roman" w:hAnsi="Times New Roman" w:eastAsia="Times New Roman"/>
          <w:b w:val="0"/>
          <w:sz w:val="28"/>
        </w:rPr>
        <w:t>tubga yaqin namuna tubdan 30–50 sm balandlikdan olinadi;</w:t>
      </w:r>
    </w:p>
    <w:p>
      <w:pPr>
        <w:pStyle w:val="ListBullet"/>
        <w:jc w:val="both"/>
      </w:pPr>
      <w:r>
        <w:rPr>
          <w:rFonts w:ascii="Times New Roman" w:hAnsi="Times New Roman" w:eastAsia="Times New Roman"/>
          <w:b w:val="0"/>
          <w:sz w:val="28"/>
        </w:rPr>
        <w:t>namuna turli suzish vositalaridan (qayiq), ko'priklardan, ko'prikchalardan, chuqurligi kamida 0,5 m bo'lgan joylardan olinadi; qirg'oqdan olish mumkin emas;</w:t>
      </w:r>
    </w:p>
    <w:p>
      <w:pPr>
        <w:pStyle w:val="ListBullet"/>
        <w:jc w:val="both"/>
      </w:pPr>
      <w:r>
        <w:rPr>
          <w:rFonts w:ascii="Times New Roman" w:hAnsi="Times New Roman" w:eastAsia="Times New Roman"/>
          <w:b w:val="0"/>
          <w:sz w:val="28"/>
        </w:rPr>
        <w:t>yuza namuna steril idishlarni mahkamlash qurilmali batometr bilan, chuqur namuna maxsus batometr bilan olinadi; bitta batometr bilan bir necha namuna olinsa, har safar alangada sterilizatsiya (flambirlash) qilinadi;</w:t>
      </w:r>
    </w:p>
    <w:p>
      <w:pPr>
        <w:pStyle w:val="ListBullet"/>
        <w:jc w:val="both"/>
      </w:pPr>
      <w:r>
        <w:rPr>
          <w:rFonts w:ascii="Times New Roman" w:hAnsi="Times New Roman" w:eastAsia="Times New Roman"/>
          <w:b w:val="0"/>
          <w:sz w:val="28"/>
        </w:rPr>
        <w:t>muzda namuna olinganda muz teshigi muz va asboblardan ifloslik tushmasligi kerak, qo'llar oldindan zararsizlantiriladi;</w:t>
      </w:r>
    </w:p>
    <w:p>
      <w:pPr>
        <w:pStyle w:val="ListBullet"/>
        <w:jc w:val="both"/>
      </w:pPr>
      <w:r>
        <w:rPr>
          <w:rFonts w:ascii="Times New Roman" w:hAnsi="Times New Roman" w:eastAsia="Times New Roman"/>
          <w:b w:val="0"/>
          <w:sz w:val="28"/>
        </w:rPr>
        <w:t>hajm: indikator mikroorganizmlar uchun kamida 500 ml; indikator va patogen (salmonella) uchun 1,5 l [1].</w:t>
      </w:r>
    </w:p>
    <w:p>
      <w:pPr>
        <w:spacing w:line="276" w:lineRule="auto"/>
        <w:ind w:firstLine="709"/>
        <w:jc w:val="both"/>
      </w:pPr>
      <w:r>
        <w:rPr>
          <w:rFonts w:ascii="Times New Roman" w:hAnsi="Times New Roman" w:eastAsia="Times New Roman"/>
          <w:b w:val="0"/>
          <w:sz w:val="28"/>
        </w:rPr>
        <w:t>Boshqa manbada sanitariya-ko'rsatkich floralari va kolifag uchun har biriga 0,5 l ko'rsatilgan [4].</w:t>
      </w:r>
    </w:p>
    <w:p>
      <w:pPr>
        <w:pStyle w:val="Heading2"/>
      </w:pPr>
      <w:r>
        <w:rPr>
          <w:rFonts w:ascii="Times New Roman" w:hAnsi="Times New Roman" w:eastAsia="Times New Roman"/>
          <w:b/>
          <w:sz w:val="28"/>
        </w:rPr>
        <w:t>Saqlash va tashish</w:t>
      </w:r>
    </w:p>
    <w:p>
      <w:pPr>
        <w:spacing w:line="276" w:lineRule="auto"/>
        <w:ind w:firstLine="709"/>
        <w:jc w:val="both"/>
      </w:pPr>
      <w:r>
        <w:rPr>
          <w:rFonts w:ascii="Times New Roman" w:hAnsi="Times New Roman" w:eastAsia="Times New Roman"/>
          <w:b w:val="0"/>
          <w:sz w:val="28"/>
        </w:rPr>
        <w:t>Namunalar 4–10 °C haroratli konteyner-muzlatgichlarda yetkaziladi; sovuq mavsumda konteynerlar muzlab qolishdan himoya qiluvchi issiqlik izolyatsion qistirmalar bilan jihozlanadi; tadqiqotni boshlash muddati olingandan keyin 6 soatdan oshmasligi kerak; sovitishning imkoni bo'lmasa — 2 soat ichida; bu shartlar bajarilmasa, namunani bakteriologik ko'rsatkichlar bo'yicha tahlil qilmaslik kerak [1][2][4]. Namunalar alohida dezinfeksiya qilingan konteynerlarda tashiladi [2][4].</w:t>
      </w:r>
    </w:p>
    <w:p>
      <w:pPr>
        <w:pStyle w:val="Heading2"/>
      </w:pPr>
      <w:r>
        <w:rPr>
          <w:rFonts w:ascii="Times New Roman" w:hAnsi="Times New Roman" w:eastAsia="Times New Roman"/>
          <w:b/>
          <w:sz w:val="28"/>
        </w:rPr>
        <w:t>Yo'llanma xati (namuna olish dalolatnomasi)</w:t>
      </w:r>
    </w:p>
    <w:p>
      <w:pPr>
        <w:spacing w:line="276" w:lineRule="auto"/>
        <w:ind w:firstLine="709"/>
        <w:jc w:val="both"/>
      </w:pPr>
      <w:r>
        <w:rPr>
          <w:rFonts w:ascii="Times New Roman" w:hAnsi="Times New Roman" w:eastAsia="Times New Roman"/>
          <w:b w:val="0"/>
          <w:sz w:val="28"/>
        </w:rPr>
        <w:t>Olingan namuna belgilanadi va suv namunasini olish hujjati bilan birga yuboriladi; hujjatda joy (nuqta), olingan sana va vaqt, namuna olgan mutaxassisning familiyasi va boshqa ma'lumotlar (suv harorati, ob-havo sharoiti) ko'rsatiladi [1][2]. Yo'llanma xatini to'ldirishda quyidagilar yoziladi (hujjat talablari va amaliyotdan umumlashtirilgan, muallif izohi): yuboruvchi tashkilot nomi; suv havzasining nomi va namuna olingan nuqta (qirg'oqdan masofa, chuqurlik, yuza yoki tub); sana va aniq vaqt; suv harorati va ob-havo (yomg'ir, shamol); namuna hajmi va idishlar soni; tekshirish maqsadi va so'ralayotgan ko'rsatkichlar (UMS, OKB, TKB, kolifag, patogen mikroblar); suvda dezinfektant bo'lsa neytralizator qo'shilgani; namuna olgan shaxsning F.I.Sh., lavozimi, imzosi; laboratoriyaga topshirilgan vaqt.</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Namuna olishda qo'llar dezinfeksiya qilinadi [1]. Xatolar: idishni chayish, qirg'oqdan olish, idish chetiga qo'l tekkizish, tiqinni namlash, namuna tashish muddatidan oshish — natijani buzadi [1][2]. Ichimlik suvi bo'lmagan ochiq suv bilan ishlaganda patogen mikroblar bo'lishi mumkinligini hisobga olib, qo'lqop ishlatiladi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Ochiq suv havzasidan namuna steril idishga, suv yuzasidan 10–15 sm chuqurlikdan (tubdan 30–50 sm balandlikdan), qirg'oqdan emas, qayiq yoki ko'prikdan, kamida 500 ml hajmda olinadi; 4–10 °C da tashiladi va 6 soat ichida (sovitilmasa 2 soat) tekshiruvga olinadi. Yo'llanma xatiga joy, sana, vaqt, namuna olgan mutaxassis, suv harorati va maqsad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MUK 4.2.1884-04. Yer usti suv ob'ektlari suvining sanitariya-mikrobiologik va sanitariya-parazitologik tahlili: uslubiy ko'rsatmalar (rus tilida; Rossiya Federatsiyasi hujjati; O'zbekistonda rasmiy qo'llanilishi tasdiqlanmagan). Xayrullo Komilov kutubxonasi, id 1979: https://xayrullokomilov.uz/kutubxona/1979</w:t>
      </w:r>
    </w:p>
    <w:p>
      <w:pPr>
        <w:spacing w:line="276" w:lineRule="auto"/>
        <w:jc w:val="left"/>
      </w:pPr>
      <w:r>
        <w:rPr>
          <w:rFonts w:ascii="Times New Roman" w:hAnsi="Times New Roman" w:eastAsia="Times New Roman"/>
          <w:b w:val="0"/>
          <w:sz w:val="24"/>
        </w:rPr>
        <w:t>[2] MUK 4.2.1018-01. Ichimlik suvining sanitariya-mikrobiologik tahlili: uslubiy ko'rsatmalar (rus tilida; Rossiya Federatsiyasi Bosh davlat sanitariya shifokori tomonidan 2001-yil 9-fevralda tasdiqlangan; O'zbekistonda rasmiy qo'llanilishi tasdiqlanmagan). Xayrullo Komilov kutubxonasi, id 1976: https://xayrullokomilov.uz/kutubxona/1976</w:t>
      </w:r>
    </w:p>
    <w:p>
      <w:pPr>
        <w:spacing w:line="276" w:lineRule="auto"/>
        <w:jc w:val="left"/>
      </w:pPr>
      <w:r>
        <w:rPr>
          <w:rFonts w:ascii="Times New Roman" w:hAnsi="Times New Roman" w:eastAsia="Times New Roman"/>
          <w:b w:val="0"/>
          <w:sz w:val="24"/>
        </w:rPr>
        <w:t>[3] O'zMSt 133:2024. Ichimlik suvi. Gigiyenik talablar va sifatini nazorat qilish. O'zbekiston milliy standarti (SEOJSQ qo'mitasi; 11.06.2024 holatida). Xayrullo Komilov kutubxonasi, id 1035: https://xayrullokomilov.uz/kutubxona/1035</w:t>
      </w:r>
    </w:p>
    <w:p>
      <w:pPr>
        <w:spacing w:line="276" w:lineRule="auto"/>
        <w:jc w:val="left"/>
      </w:pPr>
      <w:r>
        <w:rPr>
          <w:rFonts w:ascii="Times New Roman" w:hAnsi="Times New Roman" w:eastAsia="Times New Roman"/>
          <w:b w:val="0"/>
          <w:sz w:val="24"/>
        </w:rPr>
        <w:t>[4] Komilov X. Ichimlik suvini sanitariya-mikrobiologik tahlili (№ 012-3/0136 uslubiy qo'llanma asosidagi taqdimot; kirill yozuvida). Furqat tumani DSENM bakteriologiya laboratoriyasi. Xayrullo Komilov kutubxonasi, id 2024: https://xayrullokomilov.uz/kutubxona/2024</w:t>
      </w:r>
    </w:p>
    <w:p>
      <w:pPr>
        <w:spacing w:line="276" w:lineRule="auto"/>
        <w:jc w:val="left"/>
      </w:pPr>
      <w:r>
        <w:rPr>
          <w:rFonts w:ascii="Times New Roman" w:hAnsi="Times New Roman" w:eastAsia="Times New Roman"/>
          <w:b w:val="0"/>
          <w:sz w:val="24"/>
        </w:rPr>
        <w:t>[5]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