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EA61A" w14:textId="09A2A662" w:rsidR="00356C9A" w:rsidRDefault="00356C9A" w:rsidP="00356C9A">
      <w:pPr>
        <w:spacing w:line="480" w:lineRule="auto"/>
        <w:jc w:val="center"/>
        <w:rPr>
          <w:sz w:val="32"/>
          <w:szCs w:val="32"/>
        </w:rPr>
      </w:pPr>
    </w:p>
    <w:p w14:paraId="3FD5B9D8" w14:textId="05476ECF" w:rsidR="00356C9A" w:rsidRDefault="00356C9A" w:rsidP="00356C9A">
      <w:pPr>
        <w:spacing w:line="480" w:lineRule="auto"/>
        <w:jc w:val="center"/>
        <w:rPr>
          <w:sz w:val="32"/>
          <w:szCs w:val="32"/>
        </w:rPr>
      </w:pPr>
    </w:p>
    <w:p w14:paraId="2072BEC9" w14:textId="77777777" w:rsidR="00356C9A" w:rsidRDefault="00356C9A" w:rsidP="00356C9A">
      <w:pPr>
        <w:spacing w:line="480" w:lineRule="auto"/>
        <w:jc w:val="center"/>
        <w:rPr>
          <w:sz w:val="32"/>
          <w:szCs w:val="32"/>
        </w:rPr>
      </w:pPr>
    </w:p>
    <w:p w14:paraId="727D264B" w14:textId="77777777" w:rsidR="00356C9A" w:rsidRDefault="00356C9A" w:rsidP="00356C9A">
      <w:pPr>
        <w:spacing w:line="480" w:lineRule="auto"/>
        <w:jc w:val="center"/>
        <w:rPr>
          <w:sz w:val="32"/>
          <w:szCs w:val="32"/>
        </w:rPr>
      </w:pPr>
    </w:p>
    <w:p w14:paraId="2E4728B6" w14:textId="70972BED" w:rsidR="008F7476" w:rsidRPr="00356C9A" w:rsidRDefault="00356C9A" w:rsidP="00356C9A">
      <w:pPr>
        <w:spacing w:line="480" w:lineRule="auto"/>
        <w:jc w:val="center"/>
        <w:rPr>
          <w:b/>
          <w:bCs/>
          <w:sz w:val="32"/>
          <w:szCs w:val="32"/>
        </w:rPr>
      </w:pPr>
      <w:r w:rsidRPr="00072A87">
        <w:rPr>
          <w:b/>
          <w:bCs/>
          <w:sz w:val="32"/>
          <w:szCs w:val="32"/>
          <w:highlight w:val="yellow"/>
        </w:rPr>
        <w:t>TITLE OF PAPER</w:t>
      </w:r>
    </w:p>
    <w:p w14:paraId="74842B45" w14:textId="7CDFE5F9" w:rsidR="00356C9A" w:rsidRDefault="00356C9A" w:rsidP="00356C9A">
      <w:pPr>
        <w:spacing w:line="480" w:lineRule="auto"/>
        <w:jc w:val="center"/>
      </w:pPr>
    </w:p>
    <w:p w14:paraId="34867C6A" w14:textId="77777777" w:rsidR="00356C9A" w:rsidRDefault="00356C9A" w:rsidP="00356C9A">
      <w:pPr>
        <w:spacing w:line="480" w:lineRule="auto"/>
        <w:jc w:val="center"/>
      </w:pPr>
    </w:p>
    <w:p w14:paraId="3540950B" w14:textId="4F6557AF" w:rsidR="00356C9A" w:rsidRDefault="00356C9A" w:rsidP="00356C9A">
      <w:pPr>
        <w:spacing w:line="480" w:lineRule="auto"/>
        <w:jc w:val="center"/>
      </w:pPr>
      <w:r w:rsidRPr="00072A87">
        <w:rPr>
          <w:highlight w:val="yellow"/>
        </w:rPr>
        <w:t>FIRSTNAME LASTNAME</w:t>
      </w:r>
    </w:p>
    <w:p w14:paraId="7DE1AF89" w14:textId="015EE7C2" w:rsidR="0088287C" w:rsidRDefault="0088287C" w:rsidP="00356C9A">
      <w:pPr>
        <w:spacing w:line="480" w:lineRule="auto"/>
        <w:jc w:val="center"/>
      </w:pPr>
      <w:r>
        <w:t xml:space="preserve">Department of Global </w:t>
      </w:r>
      <w:r w:rsidR="00891D8A">
        <w:t>Communication</w:t>
      </w:r>
    </w:p>
    <w:p w14:paraId="3F8C2B85" w14:textId="40F09435" w:rsidR="00356C9A" w:rsidRDefault="00356C9A" w:rsidP="00356C9A">
      <w:pPr>
        <w:spacing w:line="480" w:lineRule="auto"/>
        <w:jc w:val="center"/>
      </w:pPr>
      <w:r>
        <w:t xml:space="preserve">Kobe </w:t>
      </w:r>
      <w:proofErr w:type="spellStart"/>
      <w:r>
        <w:t>Gakuin</w:t>
      </w:r>
      <w:proofErr w:type="spellEnd"/>
      <w:r>
        <w:t xml:space="preserve"> University</w:t>
      </w:r>
    </w:p>
    <w:p w14:paraId="68728174" w14:textId="0BDD34EE" w:rsidR="00356C9A" w:rsidRDefault="00356C9A" w:rsidP="00356C9A">
      <w:pPr>
        <w:spacing w:line="480" w:lineRule="auto"/>
        <w:jc w:val="center"/>
      </w:pPr>
    </w:p>
    <w:p w14:paraId="4044569E" w14:textId="4C59625F" w:rsidR="00356C9A" w:rsidRDefault="00356C9A" w:rsidP="00356C9A">
      <w:pPr>
        <w:spacing w:line="480" w:lineRule="auto"/>
        <w:jc w:val="center"/>
      </w:pPr>
      <w:r w:rsidRPr="00072A87">
        <w:rPr>
          <w:highlight w:val="yellow"/>
        </w:rPr>
        <w:t>DATE</w:t>
      </w:r>
    </w:p>
    <w:p w14:paraId="1C1FA351" w14:textId="04C914E0" w:rsidR="00356C9A" w:rsidRDefault="00356C9A" w:rsidP="00356C9A">
      <w:pPr>
        <w:spacing w:line="480" w:lineRule="auto"/>
        <w:jc w:val="center"/>
      </w:pPr>
    </w:p>
    <w:p w14:paraId="31327C90" w14:textId="46330D8C" w:rsidR="00356C9A" w:rsidRDefault="00356C9A" w:rsidP="00356C9A">
      <w:pPr>
        <w:spacing w:line="480" w:lineRule="auto"/>
        <w:jc w:val="center"/>
      </w:pPr>
    </w:p>
    <w:p w14:paraId="2F9B88E8" w14:textId="77777777" w:rsidR="00356C9A" w:rsidRDefault="00356C9A" w:rsidP="00356C9A">
      <w:pPr>
        <w:spacing w:line="480" w:lineRule="auto"/>
        <w:jc w:val="center"/>
      </w:pPr>
    </w:p>
    <w:p w14:paraId="7D151BF7" w14:textId="6D0DF8B6" w:rsidR="00356C9A" w:rsidRDefault="00356C9A" w:rsidP="00356C9A">
      <w:pPr>
        <w:spacing w:line="480" w:lineRule="auto"/>
      </w:pPr>
      <w:r>
        <w:br w:type="page"/>
      </w:r>
    </w:p>
    <w:p w14:paraId="6814509E" w14:textId="06689A41" w:rsidR="00356C9A" w:rsidRPr="00356C9A" w:rsidRDefault="00356C9A" w:rsidP="00356C9A">
      <w:pPr>
        <w:spacing w:line="480" w:lineRule="auto"/>
        <w:jc w:val="center"/>
        <w:rPr>
          <w:b/>
          <w:bCs/>
        </w:rPr>
      </w:pPr>
      <w:r w:rsidRPr="00356C9A">
        <w:rPr>
          <w:b/>
          <w:bCs/>
        </w:rPr>
        <w:lastRenderedPageBreak/>
        <w:t>Introduction</w:t>
      </w:r>
    </w:p>
    <w:p w14:paraId="3117A912" w14:textId="6C2B3CE8" w:rsidR="00356C9A" w:rsidRDefault="00356C9A" w:rsidP="00624E1A">
      <w:pPr>
        <w:spacing w:line="480" w:lineRule="auto"/>
        <w:jc w:val="both"/>
      </w:pPr>
      <w:r>
        <w:tab/>
        <w:t xml:space="preserve">During academic year 2020, I completed a semester study abroad program. Through my experiences in </w:t>
      </w:r>
      <w:r w:rsidRPr="00072A87">
        <w:rPr>
          <w:highlight w:val="yellow"/>
        </w:rPr>
        <w:t>COUNTRY</w:t>
      </w:r>
      <w:r>
        <w:t xml:space="preserve">, I </w:t>
      </w:r>
      <w:r w:rsidR="00592808">
        <w:t xml:space="preserve">experienced many new things and developed a new understanding about myself, my society, and the world. </w:t>
      </w:r>
      <w:r w:rsidR="00624E1A">
        <w:t xml:space="preserve">I have learned that traveling is a great way to learn who I am within a broader context of my relationship with others and the society at large. </w:t>
      </w:r>
      <w:r w:rsidR="00592808">
        <w:t xml:space="preserve">In the current paper, I will highlight a few </w:t>
      </w:r>
      <w:r w:rsidR="00624E1A">
        <w:t>of these new revelations within the following domains: (1.) academic study, (2.) homestay/dorm life, (3.) transportation, and (4.) food.</w:t>
      </w:r>
    </w:p>
    <w:p w14:paraId="35328424" w14:textId="4518CB71" w:rsidR="00356C9A" w:rsidRPr="00624E1A" w:rsidRDefault="00356C9A" w:rsidP="00356C9A">
      <w:pPr>
        <w:spacing w:line="480" w:lineRule="auto"/>
        <w:jc w:val="center"/>
        <w:rPr>
          <w:b/>
          <w:bCs/>
        </w:rPr>
      </w:pPr>
      <w:r w:rsidRPr="00624E1A">
        <w:rPr>
          <w:b/>
          <w:bCs/>
        </w:rPr>
        <w:t>Academic Study</w:t>
      </w:r>
    </w:p>
    <w:p w14:paraId="634190CE" w14:textId="23D95709" w:rsidR="00356C9A" w:rsidRDefault="00624E1A" w:rsidP="00624E1A">
      <w:pPr>
        <w:spacing w:line="480" w:lineRule="auto"/>
        <w:jc w:val="both"/>
      </w:pPr>
      <w:r w:rsidRPr="00624E1A">
        <w:rPr>
          <w:b/>
          <w:bCs/>
        </w:rPr>
        <w:t xml:space="preserve">Instructions: </w:t>
      </w:r>
      <w:r>
        <w:t xml:space="preserve">Please write </w:t>
      </w:r>
      <w:r w:rsidRPr="00624E1A">
        <w:rPr>
          <w:i/>
          <w:iCs/>
        </w:rPr>
        <w:t>at least</w:t>
      </w:r>
      <w:r>
        <w:t xml:space="preserve"> 4</w:t>
      </w:r>
      <w:r w:rsidR="00AA256F">
        <w:t>0</w:t>
      </w:r>
      <w:r>
        <w:t xml:space="preserve">0 words </w:t>
      </w:r>
      <w:r w:rsidR="001916E1">
        <w:t>comparing and contrasting</w:t>
      </w:r>
      <w:r>
        <w:t xml:space="preserve"> what you learned in the classroom while studying abroad</w:t>
      </w:r>
      <w:r w:rsidR="001916E1">
        <w:t xml:space="preserve"> compared to what you learned while you were at KGU</w:t>
      </w:r>
      <w:r>
        <w:t>. How were the classes compared to your classes at KGU? Was the “classroom culture” different than in Japan? What type of rules did the teacher have? Why do you think they had these rules? What were the other students like? How about the assignments?</w:t>
      </w:r>
    </w:p>
    <w:p w14:paraId="3F72CBE1" w14:textId="32044B2F" w:rsidR="00356C9A" w:rsidRDefault="00356C9A" w:rsidP="00624E1A">
      <w:pPr>
        <w:spacing w:line="480" w:lineRule="auto"/>
        <w:jc w:val="both"/>
      </w:pPr>
    </w:p>
    <w:p w14:paraId="69C518BF" w14:textId="5504AE77" w:rsidR="00356C9A" w:rsidRPr="00624E1A" w:rsidRDefault="00356C9A" w:rsidP="00356C9A">
      <w:pPr>
        <w:spacing w:line="480" w:lineRule="auto"/>
        <w:jc w:val="center"/>
        <w:rPr>
          <w:b/>
          <w:bCs/>
        </w:rPr>
      </w:pPr>
      <w:r w:rsidRPr="00624E1A">
        <w:rPr>
          <w:b/>
          <w:bCs/>
        </w:rPr>
        <w:t>Homestay and Dorm Life</w:t>
      </w:r>
    </w:p>
    <w:p w14:paraId="2FA5DFFA" w14:textId="7A804CD9" w:rsidR="00356C9A" w:rsidRPr="00624E1A" w:rsidRDefault="00624E1A" w:rsidP="00624E1A">
      <w:pPr>
        <w:spacing w:line="480" w:lineRule="auto"/>
        <w:jc w:val="both"/>
      </w:pPr>
      <w:r w:rsidRPr="00624E1A">
        <w:rPr>
          <w:b/>
          <w:bCs/>
        </w:rPr>
        <w:t>Instructions:</w:t>
      </w:r>
      <w:r>
        <w:t xml:space="preserve"> Please write </w:t>
      </w:r>
      <w:r>
        <w:rPr>
          <w:i/>
          <w:iCs/>
        </w:rPr>
        <w:t>at least</w:t>
      </w:r>
      <w:r>
        <w:t xml:space="preserve"> 4</w:t>
      </w:r>
      <w:r w:rsidR="00AA256F">
        <w:t>0</w:t>
      </w:r>
      <w:r>
        <w:t>0 words about what life was life living with your host family.</w:t>
      </w:r>
      <w:r w:rsidR="00BF2A29">
        <w:t xml:space="preserve"> This essay should be about the process of learning to adapt to a new environment. What was different living with them than your family of origin? What type of people were your host family? What new rules did you have to follow? How did you learn to get along with them? Were there any conflicts</w:t>
      </w:r>
      <w:r w:rsidR="00913B22">
        <w:t xml:space="preserve"> or miscommunications</w:t>
      </w:r>
      <w:r w:rsidR="00BF2A29">
        <w:t>? How were they resolved? Did you feel homesick at all? How did the process of culture shock go for you?</w:t>
      </w:r>
    </w:p>
    <w:p w14:paraId="4296BB46" w14:textId="77777777" w:rsidR="00356C9A" w:rsidRDefault="00356C9A" w:rsidP="00624E1A">
      <w:pPr>
        <w:spacing w:line="480" w:lineRule="auto"/>
        <w:jc w:val="both"/>
      </w:pPr>
    </w:p>
    <w:p w14:paraId="178094A3" w14:textId="77777777" w:rsidR="00072A87" w:rsidRDefault="00072A87" w:rsidP="00356C9A">
      <w:pPr>
        <w:spacing w:line="480" w:lineRule="auto"/>
        <w:jc w:val="center"/>
        <w:rPr>
          <w:b/>
          <w:bCs/>
        </w:rPr>
      </w:pPr>
    </w:p>
    <w:p w14:paraId="30ED9171" w14:textId="5CFE0131" w:rsidR="00356C9A" w:rsidRPr="00624E1A" w:rsidRDefault="00356C9A" w:rsidP="00356C9A">
      <w:pPr>
        <w:spacing w:line="480" w:lineRule="auto"/>
        <w:jc w:val="center"/>
        <w:rPr>
          <w:b/>
          <w:bCs/>
        </w:rPr>
      </w:pPr>
      <w:r w:rsidRPr="00624E1A">
        <w:rPr>
          <w:b/>
          <w:bCs/>
        </w:rPr>
        <w:lastRenderedPageBreak/>
        <w:t>Transportation</w:t>
      </w:r>
    </w:p>
    <w:p w14:paraId="0144FB53" w14:textId="73C3ADDD" w:rsidR="00356C9A" w:rsidRDefault="00BF2A29" w:rsidP="00624E1A">
      <w:pPr>
        <w:spacing w:line="480" w:lineRule="auto"/>
        <w:jc w:val="both"/>
      </w:pPr>
      <w:r w:rsidRPr="00624E1A">
        <w:rPr>
          <w:b/>
          <w:bCs/>
        </w:rPr>
        <w:t>Instructions:</w:t>
      </w:r>
      <w:r>
        <w:t xml:space="preserve"> </w:t>
      </w:r>
      <w:r w:rsidR="00072A87">
        <w:t xml:space="preserve">Japan has one of the best transportation systems in the entire world. </w:t>
      </w:r>
      <w:r>
        <w:t xml:space="preserve">Please write </w:t>
      </w:r>
      <w:r>
        <w:rPr>
          <w:i/>
          <w:iCs/>
        </w:rPr>
        <w:t>at least</w:t>
      </w:r>
      <w:r>
        <w:t xml:space="preserve"> 4</w:t>
      </w:r>
      <w:r w:rsidR="00AA256F">
        <w:t>0</w:t>
      </w:r>
      <w:r>
        <w:t>0 words about</w:t>
      </w:r>
      <w:r w:rsidR="00072A87">
        <w:t xml:space="preserve"> the similarities and differences in the public transportation you used while studying abroad. Were there any occasions that you felt “trapped” because you could not move freely using public transportation? Please tell me about those experiences. What was that like for you? What emotions came up? How did you resolve that conflict?</w:t>
      </w:r>
    </w:p>
    <w:p w14:paraId="1A83F590" w14:textId="77777777" w:rsidR="00072A87" w:rsidRDefault="00072A87" w:rsidP="00624E1A">
      <w:pPr>
        <w:spacing w:line="480" w:lineRule="auto"/>
        <w:jc w:val="both"/>
      </w:pPr>
    </w:p>
    <w:p w14:paraId="612CEDEF" w14:textId="6C26F9AD" w:rsidR="00356C9A" w:rsidRPr="00624E1A" w:rsidRDefault="00356C9A" w:rsidP="00356C9A">
      <w:pPr>
        <w:spacing w:line="480" w:lineRule="auto"/>
        <w:jc w:val="center"/>
        <w:rPr>
          <w:b/>
          <w:bCs/>
        </w:rPr>
      </w:pPr>
      <w:r w:rsidRPr="00624E1A">
        <w:rPr>
          <w:b/>
          <w:bCs/>
        </w:rPr>
        <w:t>Food</w:t>
      </w:r>
    </w:p>
    <w:p w14:paraId="33837786" w14:textId="3B588783" w:rsidR="00592808" w:rsidRDefault="00BF2A29" w:rsidP="00624E1A">
      <w:pPr>
        <w:spacing w:line="480" w:lineRule="auto"/>
        <w:jc w:val="both"/>
      </w:pPr>
      <w:r w:rsidRPr="00624E1A">
        <w:rPr>
          <w:b/>
          <w:bCs/>
        </w:rPr>
        <w:t>Instructions:</w:t>
      </w:r>
      <w:r>
        <w:t xml:space="preserve"> Please write </w:t>
      </w:r>
      <w:r>
        <w:rPr>
          <w:i/>
          <w:iCs/>
        </w:rPr>
        <w:t>at least</w:t>
      </w:r>
      <w:r>
        <w:t xml:space="preserve"> 4</w:t>
      </w:r>
      <w:r w:rsidR="00AA256F">
        <w:t>0</w:t>
      </w:r>
      <w:r>
        <w:t>0 words about</w:t>
      </w:r>
      <w:r w:rsidR="00072A87">
        <w:t xml:space="preserve"> the food you ate while studying abroad. What were common meals? What did you like about this new cuisine? What did you not like? Did you ever miss Japanese food? What did you do about that? Did you try cooking your own food at all? How did it turn out? Food is one of the most important parts of culture. Were you able to connect with the local people over food?</w:t>
      </w:r>
    </w:p>
    <w:p w14:paraId="698B8E58" w14:textId="77777777" w:rsidR="00BF2A29" w:rsidRDefault="00BF2A29" w:rsidP="00624E1A">
      <w:pPr>
        <w:spacing w:line="480" w:lineRule="auto"/>
        <w:jc w:val="both"/>
      </w:pPr>
    </w:p>
    <w:p w14:paraId="52D75CC9" w14:textId="3AD2F0E8" w:rsidR="00356C9A" w:rsidRPr="00624E1A" w:rsidRDefault="00356C9A" w:rsidP="00356C9A">
      <w:pPr>
        <w:spacing w:line="480" w:lineRule="auto"/>
        <w:jc w:val="center"/>
        <w:rPr>
          <w:b/>
          <w:bCs/>
        </w:rPr>
      </w:pPr>
      <w:r w:rsidRPr="00624E1A">
        <w:rPr>
          <w:b/>
          <w:bCs/>
        </w:rPr>
        <w:t>Conclusion</w:t>
      </w:r>
    </w:p>
    <w:p w14:paraId="746248E5" w14:textId="5FA6AB4F" w:rsidR="00356C9A" w:rsidRDefault="00A853B2" w:rsidP="00A853B2">
      <w:pPr>
        <w:spacing w:line="480" w:lineRule="auto"/>
        <w:ind w:firstLine="720"/>
      </w:pPr>
      <w:r>
        <w:t xml:space="preserve">Through these experiences in </w:t>
      </w:r>
      <w:r w:rsidRPr="00072A87">
        <w:rPr>
          <w:highlight w:val="yellow"/>
        </w:rPr>
        <w:t>COUNTRY</w:t>
      </w:r>
      <w:r>
        <w:t>, I felt that my worldview has expanded to include more people, more places, and more ideas. Likewise, I learned a lot about myself, my society, and the world around me.</w:t>
      </w:r>
      <w:bookmarkStart w:id="0" w:name="_GoBack"/>
      <w:bookmarkEnd w:id="0"/>
      <w:r>
        <w:t xml:space="preserve"> If I could distill my time abroad into one idea, it would be the following:</w:t>
      </w:r>
    </w:p>
    <w:p w14:paraId="1806E8B8" w14:textId="16804C5A" w:rsidR="00A853B2" w:rsidRDefault="00A853B2" w:rsidP="00A853B2">
      <w:pPr>
        <w:spacing w:line="480" w:lineRule="auto"/>
        <w:jc w:val="center"/>
      </w:pPr>
      <w:r w:rsidRPr="00072A87">
        <w:rPr>
          <w:highlight w:val="yellow"/>
        </w:rPr>
        <w:t>ONE STATEMENT THAT DESCRIBES WHAT YOU LEARNED ABROAD</w:t>
      </w:r>
      <w:r>
        <w:t>.</w:t>
      </w:r>
    </w:p>
    <w:p w14:paraId="52FDCFC4" w14:textId="08FFD2BB" w:rsidR="00A853B2" w:rsidRDefault="00A853B2" w:rsidP="00A853B2">
      <w:pPr>
        <w:spacing w:line="480" w:lineRule="auto"/>
        <w:ind w:firstLine="720"/>
      </w:pPr>
      <w:r>
        <w:t xml:space="preserve">I am not exactly sure where my life journey will lead me next, but I am excited to </w:t>
      </w:r>
      <w:r w:rsidR="002F6145">
        <w:t>include what I learned from study abroad into whatever that next step will be.</w:t>
      </w:r>
    </w:p>
    <w:p w14:paraId="05A4C503" w14:textId="77777777" w:rsidR="00CC325A" w:rsidRDefault="00CC325A">
      <w:pPr>
        <w:rPr>
          <w:b/>
          <w:bCs/>
        </w:rPr>
      </w:pPr>
      <w:r>
        <w:rPr>
          <w:b/>
          <w:bCs/>
        </w:rPr>
        <w:br w:type="page"/>
      </w:r>
    </w:p>
    <w:p w14:paraId="281DFB07" w14:textId="0FE60043" w:rsidR="00356C9A" w:rsidRPr="00624E1A" w:rsidRDefault="00356C9A" w:rsidP="00CC325A">
      <w:pPr>
        <w:spacing w:line="480" w:lineRule="auto"/>
        <w:jc w:val="center"/>
        <w:rPr>
          <w:b/>
          <w:bCs/>
        </w:rPr>
      </w:pPr>
      <w:r w:rsidRPr="00624E1A">
        <w:rPr>
          <w:b/>
          <w:bCs/>
        </w:rPr>
        <w:lastRenderedPageBreak/>
        <w:t>References</w:t>
      </w:r>
    </w:p>
    <w:p w14:paraId="0D3A65FE" w14:textId="3FC7474E" w:rsidR="00945DA4" w:rsidRPr="00945DA4" w:rsidRDefault="00B75C9E" w:rsidP="00945DA4">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945DA4" w:rsidRPr="00945DA4">
        <w:rPr>
          <w:rFonts w:ascii="Calibri" w:hAnsi="Calibri" w:cs="Calibri"/>
          <w:noProof/>
        </w:rPr>
        <w:t xml:space="preserve">Bowles, S., Choi, J. K., &amp; Hopfensitz, A. (2003). The co-evolution of individual behaviors and social institutions. </w:t>
      </w:r>
      <w:r w:rsidR="00945DA4" w:rsidRPr="00945DA4">
        <w:rPr>
          <w:rFonts w:ascii="Calibri" w:hAnsi="Calibri" w:cs="Calibri"/>
          <w:i/>
          <w:iCs/>
          <w:noProof/>
        </w:rPr>
        <w:t>Journal of Theoretical Biology</w:t>
      </w:r>
      <w:r w:rsidR="00945DA4" w:rsidRPr="00945DA4">
        <w:rPr>
          <w:rFonts w:ascii="Calibri" w:hAnsi="Calibri" w:cs="Calibri"/>
          <w:noProof/>
        </w:rPr>
        <w:t xml:space="preserve">, </w:t>
      </w:r>
      <w:r w:rsidR="00945DA4" w:rsidRPr="00945DA4">
        <w:rPr>
          <w:rFonts w:ascii="Calibri" w:hAnsi="Calibri" w:cs="Calibri"/>
          <w:i/>
          <w:iCs/>
          <w:noProof/>
        </w:rPr>
        <w:t>223</w:t>
      </w:r>
      <w:r w:rsidR="00945DA4" w:rsidRPr="00945DA4">
        <w:rPr>
          <w:rFonts w:ascii="Calibri" w:hAnsi="Calibri" w:cs="Calibri"/>
          <w:noProof/>
        </w:rPr>
        <w:t>, 135–147. http://doi.org/10.1016/S0022-5193(03)00060-2</w:t>
      </w:r>
    </w:p>
    <w:p w14:paraId="146768EA"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Markus, H. R., &amp; Kitayama, S. (1991). Culture and the self: Implications for cognition, emotion, and motivation. </w:t>
      </w:r>
      <w:r w:rsidRPr="00945DA4">
        <w:rPr>
          <w:rFonts w:ascii="Calibri" w:hAnsi="Calibri" w:cs="Calibri"/>
          <w:i/>
          <w:iCs/>
          <w:noProof/>
        </w:rPr>
        <w:t>Psychological Review</w:t>
      </w:r>
      <w:r w:rsidRPr="00945DA4">
        <w:rPr>
          <w:rFonts w:ascii="Calibri" w:hAnsi="Calibri" w:cs="Calibri"/>
          <w:noProof/>
        </w:rPr>
        <w:t xml:space="preserve">, </w:t>
      </w:r>
      <w:r w:rsidRPr="00945DA4">
        <w:rPr>
          <w:rFonts w:ascii="Calibri" w:hAnsi="Calibri" w:cs="Calibri"/>
          <w:i/>
          <w:iCs/>
          <w:noProof/>
        </w:rPr>
        <w:t>98</w:t>
      </w:r>
      <w:r w:rsidRPr="00945DA4">
        <w:rPr>
          <w:rFonts w:ascii="Calibri" w:hAnsi="Calibri" w:cs="Calibri"/>
          <w:noProof/>
        </w:rPr>
        <w:t>, 224–253. http://doi.org/10.1037/0033-295x.98.2.224</w:t>
      </w:r>
    </w:p>
    <w:p w14:paraId="5E308FDB"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Mesquita, B., &amp; Frijda, N. H. (1992). Cultural variations in emotions: A review. </w:t>
      </w:r>
      <w:r w:rsidRPr="00945DA4">
        <w:rPr>
          <w:rFonts w:ascii="Calibri" w:hAnsi="Calibri" w:cs="Calibri"/>
          <w:i/>
          <w:iCs/>
          <w:noProof/>
        </w:rPr>
        <w:t>Psychological Bulletin</w:t>
      </w:r>
      <w:r w:rsidRPr="00945DA4">
        <w:rPr>
          <w:rFonts w:ascii="Calibri" w:hAnsi="Calibri" w:cs="Calibri"/>
          <w:noProof/>
        </w:rPr>
        <w:t xml:space="preserve">, </w:t>
      </w:r>
      <w:r w:rsidRPr="00945DA4">
        <w:rPr>
          <w:rFonts w:ascii="Calibri" w:hAnsi="Calibri" w:cs="Calibri"/>
          <w:i/>
          <w:iCs/>
          <w:noProof/>
        </w:rPr>
        <w:t>112</w:t>
      </w:r>
      <w:r w:rsidRPr="00945DA4">
        <w:rPr>
          <w:rFonts w:ascii="Calibri" w:hAnsi="Calibri" w:cs="Calibri"/>
          <w:noProof/>
        </w:rPr>
        <w:t>, 179–204. http://doi.org/10.1037/0033-2909.112.2.179</w:t>
      </w:r>
    </w:p>
    <w:p w14:paraId="080B9CE7"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Muto, T., Hayes, S. C., &amp; Jeffcoat, T. (2011). The effectiveness of acceptance and commitment therapy bibliotherapy for enhancing the psychological health of Japanese college students living abroad. </w:t>
      </w:r>
      <w:r w:rsidRPr="00945DA4">
        <w:rPr>
          <w:rFonts w:ascii="Calibri" w:hAnsi="Calibri" w:cs="Calibri"/>
          <w:i/>
          <w:iCs/>
          <w:noProof/>
        </w:rPr>
        <w:t>Behavior Therapy</w:t>
      </w:r>
      <w:r w:rsidRPr="00945DA4">
        <w:rPr>
          <w:rFonts w:ascii="Calibri" w:hAnsi="Calibri" w:cs="Calibri"/>
          <w:noProof/>
        </w:rPr>
        <w:t xml:space="preserve">, </w:t>
      </w:r>
      <w:r w:rsidRPr="00945DA4">
        <w:rPr>
          <w:rFonts w:ascii="Calibri" w:hAnsi="Calibri" w:cs="Calibri"/>
          <w:i/>
          <w:iCs/>
          <w:noProof/>
        </w:rPr>
        <w:t>42</w:t>
      </w:r>
      <w:r w:rsidRPr="00945DA4">
        <w:rPr>
          <w:rFonts w:ascii="Calibri" w:hAnsi="Calibri" w:cs="Calibri"/>
          <w:noProof/>
        </w:rPr>
        <w:t>, 323–335.</w:t>
      </w:r>
    </w:p>
    <w:p w14:paraId="408F0350"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Neuliep, J. W., Chaudoir, M., &amp; McCroskey, J. C. (2001). A cross‐cultural comparison of ethnocentrism among Japanese and United States college students. </w:t>
      </w:r>
      <w:r w:rsidRPr="00945DA4">
        <w:rPr>
          <w:rFonts w:ascii="Calibri" w:hAnsi="Calibri" w:cs="Calibri"/>
          <w:i/>
          <w:iCs/>
          <w:noProof/>
        </w:rPr>
        <w:t>Communication Research Reports</w:t>
      </w:r>
      <w:r w:rsidRPr="00945DA4">
        <w:rPr>
          <w:rFonts w:ascii="Calibri" w:hAnsi="Calibri" w:cs="Calibri"/>
          <w:noProof/>
        </w:rPr>
        <w:t xml:space="preserve">, </w:t>
      </w:r>
      <w:r w:rsidRPr="00945DA4">
        <w:rPr>
          <w:rFonts w:ascii="Calibri" w:hAnsi="Calibri" w:cs="Calibri"/>
          <w:i/>
          <w:iCs/>
          <w:noProof/>
        </w:rPr>
        <w:t>18</w:t>
      </w:r>
      <w:r w:rsidRPr="00945DA4">
        <w:rPr>
          <w:rFonts w:ascii="Calibri" w:hAnsi="Calibri" w:cs="Calibri"/>
          <w:noProof/>
        </w:rPr>
        <w:t>, 137–146. http://doi.org/10.1080/08824090109384791</w:t>
      </w:r>
    </w:p>
    <w:p w14:paraId="497EF325"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Shioiri, T., Someya, T., Helmeste, D., &amp; Tang, S. W. (1999). Misinterpretation of facial expression: A cross-cultural study. </w:t>
      </w:r>
      <w:r w:rsidRPr="00945DA4">
        <w:rPr>
          <w:rFonts w:ascii="Calibri" w:hAnsi="Calibri" w:cs="Calibri"/>
          <w:i/>
          <w:iCs/>
          <w:noProof/>
        </w:rPr>
        <w:t>Psychiatry and Clinical Neurosciences</w:t>
      </w:r>
      <w:r w:rsidRPr="00945DA4">
        <w:rPr>
          <w:rFonts w:ascii="Calibri" w:hAnsi="Calibri" w:cs="Calibri"/>
          <w:noProof/>
        </w:rPr>
        <w:t xml:space="preserve">, </w:t>
      </w:r>
      <w:r w:rsidRPr="00945DA4">
        <w:rPr>
          <w:rFonts w:ascii="Calibri" w:hAnsi="Calibri" w:cs="Calibri"/>
          <w:i/>
          <w:iCs/>
          <w:noProof/>
        </w:rPr>
        <w:t>53</w:t>
      </w:r>
      <w:r w:rsidRPr="00945DA4">
        <w:rPr>
          <w:rFonts w:ascii="Calibri" w:hAnsi="Calibri" w:cs="Calibri"/>
          <w:noProof/>
        </w:rPr>
        <w:t>, 45–50. http://doi.org/10.1046/j.1440-1819.1999.00469.x</w:t>
      </w:r>
    </w:p>
    <w:p w14:paraId="2642BF8A" w14:textId="77777777" w:rsidR="00945DA4" w:rsidRPr="00945DA4" w:rsidRDefault="00945DA4" w:rsidP="00945DA4">
      <w:pPr>
        <w:widowControl w:val="0"/>
        <w:autoSpaceDE w:val="0"/>
        <w:autoSpaceDN w:val="0"/>
        <w:adjustRightInd w:val="0"/>
        <w:spacing w:line="480" w:lineRule="auto"/>
        <w:ind w:left="480" w:hanging="480"/>
        <w:rPr>
          <w:rFonts w:ascii="Calibri" w:hAnsi="Calibri" w:cs="Calibri"/>
          <w:noProof/>
        </w:rPr>
      </w:pPr>
      <w:r w:rsidRPr="00945DA4">
        <w:rPr>
          <w:rFonts w:ascii="Calibri" w:hAnsi="Calibri" w:cs="Calibri"/>
          <w:noProof/>
        </w:rPr>
        <w:t xml:space="preserve">Uchida, C. (2010). Apathetic and Withdrawing Students in Japanese Universities: With Regard to Hikikomori and Student Apathy. </w:t>
      </w:r>
      <w:r w:rsidRPr="00945DA4">
        <w:rPr>
          <w:rFonts w:ascii="Calibri" w:hAnsi="Calibri" w:cs="Calibri"/>
          <w:i/>
          <w:iCs/>
          <w:noProof/>
        </w:rPr>
        <w:t>Journal of Medical and Dental Sciences</w:t>
      </w:r>
      <w:r w:rsidRPr="00945DA4">
        <w:rPr>
          <w:rFonts w:ascii="Calibri" w:hAnsi="Calibri" w:cs="Calibri"/>
          <w:noProof/>
        </w:rPr>
        <w:t xml:space="preserve">, </w:t>
      </w:r>
      <w:r w:rsidRPr="00945DA4">
        <w:rPr>
          <w:rFonts w:ascii="Calibri" w:hAnsi="Calibri" w:cs="Calibri"/>
          <w:i/>
          <w:iCs/>
          <w:noProof/>
        </w:rPr>
        <w:t>57</w:t>
      </w:r>
      <w:r w:rsidRPr="00945DA4">
        <w:rPr>
          <w:rFonts w:ascii="Calibri" w:hAnsi="Calibri" w:cs="Calibri"/>
          <w:noProof/>
        </w:rPr>
        <w:t>, 95–108.</w:t>
      </w:r>
    </w:p>
    <w:p w14:paraId="4F18A812" w14:textId="69BAD697" w:rsidR="00592808" w:rsidRDefault="00B75C9E" w:rsidP="00945DA4">
      <w:pPr>
        <w:widowControl w:val="0"/>
        <w:autoSpaceDE w:val="0"/>
        <w:autoSpaceDN w:val="0"/>
        <w:adjustRightInd w:val="0"/>
        <w:spacing w:line="480" w:lineRule="auto"/>
        <w:ind w:left="480" w:hanging="480"/>
      </w:pPr>
      <w:r>
        <w:fldChar w:fldCharType="end"/>
      </w:r>
    </w:p>
    <w:p w14:paraId="3E041534" w14:textId="1900B1DA" w:rsidR="00A853B2" w:rsidRDefault="00A853B2" w:rsidP="00592808">
      <w:pPr>
        <w:spacing w:line="480" w:lineRule="auto"/>
      </w:pPr>
    </w:p>
    <w:p w14:paraId="4AB3AE98" w14:textId="6A3DD21C" w:rsidR="00A853B2" w:rsidRDefault="00A853B2" w:rsidP="00592808">
      <w:pPr>
        <w:spacing w:line="480" w:lineRule="auto"/>
      </w:pPr>
    </w:p>
    <w:p w14:paraId="55167982" w14:textId="350DA74C" w:rsidR="00A853B2" w:rsidRPr="009D217B" w:rsidRDefault="009D217B" w:rsidP="00592808">
      <w:pPr>
        <w:spacing w:line="480" w:lineRule="auto"/>
        <w:rPr>
          <w:b/>
          <w:bCs/>
        </w:rPr>
      </w:pPr>
      <w:r w:rsidRPr="009D217B">
        <w:rPr>
          <w:b/>
          <w:bCs/>
        </w:rPr>
        <w:lastRenderedPageBreak/>
        <w:t>Study Abroad Report Instructions:</w:t>
      </w:r>
    </w:p>
    <w:p w14:paraId="353D5D29" w14:textId="549F0FFC" w:rsidR="009D217B" w:rsidRDefault="009D217B" w:rsidP="009D217B">
      <w:pPr>
        <w:pStyle w:val="ListParagraph"/>
        <w:numPr>
          <w:ilvl w:val="0"/>
          <w:numId w:val="2"/>
        </w:numPr>
        <w:spacing w:line="480" w:lineRule="auto"/>
      </w:pPr>
      <w:r>
        <w:t>Write 400+ word essays in each of the four sections.</w:t>
      </w:r>
    </w:p>
    <w:p w14:paraId="75350F42" w14:textId="742E6675" w:rsidR="009D217B" w:rsidRDefault="009D217B" w:rsidP="009D217B">
      <w:pPr>
        <w:pStyle w:val="ListParagraph"/>
        <w:numPr>
          <w:ilvl w:val="0"/>
          <w:numId w:val="2"/>
        </w:numPr>
        <w:spacing w:line="480" w:lineRule="auto"/>
      </w:pPr>
      <w:r>
        <w:t>Include the statements and internal citations from the list below</w:t>
      </w:r>
    </w:p>
    <w:p w14:paraId="67D7EDB1" w14:textId="331D7DAF" w:rsidR="009D217B" w:rsidRDefault="009D217B" w:rsidP="009D217B">
      <w:pPr>
        <w:pStyle w:val="ListParagraph"/>
        <w:numPr>
          <w:ilvl w:val="0"/>
          <w:numId w:val="2"/>
        </w:numPr>
        <w:spacing w:line="480" w:lineRule="auto"/>
      </w:pPr>
      <w:r>
        <w:t xml:space="preserve">Replace all </w:t>
      </w:r>
      <w:r w:rsidRPr="009D217B">
        <w:rPr>
          <w:highlight w:val="yellow"/>
        </w:rPr>
        <w:t>CAPITAL HIGHLIGHTED TEXT</w:t>
      </w:r>
      <w:r>
        <w:t xml:space="preserve"> with your own content.</w:t>
      </w:r>
    </w:p>
    <w:p w14:paraId="0D6B6916" w14:textId="02497053" w:rsidR="009D217B" w:rsidRDefault="009D217B" w:rsidP="009D217B">
      <w:pPr>
        <w:pStyle w:val="ListParagraph"/>
        <w:numPr>
          <w:ilvl w:val="0"/>
          <w:numId w:val="2"/>
        </w:numPr>
        <w:spacing w:line="480" w:lineRule="auto"/>
      </w:pPr>
      <w:r>
        <w:t>Delete the essay instructions in each of the four sections.</w:t>
      </w:r>
    </w:p>
    <w:p w14:paraId="5666BF9F" w14:textId="5C4BCD1A" w:rsidR="009D217B" w:rsidRDefault="009D217B" w:rsidP="009D217B">
      <w:pPr>
        <w:pStyle w:val="ListParagraph"/>
        <w:numPr>
          <w:ilvl w:val="0"/>
          <w:numId w:val="2"/>
        </w:numPr>
        <w:spacing w:line="480" w:lineRule="auto"/>
      </w:pPr>
      <w:r>
        <w:t>Delete this last page.</w:t>
      </w:r>
    </w:p>
    <w:p w14:paraId="6308470B" w14:textId="3D0FEF72" w:rsidR="009D217B" w:rsidRDefault="009D217B" w:rsidP="009D217B">
      <w:pPr>
        <w:pStyle w:val="ListParagraph"/>
        <w:numPr>
          <w:ilvl w:val="0"/>
          <w:numId w:val="2"/>
        </w:numPr>
        <w:spacing w:line="480" w:lineRule="auto"/>
      </w:pPr>
      <w:r>
        <w:t>Make sure it is above 2,000 words.</w:t>
      </w:r>
    </w:p>
    <w:p w14:paraId="3C37DD86" w14:textId="67864F61" w:rsidR="009D217B" w:rsidRDefault="009D217B" w:rsidP="00592808">
      <w:pPr>
        <w:pStyle w:val="ListParagraph"/>
        <w:numPr>
          <w:ilvl w:val="0"/>
          <w:numId w:val="2"/>
        </w:numPr>
        <w:spacing w:line="480" w:lineRule="auto"/>
      </w:pPr>
      <w:r>
        <w:t>Turn it in</w:t>
      </w:r>
    </w:p>
    <w:p w14:paraId="17125A4D" w14:textId="29C38FC4" w:rsidR="00072A87" w:rsidRDefault="009D217B" w:rsidP="00592808">
      <w:pPr>
        <w:spacing w:line="480" w:lineRule="auto"/>
      </w:pPr>
      <w:r>
        <w:t>P</w:t>
      </w:r>
      <w:r w:rsidR="00A853B2">
        <w:t>hrase</w:t>
      </w:r>
      <w:r>
        <w:t xml:space="preserve"> list</w:t>
      </w:r>
      <w:r w:rsidR="00A853B2">
        <w:t xml:space="preserve"> </w:t>
      </w:r>
      <w:r w:rsidR="00A853B2">
        <w:rPr>
          <w:b/>
          <w:bCs/>
        </w:rPr>
        <w:t>with the internal citations</w:t>
      </w:r>
      <w:r w:rsidR="00072A87">
        <w:t>:</w:t>
      </w:r>
    </w:p>
    <w:p w14:paraId="13D1DDF4" w14:textId="54425C64" w:rsidR="00B75C9E" w:rsidRDefault="00B75C9E" w:rsidP="002F6145">
      <w:pPr>
        <w:pStyle w:val="ListParagraph"/>
        <w:numPr>
          <w:ilvl w:val="0"/>
          <w:numId w:val="1"/>
        </w:numPr>
        <w:spacing w:line="480" w:lineRule="auto"/>
      </w:pPr>
      <w:r>
        <w:t xml:space="preserve">Western countries are more individualistic while Japan is more collectivistic </w:t>
      </w:r>
      <w:r>
        <w:fldChar w:fldCharType="begin" w:fldLock="1"/>
      </w:r>
      <w:r>
        <w:instrText>ADDIN CSL_CITATION {"citationItems":[{"id":"ITEM-1","itemData":{"DOI":"10.1037/0033-295x.98.2.224","ISBN":"1939-1471(Electronic);0033-295X(Print)","ISSN":"0033-295X","PMID":"18637927","abstract":"People in different cultures have strikingly different construals of the self, of others, and of the interdependence of the 2. These construals can influence, and in many cases determine, the very nature of individual experience, including cognition, emotion, and motivation. Many Asian cultures have distinct conceptions of individuality that insist on the fundamental relatedness of individuals to each other. The emphasis is on attending to others, fitting in, and harmonious interdependence with them. American culture neither assumes nor values such an overt connectedness among individuals. In contrast, individuals seek to maintain their independence from others by attending to the self and by discovering and expressing their unique inner attributes. As proposed herein, these construals are even more powerful than previously imagined. Theories of the self from both psychology and anthropology are integrated to define in detail the difference between a construal of the self as independent and a construal of the self as interdependent. Each of these divergent construals should have a set of specific consequences for cognition, emotion, and motivation; these consequences are proposed and relevant empirical literature is reviewed. (PsycINFO Database Record (c) 2012 APA, all rights reserved)","author":[{"dropping-particle":"","family":"Markus","given":"Hazel Rose","non-dropping-particle":"","parse-names":false,"suffix":""},{"dropping-particle":"","family":"Kitayama","given":"Shinobu","non-dropping-particle":"","parse-names":false,"suffix":""}],"container-title":"Psychological Review","id":"ITEM-1","issue":"2","issued":{"date-parts":[["1991"]]},"page":"224-253","publisher":"American Psychological Association","publisher-place":"US","title":"Culture and the self: Implications for cognition, emotion, and motivation","type":"article-journal","volume":"98"},"uris":["http://www.mendeley.com/documents/?uuid=3f538c41-d636-4ff0-83ce-b2334e9e3044"]}],"mendeley":{"formattedCitation":"(Markus &amp; Kitayama, 1991)","plainTextFormattedCitation":"(Markus &amp; Kitayama, 1991)","previouslyFormattedCitation":"(Markus &amp; Kitayama, 1991)"},"properties":{"noteIndex":0},"schema":"https://github.com/citation-style-language/schema/raw/master/csl-citation.json"}</w:instrText>
      </w:r>
      <w:r>
        <w:fldChar w:fldCharType="separate"/>
      </w:r>
      <w:r w:rsidRPr="00B75C9E">
        <w:rPr>
          <w:noProof/>
        </w:rPr>
        <w:t>(Markus &amp; Kitayama, 1991)</w:t>
      </w:r>
      <w:r>
        <w:fldChar w:fldCharType="end"/>
      </w:r>
      <w:r>
        <w:t>.</w:t>
      </w:r>
    </w:p>
    <w:p w14:paraId="3A34A55F" w14:textId="4F3F31AA" w:rsidR="00B75C9E" w:rsidRDefault="00B75C9E" w:rsidP="002F6145">
      <w:pPr>
        <w:pStyle w:val="ListParagraph"/>
        <w:numPr>
          <w:ilvl w:val="0"/>
          <w:numId w:val="1"/>
        </w:numPr>
        <w:spacing w:line="480" w:lineRule="auto"/>
      </w:pPr>
      <w:r>
        <w:t xml:space="preserve">Food and food sharing is one of the cornerstones of culture and institution development </w:t>
      </w:r>
      <w:r>
        <w:fldChar w:fldCharType="begin" w:fldLock="1"/>
      </w:r>
      <w:r w:rsidR="00115BE1">
        <w:instrText>ADDIN CSL_CITATION {"citationItems":[{"id":"ITEM-1","itemData":{"DOI":"10.1016/S0022-5193(03)00060-2","ISBN":"0022-5193","ISSN":"00225193","PMID":"12814597","abstract":"We present agent-based simulations of a model of a deme-structured population in which group differences in social institutions are culturally transmitted and individual behaviors are genetically transmitted. We use a standard extended fitness accounting framework to identify the parameter space for which this co-evolutionary process generates high levels of group-beneficial behaviors. We show that intergroup conflicts may explain the evolutionary success of both: (a) altruistic forms of human sociality towards unrelated members of one's group; and (b) group-level institutional structures such as food sharing which have emerged and diffused repeatedly in a wide variety of ecologies during the course of human history. Group-beneficial behaviors may evolve if (a) they inflict sufficient fitness costs on outgroup individuals and (b) group-level institutions limit the individual fitness costs of these behaviors and thereby attenuate within-group selection against these behaviors. Thus, the evolutionary success of individually costly but group-beneficial behaviors in the relevant environments during the first 90,000 years of anatomically modern human existence may have been a consequence of distinctive human capacities in social institution building. ?? 2003 Elsevier Science Ltd. All rights reserved.","author":[{"dropping-particle":"","family":"Bowles","given":"Samuel","non-dropping-particle":"","parse-names":false,"suffix":""},{"dropping-particle":"","family":"Choi","given":"Jung Kyoo","non-dropping-particle":"","parse-names":false,"suffix":""},{"dropping-particle":"","family":"Hopfensitz","given":"Astrid","non-dropping-particle":"","parse-names":false,"suffix":""}],"container-title":"Journal of Theoretical Biology","id":"ITEM-1","issue":"2","issued":{"date-parts":[["2003"]]},"page":"135-147","publisher":"Elsevier","title":"The co-evolution of individual behaviors and social institutions","type":"article-journal","volume":"223"},"uris":["http://www.mendeley.com/documents/?uuid=8ce5bb42-2920-4aa1-9e7d-036baf615ef3"]}],"mendeley":{"formattedCitation":"(Bowles, Choi, &amp; Hopfensitz, 2003)","plainTextFormattedCitation":"(Bowles, Choi, &amp; Hopfensitz, 2003)","previouslyFormattedCitation":"(Bowles, Choi, &amp; Hopfensitz, 2003)"},"properties":{"noteIndex":0},"schema":"https://github.com/citation-style-language/schema/raw/master/csl-citation.json"}</w:instrText>
      </w:r>
      <w:r>
        <w:fldChar w:fldCharType="separate"/>
      </w:r>
      <w:r w:rsidRPr="00B75C9E">
        <w:rPr>
          <w:noProof/>
        </w:rPr>
        <w:t>(Bowles, Choi, &amp; Hopfensitz, 2003)</w:t>
      </w:r>
      <w:r>
        <w:fldChar w:fldCharType="end"/>
      </w:r>
      <w:r>
        <w:t>.</w:t>
      </w:r>
    </w:p>
    <w:p w14:paraId="72938183" w14:textId="28FB750D" w:rsidR="00115BE1" w:rsidRDefault="00115BE1" w:rsidP="002F6145">
      <w:pPr>
        <w:pStyle w:val="ListParagraph"/>
        <w:numPr>
          <w:ilvl w:val="0"/>
          <w:numId w:val="1"/>
        </w:numPr>
        <w:spacing w:line="480" w:lineRule="auto"/>
      </w:pPr>
      <w:r>
        <w:t xml:space="preserve">Japanese students are typically more ethnocentric than Western students simply because of lack of exposure to different cultures </w:t>
      </w:r>
      <w:r>
        <w:fldChar w:fldCharType="begin" w:fldLock="1"/>
      </w:r>
      <w:r>
        <w:instrText>ADDIN CSL_CITATION {"citationItems":[{"id":"ITEM-1","itemData":{"DOI":"10.1080/08824090109384791","ISBN":"0882-4096","ISSN":"0882-4096","PMID":"60443310","abstract":"This study is a cross-cultural comparison of ethnocentrism among Japanese &amp; American college students. Both Japanese (N = 372) &amp; American (N = 173) college students completed a measure of ethnocentrism &amp; responded to several questions about their travel experiences, interaction with foreigners, &amp; other similar kinds of questions. Results revealed that Japanese students scored significantly higher in ethnocentrism than the American students. Further results indicate that in both samples, men scored higher in ethnocentrism than women. The within-group differences across both cultures were remarkably similar. In both Japanese &amp; American samples, class rank, travel-abroad experiences, interaction with foreigners, &amp; hometown populations did not affect ethnocentrism scores. 2 Tables, 30 References. Adapted from the source document.","author":[{"dropping-particle":"","family":"Neuliep","given":"James W.","non-dropping-particle":"","parse-names":false,"suffix":""},{"dropping-particle":"","family":"Chaudoir","given":"Michelle","non-dropping-particle":"","parse-names":false,"suffix":""},{"dropping-particle":"","family":"McCroskey","given":"James C.","non-dropping-particle":"","parse-names":false,"suffix":""}],"container-title":"Communication Research Reports","id":"ITEM-1","issue":"2","issued":{"date-parts":[["2001"]]},"page":"137-146","publisher":"Tay</w:instrText>
      </w:r>
      <w:r>
        <w:rPr>
          <w:rFonts w:hint="eastAsia"/>
        </w:rPr>
        <w:instrText>lor &amp; Francis","title":"A cross</w:instrText>
      </w:r>
      <w:r>
        <w:rPr>
          <w:rFonts w:hint="eastAsia"/>
        </w:rPr>
        <w:instrText>‐</w:instrText>
      </w:r>
      <w:r>
        <w:rPr>
          <w:rFonts w:hint="eastAsia"/>
        </w:rPr>
        <w:instrText>cultural comparison of ethnocentrism among Japanese and United States college students","type":"article-journal","volume":"18"},"uris":["http://www.mendeley.com/documents/?uuid=6789c2f4-6a5a-402b-acf1-a8c16f8eac15"]}],"mend</w:instrText>
      </w:r>
      <w:r>
        <w:instrText>eley":{"formattedCitation":"(Neuliep, Chaudoir, &amp; McCroskey, 2001)","plainTextFormattedCitation":"(Neuliep, Chaudoir, &amp; McCroskey, 2001)","previouslyFormattedCitation":"(Neuliep, Chaudoir, &amp; McCroskey, 2001)"},"properties":{"noteIndex":0},"schema":"https://github.com/citation-style-language/schema/raw/master/csl-citation.json"}</w:instrText>
      </w:r>
      <w:r>
        <w:fldChar w:fldCharType="separate"/>
      </w:r>
      <w:r w:rsidRPr="00115BE1">
        <w:rPr>
          <w:noProof/>
        </w:rPr>
        <w:t>(Neuliep, Chaudoir, &amp; McCroskey, 2001)</w:t>
      </w:r>
      <w:r>
        <w:fldChar w:fldCharType="end"/>
      </w:r>
      <w:r>
        <w:t>.</w:t>
      </w:r>
    </w:p>
    <w:p w14:paraId="0AB29D36" w14:textId="7682B9A7" w:rsidR="00115BE1" w:rsidRDefault="00115BE1" w:rsidP="002F6145">
      <w:pPr>
        <w:pStyle w:val="ListParagraph"/>
        <w:numPr>
          <w:ilvl w:val="0"/>
          <w:numId w:val="1"/>
        </w:numPr>
        <w:spacing w:line="480" w:lineRule="auto"/>
      </w:pPr>
      <w:r>
        <w:t xml:space="preserve">Emotional expression and emotional recognition is different from culture to culture </w:t>
      </w:r>
      <w:r>
        <w:fldChar w:fldCharType="begin" w:fldLock="1"/>
      </w:r>
      <w:r>
        <w:instrText>ADDIN CSL_CITATION {"citationItems":[{"id":"ITEM-1","itemData":{"DOI":"10.1037/0033-2909.112.2.179","ISBN":"1939-1455(Electronic);0033-2909(Print)","abstract":"The psychological and anthropological literature on cultural variations in emotions is reviewed. The literature has been interpreted within the framework of a cognitive-process model of emotions. Both cross-cultural differences and similarities were identified in each phase of the emotion process; similarities in one phase do not necessarily imply similarities in other phases. Whether cross-cultural differences or similarities are found depends to an important degree on the level of description of the emotional phenomena. Cultural differences in emotions appear to be due to differences in event types or schemas, in culture-specific appraisal propensities, in behavior repertoires, or in regulation processes. Differences in taxonomies of emotion words sometimes reflect true emotion differences like those just mentioned, but they may also just result from differences in which an emotion-process phase serves as the basis for categorization. (PsycINFO Database Record (c) 2012 APA, all rights reserved)","author":[{"dropping-particle":"","family":"Mesquita","given":"Batja","non-dropping-particle":"","parse-names":false,"suffix":""},{"dropping-particle":"","family":"Frijda","given":"Nico H","non-dropping-particle":"","parse-names":false,"suffix":""}],"container-title":"Psychological Bulletin","id":"ITEM-1","issue":"2","issued":{"date-parts":[["1992"]]},"page":"179-204","publisher":"American Psychological Association","publisher-place":"US","title":"Cultural variations in emotions: A review","type":"article-journal","volume":"112"},"uris":["http://www.mendeley.com/documents/?uuid=25bee4c8-4964-40bf-a970-38737a54f6aa"]}],"mendeley":{"formattedCitation":"(Mesquita &amp; Frijda, 1992)","plainTextFormattedCitation":"(Mesquita &amp; Frijda, 1992)","previouslyFormattedCitation":"(Mesquita &amp; Frijda, 1992)"},"properties":{"noteIndex":0},"schema":"https://github.com/citation-style-language/schema/raw/master/csl-citation.json"}</w:instrText>
      </w:r>
      <w:r>
        <w:fldChar w:fldCharType="separate"/>
      </w:r>
      <w:r w:rsidRPr="00115BE1">
        <w:rPr>
          <w:noProof/>
        </w:rPr>
        <w:t>(Mesquita &amp; Frijda, 1992)</w:t>
      </w:r>
      <w:r>
        <w:fldChar w:fldCharType="end"/>
      </w:r>
      <w:r>
        <w:t>.</w:t>
      </w:r>
    </w:p>
    <w:p w14:paraId="101944CA" w14:textId="32C88C25" w:rsidR="00945DA4" w:rsidRDefault="00945DA4" w:rsidP="00945DA4">
      <w:pPr>
        <w:pStyle w:val="ListParagraph"/>
        <w:numPr>
          <w:ilvl w:val="0"/>
          <w:numId w:val="1"/>
        </w:numPr>
        <w:spacing w:line="480" w:lineRule="auto"/>
      </w:pPr>
      <w:r>
        <w:t xml:space="preserve">Sometimes Japanese and Western people misinterpret each other’s nonverbal communication and facial expressions </w:t>
      </w:r>
      <w:r>
        <w:fldChar w:fldCharType="begin" w:fldLock="1"/>
      </w:r>
      <w:r>
        <w:instrText>ADDIN CSL_CITATION {"citationItems":[{"id":"ITEM-1","itemData":{"DOI":"10.1046/j.1440-1819.1999.00469.x","ISBN":"1440-1819","abstract":"Accurately recognizing facial emotional expressions is important in psychiatrist-versus-patient interactions. This might be difficult when the physician and patients are from different cultures. More than two decades of research on facial expressions have documented the universality of the emotions of anger, contempt, disgust, fear, happiness, sadness, and surprise. In contrast, some research data supported the concept that there are significant cultural differences in the judgment of emotion. In this pilot study, the recognition of emotional facial expressions in 123 Japanese subjects was evaluated using the Japanese and Caucasian Facial Expression of Emotion (JACFEE) photos. The results indicated that Japanese subjects experienced difficulties in recognizing some emotional facial expressions and misunderstood others as depicted by the posers, when compared to previous studies using American subjects. Interestingly, the sex and cultural background of the poser did not appear to influence the accuracy of recognition. The data suggest that in this young Japanese sample, judgment of certain emotional facial expressions was significantly different from the Americans. Further exploration in this area is warranted due to its importance in cross-cultural clinician–patient interactions.","author":[{"dropping-particle":"","family":"Shioiri","given":"Toshiki","non-dropping-particle":"","parse-names":false,"suffix":""},{"dropping-particle":"","family":"Someya","given":"Toshiyuki","non-dropping-particle":"","parse-names":false,"suffix":""},{"dropping-particle":"","family":"Helmeste","given":"Daiga","non-dropping-particle":"","parse-names":false,"suffix":""},{"dropping-particle":"","family":"Tang","given":"Siu Wa","non-dropping-particle":"","parse-names":false,"suffix":""}],"container-title":"Psychiatry and Clinical Neurosciences","id":"ITEM-1","issue":"1","issued":{"date-parts":[["1999"]]},"page":"45-50","publisher":"Blackwell Science Pty","title":"Misinterpretation of facial expression: A cross-cultural study","type":"article-journal","volume":"53"},"uris":["http://www.mendeley.com/documents/?uuid=f16beebc-b026-4008-a675-b933a6344a0a"]}],"mendeley":{"formattedCitation":"(Shioiri, Someya, Helmeste, &amp; Tang, 1999)","plainTextFormattedCitation":"(Shioiri, Someya, Helmeste, &amp; Tang, 1999)","previouslyFormattedCitation":"(Shioiri, Someya, Helmeste, &amp; Tang, 1999)"},"properties":{"noteIndex":0},"schema":"https://github.com/citation-style-language/schema/raw/master/csl-citation.json"}</w:instrText>
      </w:r>
      <w:r>
        <w:fldChar w:fldCharType="separate"/>
      </w:r>
      <w:r w:rsidRPr="000C76A3">
        <w:rPr>
          <w:noProof/>
        </w:rPr>
        <w:t>(Shioiri, Someya, Helmeste, &amp; Tang, 1999)</w:t>
      </w:r>
      <w:r>
        <w:fldChar w:fldCharType="end"/>
      </w:r>
      <w:r>
        <w:t>.</w:t>
      </w:r>
    </w:p>
    <w:p w14:paraId="1690E3CF" w14:textId="78F6551C" w:rsidR="00115BE1" w:rsidRDefault="00115BE1" w:rsidP="002F6145">
      <w:pPr>
        <w:pStyle w:val="ListParagraph"/>
        <w:numPr>
          <w:ilvl w:val="0"/>
          <w:numId w:val="1"/>
        </w:numPr>
        <w:spacing w:line="480" w:lineRule="auto"/>
      </w:pPr>
      <w:r>
        <w:t xml:space="preserve">Acceptance and commitment skills can be used to help with culture shock and homesickness </w:t>
      </w:r>
      <w:r>
        <w:fldChar w:fldCharType="begin" w:fldLock="1"/>
      </w:r>
      <w:r>
        <w:instrText>ADDIN CSL_CITATION {"citationItems":[{"id":"ITEM-1","itemData":{"ISSN":"0005-7894","author":[{"dropping-particle":"","family":"Muto","given":"Takashi","non-dropping-particle":"","parse-names":false,"suffix":""},{"dropping-particle":"","family":"Hayes","given":"Steven C","non-dropping-particle":"","parse-names":false,"suffix":""},{"dropping-particle":"","family":"Jeffcoat","given":"Tami","non-dropping-particle":"","parse-names":false,"suffix":""}],"container-title":"Behavior Therapy","id":"ITEM-1","issue":"2","issued":{"date-parts":[["2011"]]},"page":"323-335","publisher":"Elsevier","title":"The effectiveness of acceptance and commitment therapy bibliotherapy for enhancing the psychological health of Japanese college students living abroad","type":"article-journal","volume":"42"},"uris":["http://www.mendeley.com/documents/?uuid=37f4fc67-3fe1-4263-875f-1b4caa01cd6d"]}],"mendeley":{"formattedCitation":"(Muto, Hayes, &amp; Jeffcoat, 2011)","plainTextFormattedCitation":"(Muto, Hayes, &amp; Jeffcoat, 2011)","previouslyFormattedCitation":"(Muto, Hayes, &amp; Jeffcoat, 2011)"},"properties":{"noteIndex":0},"schema":"https://github.com/citation-style-language/schema/raw/master/csl-citation.json"}</w:instrText>
      </w:r>
      <w:r>
        <w:fldChar w:fldCharType="separate"/>
      </w:r>
      <w:r w:rsidRPr="00115BE1">
        <w:rPr>
          <w:noProof/>
        </w:rPr>
        <w:t>(Muto, Hayes, &amp; Jeffcoat, 2011)</w:t>
      </w:r>
      <w:r>
        <w:fldChar w:fldCharType="end"/>
      </w:r>
      <w:r>
        <w:t>.</w:t>
      </w:r>
    </w:p>
    <w:p w14:paraId="5BF75EE5" w14:textId="29B61823" w:rsidR="00072A87" w:rsidRDefault="00115BE1" w:rsidP="00592808">
      <w:pPr>
        <w:pStyle w:val="ListParagraph"/>
        <w:numPr>
          <w:ilvl w:val="0"/>
          <w:numId w:val="1"/>
        </w:numPr>
        <w:spacing w:line="480" w:lineRule="auto"/>
      </w:pPr>
      <w:r>
        <w:t xml:space="preserve">Japanese universities have been struggling to motivate apathetic students since the 1980’s </w:t>
      </w:r>
      <w:r>
        <w:fldChar w:fldCharType="begin" w:fldLock="1"/>
      </w:r>
      <w:r w:rsidR="00945DA4">
        <w:instrText>ADDIN CSL_CITATION {"citationItems":[{"id":"ITEM-1","itemData":{"ISSN":"13428810","PMID":"20437770","abstract":"In recent years, the increasing number of young people withdrawing from society, so called Hikikomori, has been a cause for concern in Japan. These are people who stay at home and do not work or attend school for more than 6 months. Most of them are not regarded as having any psychotic illness such as schizophrenia. With respect to college students, \"student apathy\" syndrome has been discussed since the 1960's. OBJECTIVES: To evaluate the proportion of apathetic and withdrawing students among those who leave school, take off, or repeat academic years; to see how these situations have changed in the last 20 years; and to identify the characteristics of such high risk groups so as to provide them with effective psychiatric support services. METHODS: First I examined the mean rates of the academic events mentioned above among students of Japanese national universities. I then compared those rates statistically between males and females, and among 6 groups according to gender and academic majors. Then the reasons for those academic events were examined. RESULTS: The rates of each event have continually increased over the last 21 years, and a considerable number of the students were shown to have been in a state of \"student apathy.\" Male 4-year course students had a high risk, especially male science course students had serious problems.","author":[{"dropping-particle":"","family":"Uchida","given":"Chiyoko","non-dropping-particle":"","parse-names":false,"suffix":""}],"container-title":"Journal of Medical and Dental Sciences","edition":"2010/05/05","id":"ITEM-1","issue":"1","issued":{"date-parts":[["2010"]]},"language":"eng","note":"Uchida, Chiyoko\nResearch Support, Non-U.S. Gov't\nJapan\nJ Med Dent Sci. 2010 Mar;57(1):95-108.","page":"95-108","title":"Apathetic and Withdrawing Students in Japanese Universities: With Regard to Hikikomori and Student Apathy","type":"article-journal","volume":"57"},"uris":["http://www.mendeley.com/documents/?uuid=535dee0d-1b69-4554-875b-c26b4fd478b9"]}],"mendeley":{"formattedCitation":"(Uchida, 2010)","plainTextFormattedCitation":"(Uchida, 2010)","previouslyFormattedCitation":"(Uchida, 2010)"},"properties":{"noteIndex":0},"schema":"https://github.com/citation-style-language/schema/raw/master/csl-citation.json"}</w:instrText>
      </w:r>
      <w:r>
        <w:fldChar w:fldCharType="separate"/>
      </w:r>
      <w:r w:rsidRPr="00115BE1">
        <w:rPr>
          <w:noProof/>
        </w:rPr>
        <w:t>(Uchida, 2010)</w:t>
      </w:r>
      <w:r>
        <w:fldChar w:fldCharType="end"/>
      </w:r>
      <w:r>
        <w:t>.</w:t>
      </w:r>
    </w:p>
    <w:sectPr w:rsidR="00072A87" w:rsidSect="00EC0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793E"/>
    <w:multiLevelType w:val="hybridMultilevel"/>
    <w:tmpl w:val="05CE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80D1C"/>
    <w:multiLevelType w:val="hybridMultilevel"/>
    <w:tmpl w:val="24B8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9A"/>
    <w:rsid w:val="00072A87"/>
    <w:rsid w:val="000C76A3"/>
    <w:rsid w:val="00115BE1"/>
    <w:rsid w:val="001916E1"/>
    <w:rsid w:val="002F6145"/>
    <w:rsid w:val="00356C9A"/>
    <w:rsid w:val="00592808"/>
    <w:rsid w:val="00624E1A"/>
    <w:rsid w:val="00705E68"/>
    <w:rsid w:val="0088287C"/>
    <w:rsid w:val="00891D8A"/>
    <w:rsid w:val="008F7476"/>
    <w:rsid w:val="00913B22"/>
    <w:rsid w:val="00945DA4"/>
    <w:rsid w:val="009D217B"/>
    <w:rsid w:val="00A853B2"/>
    <w:rsid w:val="00AA256F"/>
    <w:rsid w:val="00B75C9E"/>
    <w:rsid w:val="00BF2A29"/>
    <w:rsid w:val="00CC325A"/>
    <w:rsid w:val="00EC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2D78"/>
  <w14:defaultImageDpi w14:val="32767"/>
  <w15:chartTrackingRefBased/>
  <w15:docId w15:val="{6CC2D44B-443A-7E40-93FF-5F0555C7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B7DDF-4084-A24E-9C9A-F85AE752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Krieg</dc:creator>
  <cp:keywords/>
  <dc:description/>
  <cp:lastModifiedBy>Alexander Krieg</cp:lastModifiedBy>
  <cp:revision>11</cp:revision>
  <dcterms:created xsi:type="dcterms:W3CDTF">2020-01-11T02:33:00Z</dcterms:created>
  <dcterms:modified xsi:type="dcterms:W3CDTF">2020-01-11T22:36:00Z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http://csl.mendeley.com/styles/149054401/apa</vt:lpwstr>
  </property>
  <property fmtid="{D5CDD505-2E9C-101B-9397-08002B2CF9AE}" pid="7" name="Mendeley Recent Style Name 2_1">
    <vt:lpwstr>American Psychological Association 6th edition - No Issue Numbers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af0971e4-4133-327c-91c0-a22fb36b1c3a</vt:lpwstr>
  </property>
  <property fmtid="{D5CDD505-2E9C-101B-9397-08002B2CF9AE}" pid="24" name="Mendeley Citation Style_1">
    <vt:lpwstr>http://csl.mendeley.com/styles/149054401/apa</vt:lpwstr>
  </property>
</Properties>
</file>