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PingFang SC"/>
          <w:b/>
          <w:color w:val="203C67"/>
          <w:sz w:val="50"/>
        </w:rPr>
        <w:t>许库兰·阿不都许库尔</w:t>
      </w:r>
    </w:p>
    <w:p>
      <w:pPr>
        <w:spacing w:after="40"/>
        <w:jc w:val="center"/>
      </w:pPr>
      <w:r>
        <w:rPr>
          <w:rFonts w:ascii="Arial" w:hAnsi="Arial" w:eastAsia="PingFang SC"/>
          <w:b/>
          <w:color w:val="3E7978"/>
          <w:sz w:val="24"/>
        </w:rPr>
        <w:t>AI 科研实践　·　民族药研究　·　医学 AI 产品与数据协作</w:t>
      </w:r>
    </w:p>
    <w:p>
      <w:pPr>
        <w:spacing w:after="80"/>
        <w:jc w:val="center"/>
      </w:pPr>
      <w:r>
        <w:rPr>
          <w:rFonts w:ascii="Arial" w:hAnsi="Arial" w:eastAsia="PingFang SC"/>
          <w:b w:val="0"/>
          <w:color w:val="657084"/>
          <w:sz w:val="19"/>
        </w:rPr>
        <w:t>湖北中医药大学｜针灸骨伤学院｜中医骨伤科学本科二年级｜来自新疆｜约三年 AI 实践</w:t>
      </w:r>
    </w:p>
    <w:p>
      <w:pPr>
        <w:spacing w:before="120" w:after="40"/>
        <w:pBdr>
          <w:bottom w:val="single" w:sz="5" w:space="2" w:color="D9E1EA"/>
        </w:pBdr>
      </w:pPr>
      <w:r>
        <w:rPr>
          <w:rFonts w:ascii="Arial" w:hAnsi="Arial" w:eastAsia="PingFang SC"/>
          <w:b/>
          <w:color w:val="3E7978"/>
          <w:sz w:val="24"/>
        </w:rPr>
        <w:t>个人简介</w:t>
      </w:r>
    </w:p>
    <w:p>
      <w:pPr>
        <w:spacing w:after="40"/>
      </w:pPr>
      <w:r>
        <w:rPr>
          <w:rFonts w:ascii="Arial" w:hAnsi="Arial" w:eastAsia="PingFang SC"/>
          <w:b w:val="0"/>
          <w:color w:val="34445A"/>
          <w:sz w:val="19"/>
        </w:rPr>
        <w:t>我在湖北中医药大学读中医骨伤科学，来自新疆。过去三年，我一边学医学，一边持续用 AI 做研究、产品和创新项目。从整理一篇文献、画清一条证据关系，到把一个想法做成可操作的网页，我习惯把任务拆开、把过程留下来，再回到原文、数据和页面逐项检查。现在最想继续深耕的是维吾尔民族药研究：把分散的药材与药理线索整理成能回查、能讨论、能继续验证的研究材料。</w:t>
      </w:r>
    </w:p>
    <w:p>
      <w:pPr>
        <w:spacing w:before="120" w:after="40"/>
        <w:pBdr>
          <w:bottom w:val="single" w:sz="5" w:space="2" w:color="D9E1EA"/>
        </w:pBdr>
      </w:pPr>
      <w:r>
        <w:rPr>
          <w:rFonts w:ascii="Arial" w:hAnsi="Arial" w:eastAsia="PingFang SC"/>
          <w:b/>
          <w:color w:val="3E7978"/>
          <w:sz w:val="24"/>
        </w:rPr>
        <w:t>AI 实践能力｜把问题推进到可检查的交付</w:t>
      </w:r>
    </w:p>
    <w:p>
      <w:pPr>
        <w:spacing w:after="32"/>
        <w:ind w:left="187" w:hanging="158"/>
      </w:pPr>
      <w:r>
        <w:rPr>
          <w:rFonts w:ascii="Arial" w:hAnsi="Arial" w:eastAsia="PingFang SC"/>
          <w:b/>
          <w:color w:val="B98844"/>
          <w:sz w:val="20"/>
        </w:rPr>
        <w:t xml:space="preserve">• </w:t>
      </w:r>
      <w:r>
        <w:rPr>
          <w:rFonts w:ascii="Arial" w:hAnsi="Arial" w:eastAsia="PingFang SC"/>
          <w:b/>
          <w:color w:val="203C67"/>
          <w:sz w:val="20"/>
        </w:rPr>
        <w:t>LLM 与多模型协作</w:t>
      </w:r>
      <w:r>
        <w:rPr>
          <w:rFonts w:ascii="Arial" w:hAnsi="Arial" w:eastAsia="PingFang SC"/>
          <w:b w:val="0"/>
          <w:color w:val="34445A"/>
          <w:sz w:val="19"/>
        </w:rPr>
        <w:t xml:space="preserve">  根据任务选择 ChatGPT、Codex、Rosalind 等大模型与工具：用模型比较方案、梳理文献、写代码和整理材料；通过提示设计、上下文组织和多轮追问把宽泛需求收敛成可交付结果，并回到原文、数据、运行情况和页面表现逐项核对。</w:t>
      </w:r>
    </w:p>
    <w:p>
      <w:pPr>
        <w:spacing w:after="32"/>
        <w:ind w:left="187" w:hanging="158"/>
      </w:pPr>
      <w:r>
        <w:rPr>
          <w:rFonts w:ascii="Arial" w:hAnsi="Arial" w:eastAsia="PingFang SC"/>
          <w:b/>
          <w:color w:val="B98844"/>
          <w:sz w:val="20"/>
        </w:rPr>
        <w:t xml:space="preserve">• </w:t>
      </w:r>
      <w:r>
        <w:rPr>
          <w:rFonts w:ascii="Arial" w:hAnsi="Arial" w:eastAsia="PingFang SC"/>
          <w:b/>
          <w:color w:val="203C67"/>
          <w:sz w:val="20"/>
        </w:rPr>
        <w:t>Agent 与 Harness 工作流</w:t>
      </w:r>
      <w:r>
        <w:rPr>
          <w:rFonts w:ascii="Arial" w:hAnsi="Arial" w:eastAsia="PingFang SC"/>
          <w:b w:val="0"/>
          <w:color w:val="34445A"/>
          <w:sz w:val="19"/>
        </w:rPr>
        <w:t xml:space="preserve">  理解 Agent 的模型、上下文、工具调用、任务状态和人工检查点；把复杂工作拆成可追踪步骤。会用清晰任务说明、输出格式、检查清单和迭代记录组织模型协作；在研究整理与网页项目中复核来源、功能和异常，减少“生成了就算完成”的情况。</w:t>
      </w:r>
    </w:p>
    <w:p>
      <w:pPr>
        <w:spacing w:after="32"/>
        <w:ind w:left="187" w:hanging="158"/>
      </w:pPr>
      <w:r>
        <w:rPr>
          <w:rFonts w:ascii="Arial" w:hAnsi="Arial" w:eastAsia="PingFang SC"/>
          <w:b/>
          <w:color w:val="B98844"/>
          <w:sz w:val="20"/>
        </w:rPr>
        <w:t xml:space="preserve">• </w:t>
      </w:r>
      <w:r>
        <w:rPr>
          <w:rFonts w:ascii="Arial" w:hAnsi="Arial" w:eastAsia="PingFang SC"/>
          <w:b/>
          <w:color w:val="203C67"/>
          <w:sz w:val="20"/>
        </w:rPr>
        <w:t>AIGC 与前沿方向跟进</w:t>
      </w:r>
      <w:r>
        <w:rPr>
          <w:rFonts w:ascii="Arial" w:hAnsi="Arial" w:eastAsia="PingFang SC"/>
          <w:b w:val="0"/>
          <w:color w:val="34445A"/>
          <w:sz w:val="19"/>
        </w:rPr>
        <w:t xml:space="preserve">  用生成式图像工具辅助艾特莱斯纹样创意探索、项目视觉表达和网页素材构思；持续跟进 FD、Agent、LLM、Harness、AIGC 等 AI 前沿议题，理解其适用任务与基本工作方式，能把新概念拆成小任务或原型，再用项目结果判断是否值得继续。</w:t>
      </w:r>
    </w:p>
    <w:p>
      <w:pPr>
        <w:spacing w:after="32"/>
        <w:ind w:left="187" w:hanging="158"/>
      </w:pPr>
      <w:r>
        <w:rPr>
          <w:rFonts w:ascii="Arial" w:hAnsi="Arial" w:eastAsia="PingFang SC"/>
          <w:b/>
          <w:color w:val="B98844"/>
          <w:sz w:val="20"/>
        </w:rPr>
        <w:t xml:space="preserve">• </w:t>
      </w:r>
      <w:r>
        <w:rPr>
          <w:rFonts w:ascii="Arial" w:hAnsi="Arial" w:eastAsia="PingFang SC"/>
          <w:b/>
          <w:color w:val="203C67"/>
          <w:sz w:val="20"/>
        </w:rPr>
        <w:t>模型输出复核与轻量 Harness</w:t>
      </w:r>
      <w:r>
        <w:rPr>
          <w:rFonts w:ascii="Arial" w:hAnsi="Arial" w:eastAsia="PingFang SC"/>
          <w:b w:val="0"/>
          <w:color w:val="34445A"/>
          <w:sz w:val="19"/>
        </w:rPr>
        <w:t xml:space="preserve">  围绕目标、输入、输出格式和验收点组织模型任务；保留来源、运行记录、边界条件和修改过程。研究整理时回查文献，产品原型时逐项点测页面，把“看起来合理”继续推进到“有依据、能运行、可复查”。</w:t>
      </w:r>
    </w:p>
    <w:p>
      <w:pPr>
        <w:spacing w:after="32"/>
        <w:ind w:left="187" w:hanging="158"/>
      </w:pPr>
      <w:r>
        <w:rPr>
          <w:rFonts w:ascii="Arial" w:hAnsi="Arial" w:eastAsia="PingFang SC"/>
          <w:b/>
          <w:color w:val="B98844"/>
          <w:sz w:val="20"/>
        </w:rPr>
        <w:t xml:space="preserve">• </w:t>
      </w:r>
      <w:r>
        <w:rPr>
          <w:rFonts w:ascii="Arial" w:hAnsi="Arial" w:eastAsia="PingFang SC"/>
          <w:b/>
          <w:color w:val="203C67"/>
          <w:sz w:val="20"/>
        </w:rPr>
        <w:t>AI 辅助开发与完整原型</w:t>
      </w:r>
      <w:r>
        <w:rPr>
          <w:rFonts w:ascii="Arial" w:hAnsi="Arial" w:eastAsia="PingFang SC"/>
          <w:b w:val="0"/>
          <w:color w:val="34445A"/>
          <w:sz w:val="19"/>
        </w:rPr>
        <w:t xml:space="preserve">  把自然语言需求拆成页面、组件、交互和验收标准，与 Codex 多轮协作编写、调试 HTML / CSS / JavaScript 与 React / Next.js；做过疼痛病例助手、本草数字标本馆、ResearchOS 工作台、康复动作演示和个人作品集，能从空白需求推进到可打开、可演示、可继续修改的网页。</w:t>
      </w:r>
    </w:p>
    <w:p>
      <w:pPr>
        <w:spacing w:after="32"/>
        <w:ind w:left="187" w:hanging="158"/>
      </w:pPr>
      <w:r>
        <w:rPr>
          <w:rFonts w:ascii="Arial" w:hAnsi="Arial" w:eastAsia="PingFang SC"/>
          <w:b/>
          <w:color w:val="B98844"/>
          <w:sz w:val="20"/>
        </w:rPr>
        <w:t xml:space="preserve">• </w:t>
      </w:r>
      <w:r>
        <w:rPr>
          <w:rFonts w:ascii="Arial" w:hAnsi="Arial" w:eastAsia="PingFang SC"/>
          <w:b/>
          <w:color w:val="203C67"/>
          <w:sz w:val="20"/>
        </w:rPr>
        <w:t>民族药研究与证据整理</w:t>
      </w:r>
      <w:r>
        <w:rPr>
          <w:rFonts w:ascii="Arial" w:hAnsi="Arial" w:eastAsia="PingFang SC"/>
          <w:b w:val="0"/>
          <w:color w:val="34445A"/>
          <w:sz w:val="19"/>
        </w:rPr>
        <w:t xml:space="preserve">  围绕药材、制备条件、成分、靶点、效应和研究对象建立结构化记录；使用 AI 辅助检索与抽取，同时区分实验结果、数据库关联和计算预测，保留原文位置、证据类别与待查缺口。</w:t>
      </w:r>
    </w:p>
    <w:p>
      <w:pPr>
        <w:spacing w:after="32"/>
        <w:ind w:left="187" w:hanging="158"/>
      </w:pPr>
      <w:r>
        <w:rPr>
          <w:rFonts w:ascii="Arial" w:hAnsi="Arial" w:eastAsia="PingFang SC"/>
          <w:b/>
          <w:color w:val="B98844"/>
          <w:sz w:val="20"/>
        </w:rPr>
        <w:t xml:space="preserve">• </w:t>
      </w:r>
      <w:r>
        <w:rPr>
          <w:rFonts w:ascii="Arial" w:hAnsi="Arial" w:eastAsia="PingFang SC"/>
          <w:b/>
          <w:color w:val="203C67"/>
          <w:sz w:val="20"/>
        </w:rPr>
        <w:t>科研数据与分析协作</w:t>
      </w:r>
      <w:r>
        <w:rPr>
          <w:rFonts w:ascii="Arial" w:hAnsi="Arial" w:eastAsia="PingFang SC"/>
          <w:b w:val="0"/>
          <w:color w:val="34445A"/>
          <w:sz w:val="19"/>
        </w:rPr>
        <w:t xml:space="preserve">  参与胃癌混合代谢组学工作，协作维护 R / Python 脚本、差异结果、NMF 模块、图表与外部队列验证材料；把分析输入、处理步骤、结果图表整理在一起，方便团队复核和继续分析。</w:t>
      </w:r>
    </w:p>
    <w:p>
      <w:pPr>
        <w:spacing w:after="32"/>
        <w:ind w:left="187" w:hanging="158"/>
      </w:pPr>
      <w:r>
        <w:rPr>
          <w:rFonts w:ascii="Arial" w:hAnsi="Arial" w:eastAsia="PingFang SC"/>
          <w:b/>
          <w:color w:val="B98844"/>
          <w:sz w:val="20"/>
        </w:rPr>
        <w:t xml:space="preserve">• </w:t>
      </w:r>
      <w:r>
        <w:rPr>
          <w:rFonts w:ascii="Arial" w:hAnsi="Arial" w:eastAsia="PingFang SC"/>
          <w:b/>
          <w:color w:val="203C67"/>
          <w:sz w:val="20"/>
        </w:rPr>
        <w:t>产品设计与跨角色推进</w:t>
      </w:r>
      <w:r>
        <w:rPr>
          <w:rFonts w:ascii="Arial" w:hAnsi="Arial" w:eastAsia="PingFang SC"/>
          <w:b w:val="0"/>
          <w:color w:val="34445A"/>
          <w:sz w:val="19"/>
        </w:rPr>
        <w:t xml:space="preserve">  从村医、患者和研究者的使用任务出发，拆解需求字段和流程；把研究整理、产品实现、视觉检查与内容审阅分步推进，再合并意见、逐项验收，产出网页、方案、展示材料和后续任务清单。</w:t>
      </w:r>
    </w:p>
    <w:p>
      <w:r>
        <w:br w:type="page"/>
      </w:r>
    </w:p>
    <w:p>
      <w:pPr>
        <w:spacing w:before="120" w:after="40"/>
        <w:pBdr>
          <w:bottom w:val="single" w:sz="5" w:space="2" w:color="D9E1EA"/>
        </w:pBdr>
      </w:pPr>
      <w:r>
        <w:rPr>
          <w:rFonts w:ascii="Arial" w:hAnsi="Arial" w:eastAsia="PingFang SC"/>
          <w:b/>
          <w:color w:val="3E7978"/>
          <w:sz w:val="24"/>
        </w:rPr>
        <w:t>代表项目｜从研究问题到可交付成果</w:t>
      </w:r>
    </w:p>
    <w:p>
      <w:pPr>
        <w:spacing w:after="32"/>
        <w:ind w:left="187" w:hanging="158"/>
      </w:pPr>
      <w:r>
        <w:rPr>
          <w:rFonts w:ascii="Arial" w:hAnsi="Arial" w:eastAsia="PingFang SC"/>
          <w:b/>
          <w:color w:val="B98844"/>
          <w:sz w:val="20"/>
        </w:rPr>
        <w:t xml:space="preserve">• </w:t>
      </w:r>
      <w:r>
        <w:rPr>
          <w:rFonts w:ascii="Arial" w:hAnsi="Arial" w:eastAsia="PingFang SC"/>
          <w:b/>
          <w:color w:val="203C67"/>
          <w:sz w:val="20"/>
        </w:rPr>
        <w:t>TRACE-EM｜阿里红 × 非小细胞肺癌证据图谱</w:t>
      </w:r>
      <w:r>
        <w:rPr>
          <w:rFonts w:ascii="Arial" w:hAnsi="Arial" w:eastAsia="PingFang SC"/>
          <w:b w:val="0"/>
          <w:color w:val="3E7978"/>
          <w:sz w:val="18"/>
        </w:rPr>
        <w:t>｜在研</w:t>
      </w:r>
      <w:r>
        <w:rPr>
          <w:rFonts w:ascii="Arial" w:hAnsi="Arial" w:eastAsia="PingFang SC"/>
          <w:b w:val="0"/>
          <w:color w:val="34445A"/>
          <w:sz w:val="19"/>
        </w:rPr>
        <w:t xml:space="preserve">  参与构建药材—成分—靶点—效应候选关系，保留来源和证据类别；一轮内部工作集记录 77 条候选关系，5 条缺少直接证据的候选轴标为“暂不判断”，形成可追溯的后续查证清单。</w:t>
      </w:r>
    </w:p>
    <w:p>
      <w:pPr>
        <w:spacing w:after="32"/>
        <w:ind w:left="187" w:hanging="158"/>
      </w:pPr>
      <w:r>
        <w:rPr>
          <w:rFonts w:ascii="Arial" w:hAnsi="Arial" w:eastAsia="PingFang SC"/>
          <w:b/>
          <w:color w:val="B98844"/>
          <w:sz w:val="20"/>
        </w:rPr>
        <w:t xml:space="preserve">• </w:t>
      </w:r>
      <w:r>
        <w:rPr>
          <w:rFonts w:ascii="Arial" w:hAnsi="Arial" w:eastAsia="PingFang SC"/>
          <w:b/>
          <w:color w:val="203C67"/>
          <w:sz w:val="20"/>
        </w:rPr>
        <w:t>EthnoEvidence｜民族药理证据门控方法</w:t>
      </w:r>
      <w:r>
        <w:rPr>
          <w:rFonts w:ascii="Arial" w:hAnsi="Arial" w:eastAsia="PingFang SC"/>
          <w:b w:val="0"/>
          <w:color w:val="3E7978"/>
          <w:sz w:val="18"/>
        </w:rPr>
        <w:t>｜内部审阅</w:t>
      </w:r>
      <w:r>
        <w:rPr>
          <w:rFonts w:ascii="Arial" w:hAnsi="Arial" w:eastAsia="PingFang SC"/>
          <w:b w:val="0"/>
          <w:color w:val="34445A"/>
          <w:sz w:val="19"/>
        </w:rPr>
        <w:t xml:space="preserve">  参与证据台账与方法稿迭代，记录研究对象、方法、时间和原文结果位置；关注证据稀疏、时间信息泄漏与候选优先级复核。</w:t>
      </w:r>
    </w:p>
    <w:p>
      <w:pPr>
        <w:spacing w:after="32"/>
        <w:ind w:left="187" w:hanging="158"/>
      </w:pPr>
      <w:r>
        <w:rPr>
          <w:rFonts w:ascii="Arial" w:hAnsi="Arial" w:eastAsia="PingFang SC"/>
          <w:b/>
          <w:color w:val="B98844"/>
          <w:sz w:val="20"/>
        </w:rPr>
        <w:t xml:space="preserve">• </w:t>
      </w:r>
      <w:r>
        <w:rPr>
          <w:rFonts w:ascii="Arial" w:hAnsi="Arial" w:eastAsia="PingFang SC"/>
          <w:b/>
          <w:color w:val="203C67"/>
          <w:sz w:val="20"/>
        </w:rPr>
        <w:t>新疆和田药项目</w:t>
      </w:r>
      <w:r>
        <w:rPr>
          <w:rFonts w:ascii="Arial" w:hAnsi="Arial" w:eastAsia="PingFang SC"/>
          <w:b w:val="0"/>
          <w:color w:val="3E7978"/>
          <w:sz w:val="18"/>
        </w:rPr>
        <w:t>｜项目负责人</w:t>
      </w:r>
      <w:r>
        <w:rPr>
          <w:rFonts w:ascii="Arial" w:hAnsi="Arial" w:eastAsia="PingFang SC"/>
          <w:b w:val="0"/>
          <w:color w:val="34445A"/>
          <w:sz w:val="19"/>
        </w:rPr>
        <w:t xml:space="preserve">  担任和田药材与维吾尔民族医药方向“金种子”国家级立项项目负责人，统筹项目主题、材料与实践方向；在和田药茶项目交流中，与中国工程院院士阿吉艾克拜尔·艾萨探讨民族药与 AI 发展前景，探索方向获得肯定。</w:t>
      </w:r>
    </w:p>
    <w:p>
      <w:pPr>
        <w:spacing w:after="32"/>
        <w:ind w:left="187" w:hanging="158"/>
      </w:pPr>
      <w:r>
        <w:rPr>
          <w:rFonts w:ascii="Arial" w:hAnsi="Arial" w:eastAsia="PingFang SC"/>
          <w:b/>
          <w:color w:val="B98844"/>
          <w:sz w:val="20"/>
        </w:rPr>
        <w:t xml:space="preserve">• </w:t>
      </w:r>
      <w:r>
        <w:rPr>
          <w:rFonts w:ascii="Arial" w:hAnsi="Arial" w:eastAsia="PingFang SC"/>
          <w:b/>
          <w:color w:val="203C67"/>
          <w:sz w:val="20"/>
        </w:rPr>
        <w:t>乡村 AI 医疗｜疼痛病例助手</w:t>
      </w:r>
      <w:r>
        <w:rPr>
          <w:rFonts w:ascii="Arial" w:hAnsi="Arial" w:eastAsia="PingFang SC"/>
          <w:b w:val="0"/>
          <w:color w:val="3E7978"/>
          <w:sz w:val="18"/>
        </w:rPr>
        <w:t>｜省级获奖项目</w:t>
      </w:r>
      <w:r>
        <w:rPr>
          <w:rFonts w:ascii="Arial" w:hAnsi="Arial" w:eastAsia="PingFang SC"/>
          <w:b w:val="0"/>
          <w:color w:val="34445A"/>
          <w:sz w:val="19"/>
        </w:rPr>
        <w:t xml:space="preserve">  把村医记录疼痛病例的需求整理为问诊字段、页面顺序和病例记录流程，制作网页交互原型。</w:t>
      </w:r>
    </w:p>
    <w:p>
      <w:pPr>
        <w:spacing w:after="32"/>
        <w:ind w:left="187" w:hanging="158"/>
      </w:pPr>
      <w:r>
        <w:rPr>
          <w:rFonts w:ascii="Arial" w:hAnsi="Arial" w:eastAsia="PingFang SC"/>
          <w:b/>
          <w:color w:val="B98844"/>
          <w:sz w:val="20"/>
        </w:rPr>
        <w:t xml:space="preserve">• </w:t>
      </w:r>
      <w:r>
        <w:rPr>
          <w:rFonts w:ascii="Arial" w:hAnsi="Arial" w:eastAsia="PingFang SC"/>
          <w:b/>
          <w:color w:val="203C67"/>
          <w:sz w:val="20"/>
        </w:rPr>
        <w:t>本草数字标本馆｜数字内容与网页实现</w:t>
      </w:r>
      <w:r>
        <w:rPr>
          <w:rFonts w:ascii="Arial" w:hAnsi="Arial" w:eastAsia="PingFang SC"/>
          <w:b w:val="0"/>
          <w:color w:val="3E7978"/>
          <w:sz w:val="18"/>
        </w:rPr>
        <w:t>｜网页已上线</w:t>
      </w:r>
      <w:r>
        <w:rPr>
          <w:rFonts w:ascii="Arial" w:hAnsi="Arial" w:eastAsia="PingFang SC"/>
          <w:b w:val="0"/>
          <w:color w:val="34445A"/>
          <w:sz w:val="19"/>
        </w:rPr>
        <w:t xml:space="preserve">  协助整理本草条目，核对药材卡片与 GLB 三维模型入口，并检查线上资源路径和页面发布。</w:t>
      </w:r>
    </w:p>
    <w:p>
      <w:pPr>
        <w:spacing w:after="32"/>
        <w:ind w:left="187" w:hanging="158"/>
      </w:pPr>
      <w:r>
        <w:rPr>
          <w:rFonts w:ascii="Arial" w:hAnsi="Arial" w:eastAsia="PingFang SC"/>
          <w:b/>
          <w:color w:val="B98844"/>
          <w:sz w:val="20"/>
        </w:rPr>
        <w:t xml:space="preserve">• </w:t>
      </w:r>
      <w:r>
        <w:rPr>
          <w:rFonts w:ascii="Arial" w:hAnsi="Arial" w:eastAsia="PingFang SC"/>
          <w:b/>
          <w:color w:val="203C67"/>
          <w:sz w:val="20"/>
        </w:rPr>
        <w:t>胃癌混合代谢组学｜分析协作</w:t>
      </w:r>
      <w:r>
        <w:rPr>
          <w:rFonts w:ascii="Arial" w:hAnsi="Arial" w:eastAsia="PingFang SC"/>
          <w:b w:val="0"/>
          <w:color w:val="3E7978"/>
          <w:sz w:val="18"/>
        </w:rPr>
        <w:t>｜团队协作</w:t>
      </w:r>
      <w:r>
        <w:rPr>
          <w:rFonts w:ascii="Arial" w:hAnsi="Arial" w:eastAsia="PingFang SC"/>
          <w:b w:val="0"/>
          <w:color w:val="34445A"/>
          <w:sz w:val="19"/>
        </w:rPr>
        <w:t xml:space="preserve">  协同维护分析脚本、差异结果、NMF 模块图及外部队列验证材料，帮助团队对应分析过程与结果。</w:t>
      </w:r>
    </w:p>
    <w:p>
      <w:pPr>
        <w:spacing w:after="32"/>
        <w:ind w:left="187" w:hanging="158"/>
      </w:pPr>
      <w:r>
        <w:rPr>
          <w:rFonts w:ascii="Arial" w:hAnsi="Arial" w:eastAsia="PingFang SC"/>
          <w:b/>
          <w:color w:val="B98844"/>
          <w:sz w:val="20"/>
        </w:rPr>
        <w:t xml:space="preserve">• </w:t>
      </w:r>
      <w:r>
        <w:rPr>
          <w:rFonts w:ascii="Arial" w:hAnsi="Arial" w:eastAsia="PingFang SC"/>
          <w:b/>
          <w:color w:val="203C67"/>
          <w:sz w:val="20"/>
        </w:rPr>
        <w:t>其他项目</w:t>
      </w:r>
      <w:r>
        <w:rPr>
          <w:rFonts w:ascii="Arial" w:hAnsi="Arial" w:eastAsia="PingFang SC"/>
          <w:b w:val="0"/>
          <w:color w:val="34445A"/>
          <w:sz w:val="19"/>
        </w:rPr>
        <w:t xml:space="preserve">  同源康复动作演示、时珍骨镜产品方案、昆仑之水和田药茶网站、知三屿小程序、宠物照护 Agent、AI 小程序模板编辑器等；作品集中共整理 15 条项目记录，涵盖在研课题、原型、方案与设计实践。</w:t>
      </w:r>
    </w:p>
    <w:p>
      <w:pPr>
        <w:spacing w:before="120" w:after="40"/>
        <w:pBdr>
          <w:bottom w:val="single" w:sz="5" w:space="2" w:color="D9E1EA"/>
        </w:pBdr>
      </w:pPr>
      <w:r>
        <w:rPr>
          <w:rFonts w:ascii="Arial" w:hAnsi="Arial" w:eastAsia="PingFang SC"/>
          <w:b/>
          <w:color w:val="3E7978"/>
          <w:sz w:val="24"/>
        </w:rPr>
        <w:t>主课题｜把民族药线索整理成可验证的问题</w:t>
      </w:r>
    </w:p>
    <w:p>
      <w:pPr>
        <w:spacing w:after="40"/>
      </w:pPr>
      <w:r>
        <w:rPr>
          <w:rFonts w:ascii="Arial" w:hAnsi="Arial" w:eastAsia="PingFang SC"/>
          <w:b w:val="0"/>
          <w:color w:val="34445A"/>
          <w:sz w:val="19"/>
        </w:rPr>
        <w:t>我关注的是：一味药材、它的制备方式、成分、作用靶点和研究效应之间，哪些联系有实验或文献支持，哪些只是数据库关联或计算预测。工作时先把每条线索连回原始来源，标清证据类型；证据不够就写“暂不判断”，再按证据完整度和研究价值排出下一步查证顺序。这样做的目标，是帮助团队更快找到值得讨论和验证的问题，而不是把模型推测写成已经证实的药理机制。</w:t>
      </w:r>
    </w:p>
    <w:p>
      <w:pPr>
        <w:spacing w:before="120" w:after="40"/>
        <w:pBdr>
          <w:bottom w:val="single" w:sz="5" w:space="2" w:color="D9E1EA"/>
        </w:pBdr>
      </w:pPr>
      <w:r>
        <w:rPr>
          <w:rFonts w:ascii="Arial" w:hAnsi="Arial" w:eastAsia="PingFang SC"/>
          <w:b/>
          <w:color w:val="3E7978"/>
          <w:sz w:val="24"/>
        </w:rPr>
        <w:t>竞赛、研究写作与教育</w:t>
      </w:r>
    </w:p>
    <w:p>
      <w:pPr>
        <w:spacing w:after="32"/>
        <w:ind w:left="187" w:hanging="158"/>
      </w:pPr>
      <w:r>
        <w:rPr>
          <w:rFonts w:ascii="Arial" w:hAnsi="Arial" w:eastAsia="PingFang SC"/>
          <w:b/>
          <w:color w:val="B98844"/>
          <w:sz w:val="20"/>
        </w:rPr>
        <w:t xml:space="preserve">• </w:t>
      </w:r>
      <w:r>
        <w:rPr>
          <w:rFonts w:ascii="Arial" w:hAnsi="Arial" w:eastAsia="PingFang SC"/>
          <w:b/>
          <w:color w:val="203C67"/>
          <w:sz w:val="20"/>
        </w:rPr>
        <w:t>挑战杯省级奖项</w:t>
      </w:r>
      <w:r>
        <w:rPr>
          <w:rFonts w:ascii="Arial" w:hAnsi="Arial" w:eastAsia="PingFang SC"/>
          <w:b w:val="0"/>
          <w:color w:val="34445A"/>
          <w:sz w:val="19"/>
        </w:rPr>
        <w:t xml:space="preserve">  预科期间参与维吾尔艾特莱斯丝绸 AI 纹样设计与创新项目。</w:t>
      </w:r>
    </w:p>
    <w:p>
      <w:pPr>
        <w:spacing w:after="32"/>
        <w:ind w:left="187" w:hanging="158"/>
      </w:pPr>
      <w:r>
        <w:rPr>
          <w:rFonts w:ascii="Arial" w:hAnsi="Arial" w:eastAsia="PingFang SC"/>
          <w:b/>
          <w:color w:val="B98844"/>
          <w:sz w:val="20"/>
        </w:rPr>
        <w:t xml:space="preserve">• </w:t>
      </w:r>
      <w:r>
        <w:rPr>
          <w:rFonts w:ascii="Arial" w:hAnsi="Arial" w:eastAsia="PingFang SC"/>
          <w:b/>
          <w:color w:val="203C67"/>
          <w:sz w:val="20"/>
        </w:rPr>
        <w:t>大学生创新创业大赛省级奖项</w:t>
      </w:r>
      <w:r>
        <w:rPr>
          <w:rFonts w:ascii="Arial" w:hAnsi="Arial" w:eastAsia="PingFang SC"/>
          <w:b w:val="0"/>
          <w:color w:val="34445A"/>
          <w:sz w:val="19"/>
        </w:rPr>
        <w:t xml:space="preserve">  2026 年乡村 AI 医疗项目获省级奖项。</w:t>
      </w:r>
    </w:p>
    <w:p>
      <w:pPr>
        <w:spacing w:after="32"/>
        <w:ind w:left="187" w:hanging="158"/>
      </w:pPr>
      <w:r>
        <w:rPr>
          <w:rFonts w:ascii="Arial" w:hAnsi="Arial" w:eastAsia="PingFang SC"/>
          <w:b/>
          <w:color w:val="B98844"/>
          <w:sz w:val="20"/>
        </w:rPr>
        <w:t xml:space="preserve">• </w:t>
      </w:r>
      <w:r>
        <w:rPr>
          <w:rFonts w:ascii="Arial" w:hAnsi="Arial" w:eastAsia="PingFang SC"/>
          <w:b/>
          <w:color w:val="203C67"/>
          <w:sz w:val="20"/>
        </w:rPr>
        <w:t>三项研究写作 / 分析工作</w:t>
      </w:r>
      <w:r>
        <w:rPr>
          <w:rFonts w:ascii="Arial" w:hAnsi="Arial" w:eastAsia="PingFang SC"/>
          <w:b w:val="0"/>
          <w:color w:val="34445A"/>
          <w:sz w:val="19"/>
        </w:rPr>
        <w:t xml:space="preserve">  维吾尔民族药 AI 综述（写作中）；民族药复方与胃癌细胞状态研究（分析与稿件迭代）；证据门控的民族药靶点优先级方法（内部审阅稿，聚焦证据稀疏、时间信息泄漏和候选排序复核）。</w:t>
      </w:r>
    </w:p>
    <w:p>
      <w:pPr>
        <w:spacing w:after="20"/>
      </w:pPr>
      <w:r>
        <w:rPr>
          <w:rFonts w:ascii="Arial" w:hAnsi="Arial" w:eastAsia="PingFang SC"/>
          <w:b/>
          <w:color w:val="3E7978"/>
          <w:sz w:val="19"/>
        </w:rPr>
        <w:t>工具与方法：</w:t>
      </w:r>
      <w:r>
        <w:rPr>
          <w:rFonts w:ascii="Arial" w:hAnsi="Arial" w:eastAsia="PingFang SC"/>
          <w:b w:val="0"/>
          <w:color w:val="34445A"/>
          <w:sz w:val="19"/>
        </w:rPr>
        <w:t>LLM 多模型协作、Agent 工作流拆解、Harness 式任务与结果复核、AIGC 视觉探索、FD 等前沿方向跟进；ChatGPT、Codex、Rosalind Workbench；Python、R、HTML / CSS / JavaScript、React / Next.js；提示设计、上下文组织、文献结构化与来源回查。</w:t>
      </w:r>
    </w:p>
    <w:p>
      <w:pPr>
        <w:spacing w:after="0"/>
      </w:pPr>
      <w:r>
        <w:rPr>
          <w:rFonts w:ascii="Arial" w:hAnsi="Arial" w:eastAsia="PingFang SC"/>
          <w:b/>
          <w:color w:val="3E7978"/>
          <w:sz w:val="19"/>
        </w:rPr>
        <w:t>实习意向：</w:t>
      </w:r>
      <w:r>
        <w:rPr>
          <w:rFonts w:ascii="Arial" w:hAnsi="Arial" w:eastAsia="PingFang SC"/>
          <w:b w:val="0"/>
          <w:color w:val="34445A"/>
          <w:sz w:val="19"/>
        </w:rPr>
        <w:t>AI 科研助理、民族药研究助理、生命科学数据或医疗 AI 产品实习；可承担文献与证据整理、项目资料结构化、原型迭代和模型输出复核。本科在读可参加，有薪优先，远程或武汉线下均可。</w:t>
      </w:r>
    </w:p>
    <w:sectPr w:rsidR="00FC693F" w:rsidRPr="0006063C" w:rsidSect="00034616">
      <w:footerReference w:type="default" r:id="rId9"/>
      <w:pgSz w:w="11909" w:h="16834"/>
      <w:pgMar w:top="605" w:right="835" w:bottom="576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PingFang SC"/>
        <w:b w:val="0"/>
        <w:color w:val="657084"/>
        <w:sz w:val="15"/>
      </w:rPr>
      <w:t>许库兰·阿不都许库尔　·　AI 科研 × 民族药研究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2" w:line="254" w:lineRule="auto"/>
    </w:pPr>
    <w:rPr>
      <w:rFonts w:ascii="Arial" w:hAnsi="Arial" w:eastAsia="PingFang SC"/>
      <w:color w:val="34445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