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000000"/>
        </w:rPr>
        <w:t>极端气候下粮食生产风险核心因子识别与韧性提升可视化决策系统操作手册</w:t>
      </w:r>
    </w:p>
    <w:p>
      <w:pPr>
        <w:pStyle w:val="Heading2"/>
      </w:pPr>
      <w:r>
        <w:rPr>
          <w:color w:val="000000"/>
        </w:rPr>
        <w:t>一、相关文档</w:t>
      </w:r>
    </w:p>
    <w:tbl>
      <w:tblPr>
        <w:tblStyle w:val="TableGrid"/>
        <w:tblW w:type="auto" w:w="0"/>
        <w:tblLook w:firstColumn="1" w:firstRow="1" w:lastColumn="0" w:lastRow="0" w:noHBand="0" w:noVBand="1" w:val="04A0"/>
      </w:tblPr>
      <w:tblGrid>
        <w:gridCol w:w="2890"/>
        <w:gridCol w:w="2890"/>
        <w:gridCol w:w="2890"/>
      </w:tblGrid>
      <w:tr>
        <w:tc>
          <w:tcPr>
            <w:tcW w:type="dxa" w:w="2890"/>
          </w:tcPr>
          <w:p>
            <w:r>
              <w:rPr>
                <w:color w:val="000000"/>
              </w:rPr>
              <w:t>文档名称</w:t>
            </w:r>
          </w:p>
        </w:tc>
        <w:tc>
          <w:tcPr>
            <w:tcW w:type="dxa" w:w="2890"/>
          </w:tcPr>
          <w:p>
            <w:r>
              <w:rPr>
                <w:color w:val="000000"/>
              </w:rPr>
              <w:t>指向资料</w:t>
            </w:r>
          </w:p>
        </w:tc>
        <w:tc>
          <w:tcPr>
            <w:tcW w:type="dxa" w:w="2890"/>
          </w:tcPr>
          <w:p>
            <w:r>
              <w:rPr>
                <w:color w:val="000000"/>
              </w:rPr>
              <w:t>说明</w:t>
            </w:r>
          </w:p>
        </w:tc>
      </w:tr>
      <w:tr>
        <w:tc>
          <w:tcPr>
            <w:tcW w:type="dxa" w:w="2890"/>
          </w:tcPr>
          <w:p>
            <w:r>
              <w:rPr>
                <w:color w:val="000000"/>
              </w:rPr>
              <w:t>总体设计</w:t>
            </w:r>
          </w:p>
        </w:tc>
        <w:tc>
          <w:tcPr>
            <w:tcW w:type="dxa" w:w="2890"/>
          </w:tcPr>
          <w:p>
            <w:r>
              <w:rPr>
                <w:color w:val="000000"/>
              </w:rPr>
              <w:t>《总体设计》</w:t>
            </w:r>
          </w:p>
        </w:tc>
        <w:tc>
          <w:tcPr>
            <w:tcW w:type="dxa" w:w="2890"/>
          </w:tcPr>
          <w:p>
            <w:r>
              <w:rPr>
                <w:color w:val="000000"/>
              </w:rPr>
              <w:t>说明软件整体功能、页面组成、运行环境和业务边界。</w:t>
            </w:r>
          </w:p>
        </w:tc>
      </w:tr>
      <w:tr>
        <w:tc>
          <w:tcPr>
            <w:tcW w:type="dxa" w:w="2890"/>
          </w:tcPr>
          <w:p>
            <w:r>
              <w:rPr>
                <w:color w:val="000000"/>
              </w:rPr>
              <w:t>详细设计</w:t>
            </w:r>
          </w:p>
        </w:tc>
        <w:tc>
          <w:tcPr>
            <w:tcW w:type="dxa" w:w="2890"/>
          </w:tcPr>
          <w:p>
            <w:r>
              <w:rPr>
                <w:color w:val="000000"/>
              </w:rPr>
              <w:t>《详细设计》</w:t>
            </w:r>
          </w:p>
        </w:tc>
        <w:tc>
          <w:tcPr>
            <w:tcW w:type="dxa" w:w="2890"/>
          </w:tcPr>
          <w:p>
            <w:r>
              <w:rPr>
                <w:color w:val="000000"/>
              </w:rPr>
              <w:t>说明各功能页面、输入输出、状态变化和处理规则。</w:t>
            </w:r>
          </w:p>
        </w:tc>
      </w:tr>
      <w:tr>
        <w:tc>
          <w:tcPr>
            <w:tcW w:type="dxa" w:w="2890"/>
          </w:tcPr>
          <w:p>
            <w:r>
              <w:rPr>
                <w:color w:val="000000"/>
              </w:rPr>
              <w:t>测试案例</w:t>
            </w:r>
          </w:p>
        </w:tc>
        <w:tc>
          <w:tcPr>
            <w:tcW w:type="dxa" w:w="2890"/>
          </w:tcPr>
          <w:p>
            <w:r>
              <w:rPr>
                <w:color w:val="000000"/>
              </w:rPr>
              <w:t>《测试案例》</w:t>
            </w:r>
          </w:p>
        </w:tc>
        <w:tc>
          <w:tcPr>
            <w:tcW w:type="dxa" w:w="2890"/>
          </w:tcPr>
          <w:p>
            <w:r>
              <w:rPr>
                <w:color w:val="000000"/>
              </w:rPr>
              <w:t>记录主要功能的操作场景、预期结果和异常提示。</w:t>
            </w:r>
          </w:p>
        </w:tc>
      </w:tr>
    </w:tbl>
    <w:p>
      <w:pPr>
        <w:pStyle w:val="Heading2"/>
      </w:pPr>
      <w:r>
        <w:rPr>
          <w:color w:val="000000"/>
        </w:rPr>
        <w:t>二、说明</w:t>
      </w:r>
    </w:p>
    <w:p>
      <w:r>
        <w:rPr>
          <w:rFonts w:ascii="SimSun" w:hAnsi="SimSun" w:eastAsia="SimSun"/>
          <w:color w:val="000000"/>
          <w:sz w:val="21"/>
        </w:rPr>
        <w:t>极端气候下粮食生产风险核心因子识别与韧性提升可视化决策系统 V1.0适用于农业信息化 / 粮食安全决策支持场景。用户进入系统后，可以围绕实际工作内容完成账号进入、业务创建、过程查看、结果确认和资料管理等操作。</w:t>
      </w:r>
    </w:p>
    <w:p>
      <w:r>
        <w:rPr>
          <w:rFonts w:ascii="SimSun" w:hAnsi="SimSun" w:eastAsia="SimSun"/>
          <w:color w:val="000000"/>
          <w:sz w:val="21"/>
        </w:rPr>
        <w:t>日常使用时，省级农业管理部门及政策制定人员、农业科研机构研究人员、高校农业政策研究者、政府涉农决策参谋人员可以按照页面提示从入口进入相应页面，查看当前业务状态，并根据页面中的按钮、输入框、列表或弹窗继续处理。将31省13年(2011-2023)的11维多模态数据与三套机器学习智能服务融合，诚实披露三协议鲁棒性边界(random 8:2 R²=0.907、leave-year-out R²=0.894、leave-province-out中位-16.83)，在省内可解释归因基础上提供参数情景模拟与韧性路径推荐，帮助用户在已知智能服务局限下做出有依据的农业风险管理决策。</w:t>
      </w:r>
    </w:p>
    <w:p>
      <w:r>
        <w:rPr>
          <w:rFonts w:ascii="SimSun" w:hAnsi="SimSun" w:eastAsia="SimSun"/>
          <w:color w:val="000000"/>
          <w:sz w:val="21"/>
        </w:rPr>
        <w:t>极端气候下粮食生产风险核心因子识别与韧性提升可视化决策系统是一套面向省级粮食生产管理的智能分析平台，集成多模态气候-统计-遥感数据，通过XGBoost-SHAP、基线LSTM、Attention-LSTM三智能服务互补归因，识别影响粮食单产的关键风险因子，并为决策者提供可交互的情景推演与韧性路径建议。</w:t>
      </w:r>
    </w:p>
    <w:p>
      <w:r>
        <w:rPr>
          <w:rFonts w:ascii="SimSun" w:hAnsi="SimSun" w:eastAsia="SimSun"/>
          <w:color w:val="000000"/>
          <w:sz w:val="21"/>
        </w:rPr>
        <w:t>本系统面向省级粮食生产风险分析场景，整合气象、致灾、遥感和统计四类数据，通过三套机器学习智能服务对31省历年粮食单产风险进行归因和情景推演。系统采用浏览器访问方式，无需安装客户端软件，通过顶部导航在六个功能模块间切换。</w:t>
      </w:r>
    </w:p>
    <w:p>
      <w:r>
        <w:rPr>
          <w:rFonts w:ascii="SimSun" w:hAnsi="SimSun" w:eastAsia="SimSun"/>
          <w:color w:val="000000"/>
          <w:sz w:val="21"/>
        </w:rPr>
        <w:t>本手册用于说明软件的用途、功能特点、运行要求和页面操作流程。各功能章节按用户能够看到的页面、入口、按钮、输入项、提示信息和处理结果进行说明。</w:t>
      </w:r>
    </w:p>
    <w:p>
      <w:pPr>
        <w:pStyle w:val="Heading2"/>
      </w:pPr>
      <w:r>
        <w:rPr>
          <w:color w:val="000000"/>
        </w:rPr>
        <w:t>三、功能特点</w:t>
      </w:r>
    </w:p>
    <w:p>
      <w:r>
        <w:rPr>
          <w:rFonts w:ascii="SimSun" w:hAnsi="SimSun" w:eastAsia="SimSun"/>
          <w:color w:val="000000"/>
          <w:sz w:val="21"/>
        </w:rPr>
        <w:t>用户可在系统总览页面系统的默认进入页面，集中展示数据规模、三智能服务验证指标和双归因视角的 Top3 对比，帮助用户在进入各分析模块前建立整体认知。页面上的4张 KPI 卡：覆盖省份31、数据样本403、三智能服务random 8:2 R²(XGB 0.907/LSTM 0.886/Attention-LSTM 0.816)、leave-province-out中位R²(-16.83)、XGB-Top3因子芯片(NDVI/降水量/气温)与Attention-Top3(旱灾面积/SPEI/气温)对比区、数据融合进度条：省级统计100%、MODIS遥感100%、CLCD耕地掩膜60%和各分析模块入口卡片（系统总览外的5个模块）会集中呈现当前可操作内容，用户处理完成后可以看到页面加载后各 KPI 卡数值静态展示，数据融合进度条显示当前各数据源就绪百分比，无需用户操作触发数据请求。</w:t>
      </w:r>
    </w:p>
    <w:p>
      <w:r>
        <w:rPr>
          <w:rFonts w:ascii="SimSun" w:hAnsi="SimSun" w:eastAsia="SimSun"/>
          <w:color w:val="000000"/>
          <w:sz w:val="21"/>
        </w:rPr>
        <w:t>在风险时空地图页面中，用户主要处理以省级交互地图呈现31省2011至2023年间各年度粮食生产风险等级的时空分布，并支持查看单省历史产量曲线和当年特征指标。系统把中国省级交互地图，各省按风险分位数着色（绿-低风险至红-高风险）、年份滑块（2011-2023），当前年份标签、右侧省份详情面板：历史产量折线图、当年11维特征数值卡片、风险等级标签、悬停省份时的tooltip：省名、当年风险指数 Y 值和加载状态指示放在当前操作区域，处理结束后会反馈拖动年份滑块后地图着色在数据加载完成后更新；点击省份后右侧面板展示历史折线图，选中省份边界高亮显示。</w:t>
      </w:r>
    </w:p>
    <w:p>
      <w:r>
        <w:rPr>
          <w:rFonts w:ascii="SimSun" w:hAnsi="SimSun" w:eastAsia="SimSun"/>
          <w:color w:val="000000"/>
          <w:sz w:val="21"/>
        </w:rPr>
        <w:t>SHAP归因看板页面关注的是针对选定省份，可视化 XGBoost-SHAP 归因结果，展示11维气候、致灾与管理特征各自对粮食风险的边际贡献方向和量级，支持识别省份风险主控因子。用户通过省份选择器（与其他模块共享选中状态）、11维特征归一化重要性水平柱状图，每条附方向色（绿色=有利因子/红色=有害因子）、特征英文短码与中文名称对照标签、归因视角切换标签：全局 / 农业条件 / 气候因子 / 灾害因子和 Spearman 秩相关提示(-0.055)，说明 XGB 与 Attention 归因互补关系确认当前状态，并在操作结束后获得数据返回后柱状图渲染，方向色区分各因子的利害性；切换归因视角后图表立即响应；省份切换后图表重置并重新加载。</w:t>
      </w:r>
    </w:p>
    <w:p>
      <w:r>
        <w:rPr>
          <w:rFonts w:ascii="SimSun" w:hAnsi="SimSun" w:eastAsia="SimSun"/>
          <w:color w:val="000000"/>
          <w:sz w:val="21"/>
        </w:rPr>
        <w:t>参数情景模拟页面让用户在选定省份的基线数据基础上调节5维关键参数，通过界面即时反馈和系统服务三智能服务确认，评估不同气候和管理干预下的粮食风险变化方向和量级。页面上的省份选择器（共享状态）、5条参数滑块：灌溉率(%)、洪涝占比(%)、日照时数(h)、平均气温(°C)、SPEI干旱指数，每条显示当前值、最小最大范围和调节提示方向、风险指数实时数值面板：界面公式估算值（立即更新）和系统服务三智能服务集成值（异步更新）、ECharts雷达图：叠加展示调参前基线与当前参数下的11维特征偏移和重置基线按钮会集中呈现当前可操作内容，用户处理完成后可以看到拖动滑块后风险指数面板立即更新界面估算值，系统服务结果返回后以实际预测值覆盖并在数值旁显示三智能服务集成标记；雷达图实时跟随滑块变化更新。</w:t>
      </w:r>
    </w:p>
    <w:p>
      <w:r>
        <w:rPr>
          <w:rFonts w:ascii="SimSun" w:hAnsi="SimSun" w:eastAsia="SimSun"/>
          <w:color w:val="000000"/>
          <w:sz w:val="21"/>
        </w:rPr>
        <w:t>在韧性路径推荐页面中，用户主要处理依据省份在关键风险指标上相对全国均值的偏差，由规则引擎生成短期、中期、长期三档行动建议，帮助决策者规划农业韧性提升路径。系统把省份选择器（共享状态）、左侧3项指标卡：当前省份风险指数 Y 与全国均值对比（含百分比偏差箭头）、灌溉率对比、洪涝占比对比、短期行动卡（约1年内）：带优先级标签的建议卡片列表、中期行动卡（约3年内）：带优先级标签的建议卡片列表和长期行动卡（约5年以上）：带优先级标签的建议卡片列表放在当前操作区域，处理结束后会反馈切换省份后建议卡片和指标卡立即更新；行动卡片的描述文本经安全过滤后渲染，支持高亮关键词显示；总预算随行动条数动态计算。</w:t>
      </w:r>
    </w:p>
    <w:p>
      <w:r>
        <w:rPr>
          <w:rFonts w:ascii="SimSun" w:hAnsi="SimSun" w:eastAsia="SimSun"/>
          <w:color w:val="000000"/>
          <w:sz w:val="21"/>
        </w:rPr>
        <w:t>推演监控页面关注的是实时展示M02/M03/M04模块触发的三智能服务推演历史记录，供用户核查历次风险分析的完整输入参数、各智能服务输出值和响应时延。用户通过顶部统计：当前记录总条数、缓冲区占用率（已用/最大50条）、平均响应时延、推演记录表格：触发时间、输入省份、XGBoost预测值、LSTM预测值、三智能服务集成值、响应时延（ms）、表格行展开区（点击后显示）：11维完整输入参数明细和加载状态和错误提示确认当前状态，并在操作结束后获得每3秒自动刷新后，如有新记录则表格更新，顶部统计重新计算；点击展开行后参数明细以格栅排列展示，再次点击收起；离开本页面时轮询自动停止。</w:t>
      </w:r>
    </w:p>
    <w:p>
      <w:pPr>
        <w:pStyle w:val="Heading2"/>
      </w:pPr>
      <w:r>
        <w:rPr>
          <w:color w:val="000000"/>
        </w:rPr>
        <w:t>四、系统要求</w:t>
      </w:r>
    </w:p>
    <w:tbl>
      <w:tblPr>
        <w:tblStyle w:val="TableGrid"/>
        <w:tblW w:type="auto" w:w="0"/>
        <w:tblLook w:firstColumn="1" w:firstRow="1" w:lastColumn="0" w:lastRow="0" w:noHBand="0" w:noVBand="1" w:val="04A0"/>
      </w:tblPr>
      <w:tblGrid>
        <w:gridCol w:w="2890"/>
        <w:gridCol w:w="2890"/>
        <w:gridCol w:w="2890"/>
      </w:tblGrid>
      <w:tr>
        <w:tc>
          <w:tcPr>
            <w:tcW w:type="dxa" w:w="2890"/>
          </w:tcPr>
          <w:p>
            <w:r>
              <w:rPr>
                <w:color w:val="000000"/>
              </w:rPr>
              <w:t>系统要求</w:t>
            </w:r>
          </w:p>
        </w:tc>
        <w:tc>
          <w:tcPr>
            <w:tcW w:type="dxa" w:w="2890"/>
          </w:tcPr>
          <w:p>
            <w:r>
              <w:rPr>
                <w:color w:val="000000"/>
              </w:rPr>
              <w:t>最低配置</w:t>
            </w:r>
          </w:p>
        </w:tc>
        <w:tc>
          <w:tcPr>
            <w:tcW w:type="dxa" w:w="2890"/>
          </w:tcPr>
          <w:p>
            <w:r>
              <w:rPr>
                <w:color w:val="000000"/>
              </w:rPr>
              <w:t>推荐配置</w:t>
            </w:r>
          </w:p>
        </w:tc>
      </w:tr>
      <w:tr>
        <w:tc>
          <w:tcPr>
            <w:tcW w:type="dxa" w:w="2890"/>
          </w:tcPr>
          <w:p>
            <w:r>
              <w:rPr>
                <w:color w:val="000000"/>
              </w:rPr>
              <w:t>开发的硬件环境</w:t>
            </w:r>
          </w:p>
        </w:tc>
        <w:tc>
          <w:tcPr>
            <w:tcW w:type="dxa" w:w="2890"/>
          </w:tcPr>
          <w:p>
            <w:r>
              <w:rPr>
                <w:color w:val="000000"/>
              </w:rPr>
              <w:t>CPU Intel Core i5，内存 8GB，硬盘 50GB</w:t>
            </w:r>
          </w:p>
        </w:tc>
        <w:tc>
          <w:tcPr>
            <w:tcW w:type="dxa" w:w="2890"/>
          </w:tcPr>
          <w:p>
            <w:r>
              <w:rPr>
                <w:color w:val="000000"/>
              </w:rPr>
              <w:t>CPU Intel Core i7，内存 16GB，硬盘 100GB</w:t>
            </w:r>
          </w:p>
        </w:tc>
      </w:tr>
      <w:tr>
        <w:tc>
          <w:tcPr>
            <w:tcW w:type="dxa" w:w="2890"/>
          </w:tcPr>
          <w:p>
            <w:r>
              <w:rPr>
                <w:color w:val="000000"/>
              </w:rPr>
              <w:t>运行的硬件环境</w:t>
            </w:r>
          </w:p>
        </w:tc>
        <w:tc>
          <w:tcPr>
            <w:tcW w:type="dxa" w:w="2890"/>
          </w:tcPr>
          <w:p>
            <w:r>
              <w:rPr>
                <w:color w:val="000000"/>
              </w:rPr>
              <w:t>CPU Intel Core i5，内存 8GB，硬盘 20GB</w:t>
            </w:r>
          </w:p>
        </w:tc>
        <w:tc>
          <w:tcPr>
            <w:tcW w:type="dxa" w:w="2890"/>
          </w:tcPr>
          <w:p>
            <w:r>
              <w:rPr>
                <w:color w:val="000000"/>
              </w:rPr>
              <w:t>CPU Intel Core i7，内存 16GB，硬盘 50GB</w:t>
            </w:r>
          </w:p>
        </w:tc>
      </w:tr>
      <w:tr>
        <w:tc>
          <w:tcPr>
            <w:tcW w:type="dxa" w:w="2890"/>
          </w:tcPr>
          <w:p>
            <w:r>
              <w:rPr>
                <w:color w:val="000000"/>
              </w:rPr>
              <w:t>开发该软件的操作系统</w:t>
            </w:r>
          </w:p>
        </w:tc>
        <w:tc>
          <w:tcPr>
            <w:tcW w:type="dxa" w:w="2890"/>
          </w:tcPr>
          <w:p>
            <w:r>
              <w:rPr>
                <w:color w:val="000000"/>
              </w:rPr>
              <w:t>Windows 10 / macOS 14</w:t>
            </w:r>
          </w:p>
        </w:tc>
        <w:tc>
          <w:tcPr>
            <w:tcW w:type="dxa" w:w="2890"/>
          </w:tcPr>
          <w:p>
            <w:r>
              <w:rPr>
                <w:color w:val="000000"/>
              </w:rPr>
              <w:t>Windows 11 / macOS 15</w:t>
            </w:r>
          </w:p>
        </w:tc>
      </w:tr>
      <w:tr>
        <w:tc>
          <w:tcPr>
            <w:tcW w:type="dxa" w:w="2890"/>
          </w:tcPr>
          <w:p>
            <w:r>
              <w:rPr>
                <w:color w:val="000000"/>
              </w:rPr>
              <w:t>运行平台/操作系统（浏览器）</w:t>
            </w:r>
          </w:p>
        </w:tc>
        <w:tc>
          <w:tcPr>
            <w:tcW w:type="dxa" w:w="2890"/>
          </w:tcPr>
          <w:p>
            <w:r>
              <w:rPr>
                <w:color w:val="000000"/>
              </w:rPr>
              <w:t>Google Chrome 120 / Microsoft Edge 120</w:t>
            </w:r>
          </w:p>
        </w:tc>
        <w:tc>
          <w:tcPr>
            <w:tcW w:type="dxa" w:w="2890"/>
          </w:tcPr>
          <w:p>
            <w:r>
              <w:rPr>
                <w:color w:val="000000"/>
              </w:rPr>
              <w:t>Google Chrome 最新版 / Microsoft Edge 最新版</w:t>
            </w:r>
          </w:p>
        </w:tc>
      </w:tr>
      <w:tr>
        <w:tc>
          <w:tcPr>
            <w:tcW w:type="dxa" w:w="2890"/>
          </w:tcPr>
          <w:p>
            <w:r>
              <w:rPr>
                <w:color w:val="000000"/>
              </w:rPr>
              <w:t>软件运行支撑环境</w:t>
            </w:r>
          </w:p>
        </w:tc>
        <w:tc>
          <w:tcPr>
            <w:tcW w:type="dxa" w:w="2890"/>
          </w:tcPr>
          <w:p>
            <w:r>
              <w:rPr>
                <w:color w:val="000000"/>
              </w:rPr>
              <w:t>Node.js 18+, Python 3.10+, 现代浏览器</w:t>
            </w:r>
          </w:p>
        </w:tc>
        <w:tc>
          <w:tcPr>
            <w:tcW w:type="dxa" w:w="2890"/>
          </w:tcPr>
          <w:p>
            <w:r>
              <w:rPr>
                <w:color w:val="000000"/>
              </w:rPr>
              <w:t>Node.js 20+, Python 3.11+, Chrome最新版</w:t>
            </w:r>
          </w:p>
        </w:tc>
      </w:tr>
    </w:tbl>
    <w:p>
      <w:r>
        <w:rPr>
          <w:rFonts w:ascii="SimSun" w:hAnsi="SimSun" w:eastAsia="SimSun"/>
          <w:color w:val="000000"/>
          <w:sz w:val="21"/>
        </w:rPr>
        <w:t>请确保实际运行环境满足以上要求，以保证极端气候下粮食生产风险核心因子识别与韧性提升可视化决策系统能够正常打开页面、提交操作和展示处理结果。若部署方式、客户端形态或服务器环境与本表不同，应以实际确认的申请表环境字段为准。</w:t>
      </w:r>
    </w:p>
    <w:p>
      <w:pPr>
        <w:pStyle w:val="Heading2"/>
      </w:pPr>
      <w:r>
        <w:rPr>
          <w:color w:val="000000"/>
        </w:rPr>
        <w:t>五、系统总览</w:t>
      </w:r>
    </w:p>
    <w:p>
      <w:r>
        <w:rPr>
          <w:rFonts w:ascii="SimSun" w:hAnsi="SimSun" w:eastAsia="SimSun"/>
          <w:color w:val="000000"/>
          <w:sz w:val="21"/>
        </w:rPr>
        <w:t>用户可在系统总览页面系统的默认进入页面，集中展示数据规模、三智能服务验证指标和双归因视角的 Top3 对比，帮助用户在进入各分析模块前建立整体认知。用户打开系统网址后自动跳转至本页面，或在顶部导航点击「M00 系统总览」。</w:t>
      </w:r>
    </w:p>
    <w:p>
      <w:r>
        <w:rPr>
          <w:rFonts w:ascii="SimSun" w:hAnsi="SimSun" w:eastAsia="SimSun"/>
          <w:color w:val="000000"/>
          <w:sz w:val="21"/>
        </w:rPr>
        <w:t>用户刚打开系统时查看整体数据规模和智能服务可信度边界，或向同事演示系统能力时使用本页面。</w:t>
      </w:r>
    </w:p>
    <w:p>
      <w:r>
        <w:rPr>
          <w:rFonts w:ascii="SimSun" w:hAnsi="SimSun" w:eastAsia="SimSun"/>
          <w:color w:val="000000"/>
          <w:sz w:val="21"/>
        </w:rPr>
        <w:t>用户在系统总览页面会看到4张 KPI 卡：覆盖省份31、数据样本403、三智能服务random 8:2 R²(XGB 0.907/LSTM 0.886/Attention-LSTM 0.816)、leave-province-out中位R²(-16.83)、XGB-Top3因子芯片(NDVI/降水量/气温)与Attention-Top3(旱灾面积/SPEI/气温)对比区、数据融合进度条：省级统计100%、MODIS遥感100%、CLCD耕地掩膜60%和各分析模块入口卡片（系统总览外的5个模块）等信息，并可依据页面显示继续处理。</w:t>
      </w:r>
    </w:p>
    <w:p>
      <w:r>
        <w:rPr>
          <w:rFonts w:ascii="SimSun" w:hAnsi="SimSun" w:eastAsia="SimSun"/>
          <w:color w:val="000000"/>
          <w:sz w:val="21"/>
        </w:rPr>
        <w:t>使用该功能时，用户先浏览页面顶部4张 KPI 卡，了解数据规模和三智能服务指标，随后查看归因对比区，了解 XGB 与 Attention-LSTM 在 Top3 因子上的异同，接着查看数据融合进度条，了解当前数据集各来源的就绪状态，最后点击页面中的模块入口卡片，或使用顶部导航切换到其他功能模块。</w:t>
      </w:r>
    </w:p>
    <w:p>
      <w:r>
        <w:rPr>
          <w:rFonts w:ascii="SimSun" w:hAnsi="SimSun" w:eastAsia="SimSun"/>
          <w:color w:val="000000"/>
          <w:sz w:val="21"/>
        </w:rPr>
        <w:t>处理结束后，用户可以看到页面加载后各 KPI 卡数值静态展示，数据融合进度条显示当前各数据源就绪百分比，无需用户操作触发数据请求。</w:t>
      </w:r>
    </w:p>
    <w:p>
      <w:r>
        <w:rPr>
          <w:rFonts w:ascii="SimSun" w:hAnsi="SimSun" w:eastAsia="SimSun"/>
          <w:color w:val="000000"/>
          <w:sz w:val="21"/>
        </w:rPr>
        <w:t>【截图预留：请在此处插入系统总览页面全屏截图，应能清晰看到4张 KPI 卡和归因对比区。】</w:t>
      </w:r>
    </w:p>
    <w:p>
      <w:pPr>
        <w:pStyle w:val="Heading2"/>
      </w:pPr>
      <w:r>
        <w:rPr>
          <w:color w:val="000000"/>
        </w:rPr>
        <w:t>六、风险时空地图</w:t>
      </w:r>
    </w:p>
    <w:p>
      <w:r>
        <w:rPr>
          <w:rFonts w:ascii="SimSun" w:hAnsi="SimSun" w:eastAsia="SimSun"/>
          <w:color w:val="000000"/>
          <w:sz w:val="21"/>
        </w:rPr>
        <w:t>用户可在风险时空地图页面以省级交互地图呈现31省2011至2023年间各年度粮食生产风险等级的时空分布，并支持查看单省历史产量曲线和当年特征指标。用户点击顶部导航「M01 风险时空地图」进入。</w:t>
      </w:r>
    </w:p>
    <w:p>
      <w:r>
        <w:rPr>
          <w:rFonts w:ascii="SimSun" w:hAnsi="SimSun" w:eastAsia="SimSun"/>
          <w:color w:val="000000"/>
          <w:sz w:val="21"/>
        </w:rPr>
        <w:t>农业研究人员分析某一历史年份全国粮食风险格局，或需要了解特定省份近年产量趋势和当年气候条件组合。</w:t>
      </w:r>
    </w:p>
    <w:p>
      <w:r>
        <w:rPr>
          <w:rFonts w:ascii="SimSun" w:hAnsi="SimSun" w:eastAsia="SimSun"/>
          <w:color w:val="000000"/>
          <w:sz w:val="21"/>
        </w:rPr>
        <w:t>该部分提供中国省级交互地图，各省按风险分位数着色（绿-低风险至红-高风险）、年份滑块（2011-2023），当前年份标签、右侧省份详情面板：历史产量折线图、当年11维特征数值卡片、风险等级标签、悬停省份时的tooltip：省名、当年风险指数 Y 值和加载状态指示等页面内容，用户可据此查看状态、填写信息或选择下一步操作。</w:t>
      </w:r>
    </w:p>
    <w:p>
      <w:r>
        <w:rPr>
          <w:rFonts w:ascii="SimSun" w:hAnsi="SimSun" w:eastAsia="SimSun"/>
          <w:color w:val="000000"/>
          <w:sz w:val="21"/>
        </w:rPr>
        <w:t>在该页面中，用户先进入页面后地图自动加载最新年份数据，各省按风险着色，随后拖动年份滑块切换历史年份，地图着色随之更新，接着将鼠标悬停在省份上，tooltip显示该省名称和当年风险指数，最后点击某一省份，右侧面板展示该省近年历史产量折线图及当年11维特征指标。</w:t>
      </w:r>
    </w:p>
    <w:p>
      <w:r>
        <w:rPr>
          <w:rFonts w:ascii="SimSun" w:hAnsi="SimSun" w:eastAsia="SimSun"/>
          <w:color w:val="000000"/>
          <w:sz w:val="21"/>
        </w:rPr>
        <w:t>如果不满足年份范围限定在2011至2023年，超出范围无法拖动和点击省份后若当年数据未就绪，右侧面板显示加载状态；若系统服务返回失败，显示错误提示并以最近可用年份数据回退等要求，用户需要根据页面提示调整后再继续。页面反馈通常包括拖动年份滑块后地图着色在数据加载完成后更新；点击省份后右侧面板展示历史折线图，选中省份边界高亮显示。</w:t>
      </w:r>
    </w:p>
    <w:p>
      <w:r>
        <w:rPr>
          <w:rFonts w:ascii="SimSun" w:hAnsi="SimSun" w:eastAsia="SimSun"/>
          <w:color w:val="000000"/>
          <w:sz w:val="21"/>
        </w:rPr>
        <w:t>【截图预留：请在此处插入风险时空地图页面截图，应能清晰看到地图着色、年份滑块和右侧省份详情面板。】</w:t>
      </w:r>
    </w:p>
    <w:p>
      <w:pPr>
        <w:pStyle w:val="Heading2"/>
      </w:pPr>
      <w:r>
        <w:rPr>
          <w:color w:val="000000"/>
        </w:rPr>
        <w:t>七、SHAP归因看板</w:t>
      </w:r>
    </w:p>
    <w:p>
      <w:r>
        <w:rPr>
          <w:rFonts w:ascii="SimSun" w:hAnsi="SimSun" w:eastAsia="SimSun"/>
          <w:color w:val="000000"/>
          <w:sz w:val="21"/>
        </w:rPr>
        <w:t>用户可在 SHAP 归因看板页面针对选定省份，可视化 XGBoost-SHAP 归因结果，展示11维气候、致灾与管理特征各自对粮食风险的边际贡献方向和量级，支持识别省份风险主控因子。用户点击顶部导航「M02 SHAP归因看板」进入，或从系统总览的模块入口卡进入。</w:t>
      </w:r>
    </w:p>
    <w:p>
      <w:r>
        <w:rPr>
          <w:rFonts w:ascii="SimSun" w:hAnsi="SimSun" w:eastAsia="SimSun"/>
          <w:color w:val="000000"/>
          <w:sz w:val="21"/>
        </w:rPr>
        <w:t>研究人员需要了解某省粮食风险由哪些因子主导，或需要对比不同省份在因子重要性上的差异。</w:t>
      </w:r>
    </w:p>
    <w:p>
      <w:r>
        <w:rPr>
          <w:rFonts w:ascii="SimSun" w:hAnsi="SimSun" w:eastAsia="SimSun"/>
          <w:color w:val="000000"/>
          <w:sz w:val="21"/>
        </w:rPr>
        <w:t>页面上主要呈现省份选择器（与其他模块共享选中状态）、11维特征归一化重要性水平柱状图，每条附方向色（绿色=有利因子/红色=有害因子）、特征英文短码与中文名称对照标签、归因视角切换标签：全局 / 农业条件 / 气候因子 / 灾害因子、Spearman秩相关提示(-0.055)，说明 XGB 与 Attention 归因互补关系和加载中状态和错误提示等内容，这些内容用于帮助用户确认当前位置和可执行操作。</w:t>
      </w:r>
    </w:p>
    <w:p>
      <w:r>
        <w:rPr>
          <w:rFonts w:ascii="SimSun" w:hAnsi="SimSun" w:eastAsia="SimSun"/>
          <w:color w:val="000000"/>
          <w:sz w:val="21"/>
        </w:rPr>
        <w:t>实际操作时，用户先进入页面后，左侧或下拉框选择目标省份，随后系统自动向系统服务发起预测请求，返回11维 SHAP 归一化重要性，接着主区域展示11维水平柱状图，按重要性降序排列，之后点击视角切换标签（农业条件/气候因子/灾害因子）缩小维度范围查看，最后鼠标悬停某维度柱子，tooltip展示原始绝对贡献值。</w:t>
      </w:r>
    </w:p>
    <w:p>
      <w:r>
        <w:rPr>
          <w:rFonts w:ascii="SimSun" w:hAnsi="SimSun" w:eastAsia="SimSun"/>
          <w:color w:val="000000"/>
          <w:sz w:val="21"/>
        </w:rPr>
        <w:t>操作过程中需要注意省份选择后系统自动触发系统服务请求，无需手动点击确认和若系统服务返回老格式（仅shap_top 5维），系统以5维数据回退展示并在界面提示。操作完成后，系统会显示数据返回后柱状图渲染，方向色区分各因子的利害性；切换归因视角后图表立即响应；省份切换后图表重置并重新加载。</w:t>
      </w:r>
    </w:p>
    <w:p>
      <w:r>
        <w:rPr>
          <w:rFonts w:ascii="SimSun" w:hAnsi="SimSun" w:eastAsia="SimSun"/>
          <w:color w:val="000000"/>
          <w:sz w:val="21"/>
        </w:rPr>
        <w:t>【截图预留：请在此处插入 SHAP 归因看板页面截图，应能清晰看到11维特征柱状图和方向色编码。】</w:t>
      </w:r>
    </w:p>
    <w:p>
      <w:pPr>
        <w:pStyle w:val="Heading2"/>
      </w:pPr>
      <w:r>
        <w:rPr>
          <w:color w:val="000000"/>
        </w:rPr>
        <w:t>八、参数情景模拟</w:t>
      </w:r>
    </w:p>
    <w:p>
      <w:r>
        <w:rPr>
          <w:rFonts w:ascii="SimSun" w:hAnsi="SimSun" w:eastAsia="SimSun"/>
          <w:color w:val="000000"/>
          <w:sz w:val="21"/>
        </w:rPr>
        <w:t>参数情景模拟页面让用户在选定省份的基线数据基础上调节5维关键参数，通过界面即时反馈和系统服务三智能服务确认，评估不同气候和管理干预下的粮食风险变化方向和量级。用户点击顶部导航「M03 参数情景模拟」进入。</w:t>
      </w:r>
    </w:p>
    <w:p>
      <w:r>
        <w:rPr>
          <w:rFonts w:ascii="SimSun" w:hAnsi="SimSun" w:eastAsia="SimSun"/>
          <w:color w:val="000000"/>
          <w:sz w:val="21"/>
        </w:rPr>
        <w:t>决策参谋评估灌溉率提升或气温升高等干预措施对风险指数的影响，或研究人员系统比较多个参数组合下的风险响应。</w:t>
      </w:r>
    </w:p>
    <w:p>
      <w:r>
        <w:rPr>
          <w:rFonts w:ascii="SimSun" w:hAnsi="SimSun" w:eastAsia="SimSun"/>
          <w:color w:val="000000"/>
          <w:sz w:val="21"/>
        </w:rPr>
        <w:t>用户在参数情景模拟页面会看到省份选择器（共享状态）、5条参数滑块：灌溉率(%)、洪涝占比(%)、日照时数(h)、平均气温(°C)、SPEI干旱指数，每条显示当前值、最小最大范围和调节提示方向、风险指数实时数值面板：界面公式估算值（立即更新）和系统服务三智能服务集成值（异步更新）、ECharts雷达图：叠加展示调参前基线与当前参数下的11维特征偏移和重置基线按钮等信息，并可依据页面显示继续处理。</w:t>
      </w:r>
    </w:p>
    <w:p>
      <w:r>
        <w:rPr>
          <w:rFonts w:ascii="SimSun" w:hAnsi="SimSun" w:eastAsia="SimSun"/>
          <w:color w:val="000000"/>
          <w:sz w:val="21"/>
        </w:rPr>
        <w:t>使用该功能时，用户先进入页面后选择目标省份，滑块自动以该省基线数据初始化，随后拖动任一滑块调节参数值，界面风险指数在200ms内更新估算值，接着约0.5秒后系统服务三智能服务集成预测结果覆盖界面估算值，之后查看雷达图了解当前参数与基线的11维偏差分布，最后点击重置基线还原所有滑块至省份原始数据。</w:t>
      </w:r>
    </w:p>
    <w:p>
      <w:r>
        <w:rPr>
          <w:rFonts w:ascii="SimSun" w:hAnsi="SimSun" w:eastAsia="SimSun"/>
          <w:color w:val="000000"/>
          <w:sz w:val="21"/>
        </w:rPr>
        <w:t>页面会按照各滑块有明确的取值范围（如灌溉率20%~120%），超出范围无法拖动和切换省份后所有滑块自动重置为新省份基线值等规则限制或提示用户。处理结束后，用户可以看到拖动滑块后风险指数面板立即更新界面估算值，系统服务结果返回后以实际预测值覆盖并在数值旁显示三智能服务集成标记；雷达图实时跟随滑块变化更新。</w:t>
      </w:r>
    </w:p>
    <w:p>
      <w:r>
        <w:rPr>
          <w:rFonts w:ascii="SimSun" w:hAnsi="SimSun" w:eastAsia="SimSun"/>
          <w:color w:val="000000"/>
          <w:sz w:val="21"/>
        </w:rPr>
        <w:t>【截图预留：请在此处插入参数情景模拟页面截图，应能清晰看到5条参数滑块、风险指数面板和雷达图。】</w:t>
      </w:r>
    </w:p>
    <w:p>
      <w:pPr>
        <w:pStyle w:val="Heading2"/>
      </w:pPr>
      <w:r>
        <w:rPr>
          <w:color w:val="000000"/>
        </w:rPr>
        <w:t>九、韧性路径推荐</w:t>
      </w:r>
    </w:p>
    <w:p>
      <w:r>
        <w:rPr>
          <w:rFonts w:ascii="SimSun" w:hAnsi="SimSun" w:eastAsia="SimSun"/>
          <w:color w:val="000000"/>
          <w:sz w:val="21"/>
        </w:rPr>
        <w:t>用户可在韧性路径推荐页面依据省份在关键风险指标上相对全国均值的偏差，由规则引擎生成短期、中期、长期三档行动建议，帮助决策者规划农业韧性提升路径。用户点击顶部导航「M04 韧性路径推荐」进入，或从系统总览的模块入口卡进入。</w:t>
      </w:r>
    </w:p>
    <w:p>
      <w:r>
        <w:rPr>
          <w:rFonts w:ascii="SimSun" w:hAnsi="SimSun" w:eastAsia="SimSun"/>
          <w:color w:val="000000"/>
          <w:sz w:val="21"/>
        </w:rPr>
        <w:t>农业主管部门为某省制定近期和中长期农业韧性提升计划，希望系统给出基于数据的针对性行动建议和预算参考。</w:t>
      </w:r>
    </w:p>
    <w:p>
      <w:r>
        <w:rPr>
          <w:rFonts w:ascii="SimSun" w:hAnsi="SimSun" w:eastAsia="SimSun"/>
          <w:color w:val="000000"/>
          <w:sz w:val="21"/>
        </w:rPr>
        <w:t>该部分提供省份选择器（共享状态）、左侧3项指标卡：当前省份风险指数 Y 与全国均值对比（含百分比偏差箭头）、灌溉率对比、洪涝占比对比、短期行动卡（约1年内）：带优先级标签的建议卡片列表、中期行动卡（约3年内）：带优先级标签的建议卡片列表、长期行动卡（约5年以上）：带优先级标签的建议卡片列表和底部总预算估算区间（元）等页面内容，用户可据此查看状态、填写信息或选择下一步操作。</w:t>
      </w:r>
    </w:p>
    <w:p>
      <w:r>
        <w:rPr>
          <w:rFonts w:ascii="SimSun" w:hAnsi="SimSun" w:eastAsia="SimSun"/>
          <w:color w:val="000000"/>
          <w:sz w:val="21"/>
        </w:rPr>
        <w:t>在该页面中，用户先进入页面后选择目标省份，随后左侧指标卡展示该省风险指数、灌溉率、洪涝占比与全国均值偏差，接着向下滚动查看短期、中期、长期行动建议卡，了解各阶段推荐措施和优先级，最后查看底部总预算估算，结合实际情况参考规划。</w:t>
      </w:r>
    </w:p>
    <w:p>
      <w:r>
        <w:rPr>
          <w:rFonts w:ascii="SimSun" w:hAnsi="SimSun" w:eastAsia="SimSun"/>
          <w:color w:val="000000"/>
          <w:sz w:val="21"/>
        </w:rPr>
        <w:t>如果不满足行动建议来源于内置11条规则引擎，根据省份指标自动匹配，无需用户输入额外条件和优先级由省份指标与均值偏差幅度决定，偏差越大优先级越高等要求，用户需要根据页面提示调整后再继续。页面反馈通常包括切换省份后建议卡片和指标卡立即更新；行动卡片的描述文本经安全过滤后渲染，支持高亮关键词显示；总预算随行动条数动态计算。</w:t>
      </w:r>
    </w:p>
    <w:p>
      <w:r>
        <w:rPr>
          <w:rFonts w:ascii="SimSun" w:hAnsi="SimSun" w:eastAsia="SimSun"/>
          <w:color w:val="000000"/>
          <w:sz w:val="21"/>
        </w:rPr>
        <w:t>【截图预留：请在此处插入韧性路径推荐页面截图，应能清晰看到指标对比卡和短中长期行动建议卡片列表。】</w:t>
      </w:r>
    </w:p>
    <w:p>
      <w:pPr>
        <w:pStyle w:val="Heading2"/>
      </w:pPr>
      <w:r>
        <w:rPr>
          <w:color w:val="000000"/>
        </w:rPr>
        <w:t>十、推演监控</w:t>
      </w:r>
    </w:p>
    <w:p>
      <w:r>
        <w:rPr>
          <w:rFonts w:ascii="SimSun" w:hAnsi="SimSun" w:eastAsia="SimSun"/>
          <w:color w:val="000000"/>
          <w:sz w:val="21"/>
        </w:rPr>
        <w:t>用户可在推演监控页面实时展示M02/M03/M04模块触发的三智能服务推演历史记录，供用户核查历次风险分析的完整输入参数、各智能服务输出值和响应时延。用户点击顶部导航「M05 推演监控」进入。</w:t>
      </w:r>
    </w:p>
    <w:p>
      <w:r>
        <w:rPr>
          <w:rFonts w:ascii="SimSun" w:hAnsi="SimSun" w:eastAsia="SimSun"/>
          <w:color w:val="000000"/>
          <w:sz w:val="21"/>
        </w:rPr>
        <w:t>研究人员回溯某次情景模拟的具体输入参数和三智能服务输出差异，或监控系统服务推理性能和服务响应时延。</w:t>
      </w:r>
    </w:p>
    <w:p>
      <w:r>
        <w:rPr>
          <w:rFonts w:ascii="SimSun" w:hAnsi="SimSun" w:eastAsia="SimSun"/>
          <w:color w:val="000000"/>
          <w:sz w:val="21"/>
        </w:rPr>
        <w:t>页面上主要呈现顶部统计：当前记录总条数、缓冲区占用率（已用/最大50条）、平均响应时延、推演记录表格：触发时间、输入省份、XGBoost预测值、LSTM预测值、三智能服务集成值、响应时延（ms）、表格行展开区（点击后显示）：11维完整输入参数明细和加载状态和错误提示等内容，这些内容用于帮助用户确认当前位置和可执行操作。</w:t>
      </w:r>
    </w:p>
    <w:p>
      <w:r>
        <w:rPr>
          <w:rFonts w:ascii="SimSun" w:hAnsi="SimSun" w:eastAsia="SimSun"/>
          <w:color w:val="000000"/>
          <w:sz w:val="21"/>
        </w:rPr>
        <w:t>实际操作时，用户先进入页面后系统自动开始每3秒刷新推演记录，随后浏览表格中各行的时间、省份和三智能服务预测结果，接着点击某行展开，查看该次推演的11维完整输入参数，最后关注顶部平均时延指标，了解当前系统响应性能。</w:t>
      </w:r>
    </w:p>
    <w:p>
      <w:r>
        <w:rPr>
          <w:rFonts w:ascii="SimSun" w:hAnsi="SimSun" w:eastAsia="SimSun"/>
          <w:color w:val="000000"/>
          <w:sz w:val="21"/>
        </w:rPr>
        <w:t>操作过程中需要注意推演记录按时间倒序排列，最新记录在首行、记录总量超过50条时，最旧的记录被自动覆盖（环形缓冲）和网络异常时表格显示错误提示，保留上次成功获取的数据。操作完成后，系统会显示每3秒自动刷新后，如有新记录则表格更新，顶部统计重新计算；点击展开行后参数明细以格栅排列展示，再次点击收起；离开本页面时轮询自动停止。</w:t>
      </w:r>
    </w:p>
    <w:p>
      <w:r>
        <w:rPr>
          <w:rFonts w:ascii="SimSun" w:hAnsi="SimSun" w:eastAsia="SimSun"/>
          <w:color w:val="000000"/>
          <w:sz w:val="21"/>
        </w:rPr>
        <w:t>【截图预留：请在此处插入推演监控页面截图，应能清晰看到推演记录表格和顶部统计区域。】</w:t>
      </w:r>
    </w:p>
    <w:p>
      <w:pPr>
        <w:pStyle w:val="Heading2"/>
      </w:pPr>
      <w:r>
        <w:rPr>
          <w:color w:val="000000"/>
        </w:rPr>
        <w:t>十一、典型使用流程</w:t>
      </w:r>
    </w:p>
    <w:p>
      <w:r>
        <w:rPr>
          <w:rFonts w:ascii="SimSun" w:hAnsi="SimSun" w:eastAsia="SimSun"/>
          <w:color w:val="000000"/>
          <w:sz w:val="21"/>
        </w:rPr>
        <w:t>用户完成一次完整业务时，通常先进入极端气候下粮食生产风险核心因子识别与韧性提升可视化决策系统，再选择或创建业务对象，随后按照页面提示处理内容并查看结果。</w:t>
      </w:r>
    </w:p>
    <w:p>
      <w:r>
        <w:rPr>
          <w:rFonts w:ascii="SimSun" w:hAnsi="SimSun" w:eastAsia="SimSun"/>
          <w:color w:val="000000"/>
          <w:sz w:val="21"/>
        </w:rPr>
        <w:t>打开系统后进入系统总览(M00)，浏览数据规模 KPI 卡和三协议鲁棒性边界指标；切换到风险时空地图(M01)，拖动年份滑块选取目标年份，点击目标省份查看历史产量走势；切换至 SHAP 归因看板(M02)，选择省份，查看11维因子重要性排序和归因视角；进入参数情景模拟(M03)，调整灌溉率、气温等滑块，观察风险指数实时变化。</w:t>
      </w:r>
    </w:p>
    <w:p>
      <w:pPr>
        <w:pStyle w:val="Heading2"/>
      </w:pPr>
      <w:r>
        <w:rPr>
          <w:color w:val="000000"/>
        </w:rPr>
        <w:t>十二、常见问题解答</w:t>
      </w:r>
    </w:p>
    <w:p>
      <w:r>
        <w:rPr>
          <w:rFonts w:ascii="SimSun" w:hAnsi="SimSun" w:eastAsia="SimSun"/>
          <w:color w:val="000000"/>
          <w:sz w:val="21"/>
        </w:rPr>
        <w:t>问题：系统打开后地图不显示</w:t>
      </w:r>
    </w:p>
    <w:p>
      <w:r>
        <w:rPr>
          <w:rFonts w:ascii="SimSun" w:hAnsi="SimSun" w:eastAsia="SimSun"/>
          <w:color w:val="000000"/>
          <w:sz w:val="21"/>
        </w:rPr>
        <w:t>解决方法：请确认浏览器支持 WebGL 且已允许脚本执行，使用Chrome 120或Edge 120以上版本访问。</w:t>
      </w:r>
    </w:p>
    <w:p>
      <w:r>
        <w:rPr>
          <w:rFonts w:ascii="SimSun" w:hAnsi="SimSun" w:eastAsia="SimSun"/>
          <w:color w:val="000000"/>
          <w:sz w:val="21"/>
        </w:rPr>
        <w:t>问题：切换年份后数据加载缓慢</w:t>
      </w:r>
    </w:p>
    <w:p>
      <w:r>
        <w:rPr>
          <w:rFonts w:ascii="SimSun" w:hAnsi="SimSun" w:eastAsia="SimSun"/>
          <w:color w:val="000000"/>
          <w:sz w:val="21"/>
        </w:rPr>
        <w:t>解决方法：系统首次请求该年数据时会从系统服务拉取并缓存，切换回已访问的年份会即时呈现。</w:t>
      </w:r>
    </w:p>
    <w:p>
      <w:r>
        <w:rPr>
          <w:rFonts w:ascii="SimSun" w:hAnsi="SimSun" w:eastAsia="SimSun"/>
          <w:color w:val="000000"/>
          <w:sz w:val="21"/>
        </w:rPr>
        <w:t>问题：SHAP归因结果与情景模拟风险预测方向不一致</w:t>
      </w:r>
    </w:p>
    <w:p>
      <w:r>
        <w:rPr>
          <w:rFonts w:ascii="SimSun" w:hAnsi="SimSun" w:eastAsia="SimSun"/>
          <w:color w:val="000000"/>
          <w:sz w:val="21"/>
        </w:rPr>
        <w:t>解决方法：两个模块基于不同智能服务和视角：SHAP归因使用 XGBoost 边际贡献，情景模拟集成三智能服务结果，两者互补而非要求一致，差异本身是多智能服务归因的科学输出。</w:t>
      </w:r>
    </w:p>
    <w:p>
      <w:r>
        <w:rPr>
          <w:rFonts w:ascii="SimSun" w:hAnsi="SimSun" w:eastAsia="SimSun"/>
          <w:color w:val="000000"/>
          <w:sz w:val="21"/>
        </w:rPr>
        <w:t>问题：韧性路径推荐的行动建议如何理解优先级</w:t>
      </w:r>
    </w:p>
    <w:p>
      <w:r>
        <w:rPr>
          <w:rFonts w:ascii="SimSun" w:hAnsi="SimSun" w:eastAsia="SimSun"/>
          <w:color w:val="000000"/>
          <w:sz w:val="21"/>
        </w:rPr>
        <w:t>解决方法：优先级由省份当前指标与全国均值的偏差幅度决定，偏差越大优先级越高，建议结合当地实际情况和短期、中期、长期目标统筹考量。</w:t>
      </w:r>
    </w:p>
    <w:p>
      <w:r>
        <w:rPr>
          <w:rFonts w:ascii="SimSun" w:hAnsi="SimSun" w:eastAsia="SimSun"/>
          <w:color w:val="000000"/>
          <w:sz w:val="21"/>
        </w:rPr>
        <w:t>问题：推演监控中显示的响应时延异常高</w:t>
      </w:r>
    </w:p>
    <w:p>
      <w:r>
        <w:rPr>
          <w:rFonts w:ascii="SimSun" w:hAnsi="SimSun" w:eastAsia="SimSun"/>
          <w:color w:val="000000"/>
          <w:sz w:val="21"/>
        </w:rPr>
        <w:t>解决方法：首次推理时智能服务需完成初始化，后续推理通常在2秒以内。若持续偏高，可检查服务器资源占用情况。</w:t>
      </w:r>
    </w:p>
    <w:p>
      <w:pPr>
        <w:pStyle w:val="Heading2"/>
      </w:pPr>
      <w:r>
        <w:rPr>
          <w:color w:val="000000"/>
        </w:rPr>
        <w:t>十三、术语表</w:t>
      </w:r>
    </w:p>
    <w:tbl>
      <w:tblPr>
        <w:tblStyle w:val="TableGrid"/>
        <w:tblW w:type="auto" w:w="0"/>
        <w:tblLook w:firstColumn="1" w:firstRow="1" w:lastColumn="0" w:lastRow="0" w:noHBand="0" w:noVBand="1" w:val="04A0"/>
      </w:tblPr>
      <w:tblGrid>
        <w:gridCol w:w="4334"/>
        <w:gridCol w:w="4334"/>
      </w:tblGrid>
      <w:tr>
        <w:tc>
          <w:tcPr>
            <w:tcW w:type="dxa" w:w="4334"/>
          </w:tcPr>
          <w:p>
            <w:r>
              <w:rPr>
                <w:color w:val="000000"/>
              </w:rPr>
              <w:t>术语</w:t>
            </w:r>
          </w:p>
        </w:tc>
        <w:tc>
          <w:tcPr>
            <w:tcW w:type="dxa" w:w="4334"/>
          </w:tcPr>
          <w:p>
            <w:r>
              <w:rPr>
                <w:color w:val="000000"/>
              </w:rPr>
              <w:t>解释</w:t>
            </w:r>
          </w:p>
        </w:tc>
      </w:tr>
      <w:tr>
        <w:tc>
          <w:tcPr>
            <w:tcW w:type="dxa" w:w="4334"/>
          </w:tcPr>
          <w:p>
            <w:r>
              <w:rPr>
                <w:color w:val="000000"/>
              </w:rPr>
              <w:t>SHAP归因</w:t>
            </w:r>
          </w:p>
        </w:tc>
        <w:tc>
          <w:tcPr>
            <w:tcW w:type="dxa" w:w="4334"/>
          </w:tcPr>
          <w:p>
            <w:r>
              <w:rPr>
                <w:color w:val="000000"/>
              </w:rPr>
              <w:t>SHapley Additive exPlanations，一种基于博弈论的机器学习智能服务可解释方法，量化每个特征对单次预测结果的边际贡献。</w:t>
            </w:r>
          </w:p>
        </w:tc>
      </w:tr>
      <w:tr>
        <w:tc>
          <w:tcPr>
            <w:tcW w:type="dxa" w:w="4334"/>
          </w:tcPr>
          <w:p>
            <w:r>
              <w:rPr>
                <w:color w:val="000000"/>
              </w:rPr>
              <w:t>SPEI</w:t>
            </w:r>
          </w:p>
        </w:tc>
        <w:tc>
          <w:tcPr>
            <w:tcW w:type="dxa" w:w="4334"/>
          </w:tcPr>
          <w:p>
            <w:r>
              <w:rPr>
                <w:color w:val="000000"/>
              </w:rPr>
              <w:t>标准化降水蒸散发指数，衡量区域干湿状况的综合气候指标，正值偏湿润，负值偏干旱。</w:t>
            </w:r>
          </w:p>
        </w:tc>
      </w:tr>
      <w:tr>
        <w:tc>
          <w:tcPr>
            <w:tcW w:type="dxa" w:w="4334"/>
          </w:tcPr>
          <w:p>
            <w:r>
              <w:rPr>
                <w:color w:val="000000"/>
              </w:rPr>
              <w:t>NDVI</w:t>
            </w:r>
          </w:p>
        </w:tc>
        <w:tc>
          <w:tcPr>
            <w:tcW w:type="dxa" w:w="4334"/>
          </w:tcPr>
          <w:p>
            <w:r>
              <w:rPr>
                <w:color w:val="000000"/>
              </w:rPr>
              <w:t>归一化植被指数，由卫星遥感数据计算，反映地表植被覆盖和生长状况，本系统使用MODIS NDVI异常值。</w:t>
            </w:r>
          </w:p>
        </w:tc>
      </w:tr>
      <w:tr>
        <w:tc>
          <w:tcPr>
            <w:tcW w:type="dxa" w:w="4334"/>
          </w:tcPr>
          <w:p>
            <w:r>
              <w:rPr>
                <w:color w:val="000000"/>
              </w:rPr>
              <w:t>留省交叉验证</w:t>
            </w:r>
          </w:p>
        </w:tc>
        <w:tc>
          <w:tcPr>
            <w:tcW w:type="dxa" w:w="4334"/>
          </w:tcPr>
          <w:p>
            <w:r>
              <w:rPr>
                <w:color w:val="000000"/>
              </w:rPr>
              <w:t>每次剔除一个省的数据训练智能服务，用其他省测试，检验智能服务在完全未见过的省份上的泛化能力。</w:t>
            </w:r>
          </w:p>
        </w:tc>
      </w:tr>
      <w:tr>
        <w:tc>
          <w:tcPr>
            <w:tcW w:type="dxa" w:w="4334"/>
          </w:tcPr>
          <w:p>
            <w:r>
              <w:rPr>
                <w:color w:val="000000"/>
              </w:rPr>
              <w:t>R²（决定系数）</w:t>
            </w:r>
          </w:p>
        </w:tc>
        <w:tc>
          <w:tcPr>
            <w:tcW w:type="dxa" w:w="4334"/>
          </w:tcPr>
          <w:p>
            <w:r>
              <w:rPr>
                <w:color w:val="000000"/>
              </w:rPr>
              <w:t>衡量智能服务预测值与真实值的拟合程度，范围通常在0到1之间，负值意味着智能服务表现差于均值基线。</w:t>
            </w:r>
          </w:p>
        </w:tc>
      </w:tr>
      <w:tr>
        <w:tc>
          <w:tcPr>
            <w:tcW w:type="dxa" w:w="4334"/>
          </w:tcPr>
          <w:p>
            <w:r>
              <w:rPr>
                <w:color w:val="000000"/>
              </w:rPr>
              <w:t>韧性路径</w:t>
            </w:r>
          </w:p>
        </w:tc>
        <w:tc>
          <w:tcPr>
            <w:tcW w:type="dxa" w:w="4334"/>
          </w:tcPr>
          <w:p>
            <w:r>
              <w:rPr>
                <w:color w:val="000000"/>
              </w:rPr>
              <w:t>在当前省份风险因子分析基础上，按时间跨度排列的农业抗风险干预措施序列，包含短期、中期、长期三档行动建议。</w:t>
            </w:r>
          </w:p>
        </w:tc>
      </w:tr>
    </w:tbl>
    <w:sectPr w:rsidR="00FC693F" w:rsidRPr="0006063C" w:rsidSect="00034616">
      <w:headerReference w:type="default" r:id="rId9"/>
      <w:footerReference w:type="default" r:id="rId10"/>
      <w:pgSz w:w="11906" w:h="16838"/>
      <w:pgMar w:top="1440" w:right="1440"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000000"/>
      </w:rPr>
    </w:r>
  </w:p>
  <w:tbl>
    <w:tblPr>
      <w:tblW w:type="auto" w:w="0"/>
      <w:tblLayout w:type="autofit"/>
      <w:tblLook w:firstColumn="1" w:firstRow="1" w:lastColumn="0" w:lastRow="0" w:noHBand="0" w:noVBand="1" w:val="04A0"/>
    </w:tblPr>
    <w:tblGrid>
      <w:gridCol w:w="4961"/>
      <w:gridCol w:w="4961"/>
    </w:tblGrid>
    <w:tr>
      <w:tc>
        <w:tcPr>
          <w:tcW w:type="dxa" w:w="4961"/>
          <w:tcBorders>
            <w:top w:val="nil"/>
            <w:left w:val="nil"/>
            <w:bottom w:val="nil"/>
            <w:right w:val="nil"/>
          </w:tcBorders>
        </w:tcPr>
        <w:p>
          <w:pPr>
            <w:spacing w:before="0" w:after="0" w:lineRule="exact" w:line="240"/>
            <w:jc w:val="left"/>
          </w:pPr>
          <w:r>
            <w:rPr>
              <w:rFonts w:ascii="SimSun" w:hAnsi="SimSun" w:eastAsia="SimSun"/>
              <w:color w:val="000000"/>
              <w:sz w:val="16"/>
            </w:rPr>
            <w:t>极端气候下粮食生产风险核心因子识别与韧性提升可视化决策系统 V1.0</w:t>
          </w:r>
        </w:p>
      </w:tc>
      <w:tc>
        <w:tcPr>
          <w:tcW w:type="dxa" w:w="4961"/>
          <w:tcBorders>
            <w:top w:val="nil"/>
            <w:left w:val="nil"/>
            <w:bottom w:val="nil"/>
            <w:right w:val="nil"/>
          </w:tcBorders>
        </w:tcPr>
        <w:p>
          <w:pPr>
            <w:spacing w:before="0" w:after="0" w:lineRule="exact" w:line="240"/>
            <w:jc w:val="right"/>
          </w:pPr>
          <w:r>
            <w:rPr>
              <w:rFonts w:ascii="SimSun" w:hAnsi="SimSun" w:eastAsia="SimSun"/>
              <w:color w:val="000000"/>
              <w:sz w:val="16"/>
            </w:rPr>
            <w:t xml:space="preserve">第 </w:t>
          </w:r>
          <w:r>
            <w:rPr>
              <w:rFonts w:ascii="SimSun" w:hAnsi="SimSun" w:eastAsia="SimSun"/>
              <w:color w:val="000000"/>
              <w:sz w:val="16"/>
            </w:rPr>
            <w:fldChar w:fldCharType="begin"/>
          </w:r>
          <w:r>
            <w:rPr>
              <w:rFonts w:ascii="SimSun" w:hAnsi="SimSun" w:eastAsia="SimSun"/>
              <w:color w:val="000000"/>
              <w:sz w:val="16"/>
            </w:rPr>
            <w:instrText xml:space="preserve"> PAGE </w:instrText>
          </w:r>
          <w:r>
            <w:rPr>
              <w:rFonts w:ascii="SimSun" w:hAnsi="SimSun" w:eastAsia="SimSun"/>
              <w:color w:val="000000"/>
              <w:sz w:val="16"/>
            </w:rPr>
            <w:fldChar w:fldCharType="separate"/>
          </w:r>
          <w:r>
            <w:rPr>
              <w:rFonts w:ascii="SimSun" w:hAnsi="SimSun" w:eastAsia="SimSun"/>
              <w:color w:val="000000"/>
              <w:sz w:val="16"/>
            </w:rPr>
            <w:t>1</w:t>
          </w:r>
          <w:r>
            <w:rPr>
              <w:rFonts w:ascii="SimSun" w:hAnsi="SimSun" w:eastAsia="SimSun"/>
              <w:color w:val="000000"/>
              <w:sz w:val="16"/>
            </w:rPr>
            <w:fldChar w:fldCharType="end"/>
          </w:r>
          <w:r>
            <w:rPr>
              <w:rFonts w:ascii="SimSun" w:hAnsi="SimSun" w:eastAsia="SimSun"/>
              <w:color w:val="000000"/>
              <w:sz w:val="16"/>
            </w:rPr>
            <w:t xml:space="preserve"> 页</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color w:val="000000"/>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color w:val="000000"/>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color w:val="000000"/>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color w:val="00000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color w:val="000000"/>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eastAsia="SimSun"/>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color w:val="000000"/>
    </w:rPr>
  </w:style>
  <w:style w:type="character" w:customStyle="1" w:styleId="BodyText3Char">
    <w:name w:val="Body Text 3 Char"/>
    <w:basedOn w:val="DefaultParagraphFont"/>
    <w:link w:val="BodyText3"/>
    <w:uiPriority w:val="99"/>
    <w:rsid w:val="00AA1D8D"/>
    <w:rPr>
      <w:sz w:val="16"/>
      <w:szCs w:val="16"/>
      <w:color w:val="000000"/>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color w:val="00000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color w:val="000000"/>
    </w:rPr>
  </w:style>
  <w:style w:type="character" w:customStyle="1" w:styleId="MacroTextChar">
    <w:name w:val="Macro Text Char"/>
    <w:basedOn w:val="DefaultParagraphFont"/>
    <w:link w:val="MacroText"/>
    <w:uiPriority w:val="99"/>
    <w:rsid w:val="0029639D"/>
    <w:rPr>
      <w:rFonts w:ascii="Courier" w:hAnsi="Courier"/>
      <w:sz w:val="20"/>
      <w:szCs w:val="20"/>
      <w:color w:val="00000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color w:val="000000"/>
    </w:rPr>
  </w:style>
  <w:style w:type="character" w:styleId="Emphasis">
    <w:name w:val="Emphasis"/>
    <w:basedOn w:val="DefaultParagraphFont"/>
    <w:uiPriority w:val="20"/>
    <w:qFormat/>
    <w:rsid w:val="00FC693F"/>
    <w:rPr>
      <w:i/>
      <w:iCs/>
      <w:color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spacing w:val="5"/>
      <w:color w:val="000000"/>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color w:val="000000"/>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color w:val="000000"/>
      </w:rPr>
    </w:tblStylePr>
    <w:tblStylePr w:type="lastCol">
      <w:rPr>
        <w:b/>
        <w:bCs/>
        <w:color w:val="000000"/>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color w:val="000000"/>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color w:val="000000"/>
      </w:rPr>
    </w:tblStylePr>
    <w:tblStylePr w:type="lastCol">
      <w:rPr>
        <w:b/>
        <w:bCs/>
        <w:color w:val="000000"/>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color w:val="000000"/>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color w:val="000000"/>
      </w:rPr>
    </w:tblStylePr>
    <w:tblStylePr w:type="lastCol">
      <w:rPr>
        <w:b/>
        <w:bCs/>
        <w:color w:val="000000"/>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color w:val="000000"/>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color w:val="000000"/>
      </w:rPr>
    </w:tblStylePr>
    <w:tblStylePr w:type="lastCol">
      <w:rPr>
        <w:b/>
        <w:bCs/>
        <w:color w:val="000000"/>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color w:val="000000"/>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color w:val="000000"/>
      </w:rPr>
    </w:tblStylePr>
    <w:tblStylePr w:type="lastCol">
      <w:rPr>
        <w:b/>
        <w:bCs/>
        <w:color w:val="000000"/>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color w:val="000000"/>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color w:val="000000"/>
      </w:rPr>
    </w:tblStylePr>
    <w:tblStylePr w:type="lastCol">
      <w:rPr>
        <w:b/>
        <w:bCs/>
        <w:color w:val="000000"/>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color w:val="000000"/>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color w:val="000000"/>
      </w:rPr>
    </w:tblStylePr>
    <w:tblStylePr w:type="lastCol">
      <w:rPr>
        <w:b/>
        <w:bCs/>
        <w:color w:val="000000"/>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000000" w:themeFill="text1"/>
      </w:tcPr>
    </w:tblStylePr>
    <w:tblStylePr w:type="lastRow">
      <w:pPr>
        <w:spacing w:before="0" w:after="0" w:line="240" w:lineRule="auto"/>
      </w:pPr>
      <w:rPr>
        <w:b/>
        <w:bCs/>
        <w:color w:val="000000"/>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color w:val="000000"/>
      </w:rPr>
    </w:tblStylePr>
    <w:tblStylePr w:type="lastCol">
      <w:rPr>
        <w:b/>
        <w:bCs/>
        <w:color w:val="000000"/>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F81BD" w:themeFill="accent1"/>
      </w:tcPr>
    </w:tblStylePr>
    <w:tblStylePr w:type="lastRow">
      <w:pPr>
        <w:spacing w:before="0" w:after="0" w:line="240" w:lineRule="auto"/>
      </w:pPr>
      <w:rPr>
        <w:b/>
        <w:bCs/>
        <w:color w:val="000000"/>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color w:val="000000"/>
      </w:rPr>
    </w:tblStylePr>
    <w:tblStylePr w:type="lastCol">
      <w:rPr>
        <w:b/>
        <w:bCs/>
        <w:color w:val="000000"/>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C0504D" w:themeFill="accent2"/>
      </w:tcPr>
    </w:tblStylePr>
    <w:tblStylePr w:type="lastRow">
      <w:pPr>
        <w:spacing w:before="0" w:after="0" w:line="240" w:lineRule="auto"/>
      </w:pPr>
      <w:rPr>
        <w:b/>
        <w:bCs/>
        <w:color w:val="000000"/>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color w:val="000000"/>
      </w:rPr>
    </w:tblStylePr>
    <w:tblStylePr w:type="lastCol">
      <w:rPr>
        <w:b/>
        <w:bCs/>
        <w:color w:val="000000"/>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9BBB59" w:themeFill="accent3"/>
      </w:tcPr>
    </w:tblStylePr>
    <w:tblStylePr w:type="lastRow">
      <w:pPr>
        <w:spacing w:before="0" w:after="0" w:line="240" w:lineRule="auto"/>
      </w:pPr>
      <w:rPr>
        <w:b/>
        <w:bCs/>
        <w:color w:val="000000"/>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color w:val="000000"/>
      </w:rPr>
    </w:tblStylePr>
    <w:tblStylePr w:type="lastCol">
      <w:rPr>
        <w:b/>
        <w:bCs/>
        <w:color w:val="000000"/>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8064A2" w:themeFill="accent4"/>
      </w:tcPr>
    </w:tblStylePr>
    <w:tblStylePr w:type="lastRow">
      <w:pPr>
        <w:spacing w:before="0" w:after="0" w:line="240" w:lineRule="auto"/>
      </w:pPr>
      <w:rPr>
        <w:b/>
        <w:bCs/>
        <w:color w:val="000000"/>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color w:val="000000"/>
      </w:rPr>
    </w:tblStylePr>
    <w:tblStylePr w:type="lastCol">
      <w:rPr>
        <w:b/>
        <w:bCs/>
        <w:color w:val="000000"/>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BACC6" w:themeFill="accent5"/>
      </w:tcPr>
    </w:tblStylePr>
    <w:tblStylePr w:type="lastRow">
      <w:pPr>
        <w:spacing w:before="0" w:after="0" w:line="240" w:lineRule="auto"/>
      </w:pPr>
      <w:rPr>
        <w:b/>
        <w:bCs/>
        <w:color w:val="000000"/>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color w:val="000000"/>
      </w:rPr>
    </w:tblStylePr>
    <w:tblStylePr w:type="lastCol">
      <w:rPr>
        <w:b/>
        <w:bCs/>
        <w:color w:val="000000"/>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F79646" w:themeFill="accent6"/>
      </w:tcPr>
    </w:tblStylePr>
    <w:tblStylePr w:type="lastRow">
      <w:pPr>
        <w:spacing w:before="0" w:after="0" w:line="240" w:lineRule="auto"/>
      </w:pPr>
      <w:rPr>
        <w:b/>
        <w:bCs/>
        <w:color w:val="000000"/>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color w:val="000000"/>
      </w:rPr>
    </w:tblStylePr>
    <w:tblStylePr w:type="lastCol">
      <w:rPr>
        <w:b/>
        <w:bCs/>
        <w:color w:val="000000"/>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color w:val="000000"/>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color w:val="000000"/>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color w:val="000000"/>
      </w:rPr>
    </w:tblStylePr>
    <w:tblStylePr w:type="lastCol">
      <w:rPr>
        <w:rFonts w:asciiTheme="majorHAnsi" w:eastAsiaTheme="majorEastAsia" w:hAnsiTheme="majorHAnsi" w:cstheme="majorBidi"/>
        <w:b/>
        <w:bCs/>
        <w:color w:val="000000"/>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color w:val="000000"/>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color w:val="000000"/>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color w:val="000000"/>
      </w:rPr>
    </w:tblStylePr>
    <w:tblStylePr w:type="lastCol">
      <w:rPr>
        <w:rFonts w:asciiTheme="majorHAnsi" w:eastAsiaTheme="majorEastAsia" w:hAnsiTheme="majorHAnsi" w:cstheme="majorBidi"/>
        <w:b/>
        <w:bCs/>
        <w:color w:val="000000"/>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color w:val="000000"/>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color w:val="000000"/>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color w:val="000000"/>
      </w:rPr>
    </w:tblStylePr>
    <w:tblStylePr w:type="lastCol">
      <w:rPr>
        <w:rFonts w:asciiTheme="majorHAnsi" w:eastAsiaTheme="majorEastAsia" w:hAnsiTheme="majorHAnsi" w:cstheme="majorBidi"/>
        <w:b/>
        <w:bCs/>
        <w:color w:val="000000"/>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color w:val="000000"/>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color w:val="000000"/>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color w:val="000000"/>
      </w:rPr>
    </w:tblStylePr>
    <w:tblStylePr w:type="lastCol">
      <w:rPr>
        <w:rFonts w:asciiTheme="majorHAnsi" w:eastAsiaTheme="majorEastAsia" w:hAnsiTheme="majorHAnsi" w:cstheme="majorBidi"/>
        <w:b/>
        <w:bCs/>
        <w:color w:val="000000"/>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color w:val="000000"/>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color w:val="000000"/>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color w:val="000000"/>
      </w:rPr>
    </w:tblStylePr>
    <w:tblStylePr w:type="lastCol">
      <w:rPr>
        <w:rFonts w:asciiTheme="majorHAnsi" w:eastAsiaTheme="majorEastAsia" w:hAnsiTheme="majorHAnsi" w:cstheme="majorBidi"/>
        <w:b/>
        <w:bCs/>
        <w:color w:val="000000"/>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color w:val="000000"/>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color w:val="000000"/>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color w:val="000000"/>
      </w:rPr>
    </w:tblStylePr>
    <w:tblStylePr w:type="lastCol">
      <w:rPr>
        <w:rFonts w:asciiTheme="majorHAnsi" w:eastAsiaTheme="majorEastAsia" w:hAnsiTheme="majorHAnsi" w:cstheme="majorBidi"/>
        <w:b/>
        <w:bCs/>
        <w:color w:val="000000"/>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color w:val="000000"/>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color w:val="000000"/>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color w:val="000000"/>
      </w:rPr>
    </w:tblStylePr>
    <w:tblStylePr w:type="lastCol">
      <w:rPr>
        <w:rFonts w:asciiTheme="majorHAnsi" w:eastAsiaTheme="majorEastAsia" w:hAnsiTheme="majorHAnsi" w:cstheme="majorBidi"/>
        <w:b/>
        <w:bCs/>
        <w:color w:val="000000"/>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color w:val="000000"/>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color w:val="000000"/>
      </w:rPr>
    </w:tblStylePr>
    <w:tblStylePr w:type="lastCol">
      <w:rPr>
        <w:b/>
        <w:bCs/>
        <w:color w:val="000000"/>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color w:val="000000"/>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color w:val="000000"/>
      </w:rPr>
    </w:tblStylePr>
    <w:tblStylePr w:type="lastCol">
      <w:rPr>
        <w:b/>
        <w:bCs/>
        <w:color w:val="000000"/>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color w:val="000000"/>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color w:val="000000"/>
      </w:rPr>
    </w:tblStylePr>
    <w:tblStylePr w:type="lastCol">
      <w:rPr>
        <w:b/>
        <w:bCs/>
        <w:color w:val="000000"/>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color w:val="000000"/>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color w:val="000000"/>
      </w:rPr>
    </w:tblStylePr>
    <w:tblStylePr w:type="lastCol">
      <w:rPr>
        <w:b/>
        <w:bCs/>
        <w:color w:val="000000"/>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color w:val="000000"/>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color w:val="000000"/>
      </w:rPr>
    </w:tblStylePr>
    <w:tblStylePr w:type="lastCol">
      <w:rPr>
        <w:b/>
        <w:bCs/>
        <w:color w:val="000000"/>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color w:val="000000"/>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color w:val="000000"/>
      </w:rPr>
    </w:tblStylePr>
    <w:tblStylePr w:type="lastCol">
      <w:rPr>
        <w:b/>
        <w:bCs/>
        <w:color w:val="000000"/>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color w:val="000000"/>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color w:val="000000"/>
      </w:rPr>
    </w:tblStylePr>
    <w:tblStylePr w:type="lastCol">
      <w:rPr>
        <w:b/>
        <w:bCs/>
        <w:color w:val="000000"/>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000000"/>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000000"/>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000000"/>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000000"/>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000000"/>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000000"/>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color w:val="000000"/>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color w:val="000000"/>
      </w:rPr>
    </w:tblStylePr>
    <w:tblStylePr w:type="lastCol">
      <w:rPr>
        <w:b/>
        <w:bCs/>
        <w:color w:val="000000"/>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color w:val="000000"/>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color w:val="000000"/>
      </w:rPr>
    </w:tblStylePr>
    <w:tblStylePr w:type="lastCol">
      <w:rPr>
        <w:b/>
        <w:bCs/>
        <w:color w:val="000000"/>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color w:val="000000"/>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color w:val="000000"/>
      </w:rPr>
    </w:tblStylePr>
    <w:tblStylePr w:type="lastCol">
      <w:rPr>
        <w:b/>
        <w:bCs/>
        <w:color w:val="000000"/>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color w:val="000000"/>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color w:val="000000"/>
      </w:rPr>
    </w:tblStylePr>
    <w:tblStylePr w:type="lastCol">
      <w:rPr>
        <w:b/>
        <w:bCs/>
        <w:color w:val="000000"/>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color w:val="000000"/>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color w:val="000000"/>
      </w:rPr>
    </w:tblStylePr>
    <w:tblStylePr w:type="lastCol">
      <w:rPr>
        <w:b/>
        <w:bCs/>
        <w:color w:val="000000"/>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color w:val="000000"/>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color w:val="000000"/>
      </w:rPr>
    </w:tblStylePr>
    <w:tblStylePr w:type="lastCol">
      <w:rPr>
        <w:b/>
        <w:bCs/>
        <w:color w:val="000000"/>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color w:val="000000"/>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color w:val="000000"/>
      </w:rPr>
    </w:tblStylePr>
    <w:tblStylePr w:type="lastCol">
      <w:rPr>
        <w:b/>
        <w:bCs/>
        <w:color w:val="000000"/>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color w:val="000000"/>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color w:val="000000"/>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color w:val="000000"/>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color w:val="000000"/>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color w:val="000000"/>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color w:val="000000"/>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color w:val="000000"/>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color w:val="000000"/>
      </w:rPr>
    </w:tblStylePr>
    <w:tblStylePr w:type="lastRow">
      <w:rPr>
        <w:b/>
        <w:bCs/>
        <w:color w:val="000000"/>
      </w:rPr>
      <w:tblPr/>
      <w:tcPr>
        <w:tcBorders>
          <w:top w:val="single" w:sz="18" w:space="0" w:color="404040" w:themeColor="text1" w:themeTint="BF"/>
        </w:tcBorders>
      </w:tcPr>
    </w:tblStylePr>
    <w:tblStylePr w:type="firstCol">
      <w:rPr>
        <w:b/>
        <w:bCs/>
        <w:color w:val="000000"/>
      </w:rPr>
    </w:tblStylePr>
    <w:tblStylePr w:type="lastCol">
      <w:rPr>
        <w:b/>
        <w:bCs/>
        <w:color w:val="000000"/>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color w:val="000000"/>
      </w:rPr>
    </w:tblStylePr>
    <w:tblStylePr w:type="lastRow">
      <w:rPr>
        <w:b/>
        <w:bCs/>
        <w:color w:val="000000"/>
      </w:rPr>
      <w:tblPr/>
      <w:tcPr>
        <w:tcBorders>
          <w:top w:val="single" w:sz="18" w:space="0" w:color="7BA0CD" w:themeColor="accent1" w:themeTint="BF"/>
        </w:tcBorders>
      </w:tcPr>
    </w:tblStylePr>
    <w:tblStylePr w:type="firstCol">
      <w:rPr>
        <w:b/>
        <w:bCs/>
        <w:color w:val="000000"/>
      </w:rPr>
    </w:tblStylePr>
    <w:tblStylePr w:type="lastCol">
      <w:rPr>
        <w:b/>
        <w:bCs/>
        <w:color w:val="000000"/>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color w:val="000000"/>
      </w:rPr>
    </w:tblStylePr>
    <w:tblStylePr w:type="lastRow">
      <w:rPr>
        <w:b/>
        <w:bCs/>
        <w:color w:val="000000"/>
      </w:rPr>
      <w:tblPr/>
      <w:tcPr>
        <w:tcBorders>
          <w:top w:val="single" w:sz="18" w:space="0" w:color="CF7B79" w:themeColor="accent2" w:themeTint="BF"/>
        </w:tcBorders>
      </w:tcPr>
    </w:tblStylePr>
    <w:tblStylePr w:type="firstCol">
      <w:rPr>
        <w:b/>
        <w:bCs/>
        <w:color w:val="000000"/>
      </w:rPr>
    </w:tblStylePr>
    <w:tblStylePr w:type="lastCol">
      <w:rPr>
        <w:b/>
        <w:bCs/>
        <w:color w:val="000000"/>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color w:val="000000"/>
      </w:rPr>
    </w:tblStylePr>
    <w:tblStylePr w:type="lastRow">
      <w:rPr>
        <w:b/>
        <w:bCs/>
        <w:color w:val="000000"/>
      </w:rPr>
      <w:tblPr/>
      <w:tcPr>
        <w:tcBorders>
          <w:top w:val="single" w:sz="18" w:space="0" w:color="B3CC82" w:themeColor="accent3" w:themeTint="BF"/>
        </w:tcBorders>
      </w:tcPr>
    </w:tblStylePr>
    <w:tblStylePr w:type="firstCol">
      <w:rPr>
        <w:b/>
        <w:bCs/>
        <w:color w:val="000000"/>
      </w:rPr>
    </w:tblStylePr>
    <w:tblStylePr w:type="lastCol">
      <w:rPr>
        <w:b/>
        <w:bCs/>
        <w:color w:val="000000"/>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color w:val="000000"/>
      </w:rPr>
    </w:tblStylePr>
    <w:tblStylePr w:type="lastRow">
      <w:rPr>
        <w:b/>
        <w:bCs/>
        <w:color w:val="000000"/>
      </w:rPr>
      <w:tblPr/>
      <w:tcPr>
        <w:tcBorders>
          <w:top w:val="single" w:sz="18" w:space="0" w:color="9F8AB9" w:themeColor="accent4" w:themeTint="BF"/>
        </w:tcBorders>
      </w:tcPr>
    </w:tblStylePr>
    <w:tblStylePr w:type="firstCol">
      <w:rPr>
        <w:b/>
        <w:bCs/>
        <w:color w:val="000000"/>
      </w:rPr>
    </w:tblStylePr>
    <w:tblStylePr w:type="lastCol">
      <w:rPr>
        <w:b/>
        <w:bCs/>
        <w:color w:val="000000"/>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color w:val="000000"/>
      </w:rPr>
    </w:tblStylePr>
    <w:tblStylePr w:type="lastRow">
      <w:rPr>
        <w:b/>
        <w:bCs/>
        <w:color w:val="000000"/>
      </w:rPr>
      <w:tblPr/>
      <w:tcPr>
        <w:tcBorders>
          <w:top w:val="single" w:sz="18" w:space="0" w:color="78C0D4" w:themeColor="accent5" w:themeTint="BF"/>
        </w:tcBorders>
      </w:tcPr>
    </w:tblStylePr>
    <w:tblStylePr w:type="firstCol">
      <w:rPr>
        <w:b/>
        <w:bCs/>
        <w:color w:val="000000"/>
      </w:rPr>
    </w:tblStylePr>
    <w:tblStylePr w:type="lastCol">
      <w:rPr>
        <w:b/>
        <w:bCs/>
        <w:color w:val="000000"/>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color w:val="000000"/>
      </w:rPr>
    </w:tblStylePr>
    <w:tblStylePr w:type="lastRow">
      <w:rPr>
        <w:b/>
        <w:bCs/>
        <w:color w:val="000000"/>
      </w:rPr>
      <w:tblPr/>
      <w:tcPr>
        <w:tcBorders>
          <w:top w:val="single" w:sz="18" w:space="0" w:color="F9B074" w:themeColor="accent6" w:themeTint="BF"/>
        </w:tcBorders>
      </w:tcPr>
    </w:tblStylePr>
    <w:tblStylePr w:type="firstCol">
      <w:rPr>
        <w:b/>
        <w:bCs/>
        <w:color w:val="000000"/>
      </w:rPr>
    </w:tblStylePr>
    <w:tblStylePr w:type="lastCol">
      <w:rPr>
        <w:b/>
        <w:bCs/>
        <w:color w:val="000000"/>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color w:val="000000"/>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color w:val="000000"/>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color w:val="000000"/>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color w:val="000000"/>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color w:val="000000"/>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color w:val="000000"/>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color w:val="000000"/>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color w:val="000000"/>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000000" w:themeFill="text1" w:themeFillShade="99"/>
      </w:tcPr>
    </w:tblStylePr>
    <w:tblStylePr w:type="firstCol">
      <w:rPr>
        <w:color w:val="000000"/>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color w:val="000000"/>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C4C74" w:themeFill="accent1" w:themeFillShade="99"/>
      </w:tcPr>
    </w:tblStylePr>
    <w:tblStylePr w:type="firstCol">
      <w:rPr>
        <w:color w:val="000000"/>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000000"/>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color w:val="000000"/>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772C2A" w:themeFill="accent2" w:themeFillShade="99"/>
      </w:tcPr>
    </w:tblStylePr>
    <w:tblStylePr w:type="firstCol">
      <w:rPr>
        <w:color w:val="000000"/>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000000"/>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color w:val="000000"/>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5E7530" w:themeFill="accent3" w:themeFillShade="99"/>
      </w:tcPr>
    </w:tblStylePr>
    <w:tblStylePr w:type="firstCol">
      <w:rPr>
        <w:color w:val="000000"/>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000000"/>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color w:val="000000"/>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4C3B62" w:themeFill="accent4" w:themeFillShade="99"/>
      </w:tcPr>
    </w:tblStylePr>
    <w:tblStylePr w:type="firstCol">
      <w:rPr>
        <w:color w:val="000000"/>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000000"/>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color w:val="000000"/>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76A7C" w:themeFill="accent5" w:themeFillShade="99"/>
      </w:tcPr>
    </w:tblStylePr>
    <w:tblStylePr w:type="firstCol">
      <w:rPr>
        <w:color w:val="000000"/>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000000"/>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color w:val="000000"/>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B65608" w:themeFill="accent6" w:themeFillShade="99"/>
      </w:tcPr>
    </w:tblStylePr>
    <w:tblStylePr w:type="firstCol">
      <w:rPr>
        <w:color w:val="000000"/>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000000"/>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color w:val="000000"/>
      </w:rPr>
    </w:tblStylePr>
    <w:tblStylePr w:type="lastCol">
      <w:rPr>
        <w:b/>
        <w:bCs/>
        <w:color w:val="000000"/>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color w:val="000000"/>
      </w:rPr>
    </w:tblStylePr>
    <w:tblStylePr w:type="lastCol">
      <w:rPr>
        <w:b/>
        <w:bCs/>
        <w:color w:val="000000"/>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color w:val="000000"/>
      </w:rPr>
    </w:tblStylePr>
    <w:tblStylePr w:type="lastCol">
      <w:rPr>
        <w:b/>
        <w:bCs/>
        <w:color w:val="000000"/>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000000"/>
      </w:rPr>
      <w:tblPr/>
      <w:tcPr>
        <w:tcBorders>
          <w:bottom w:val="single" w:sz="12" w:space="0" w:color="FFFFFF" w:themeColor="background1"/>
        </w:tcBorders>
        <w:shd w:val="clear" w:color="auto" w:fill="664E82" w:themeFill="accent4"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color w:val="000000"/>
      </w:rPr>
    </w:tblStylePr>
    <w:tblStylePr w:type="lastCol">
      <w:rPr>
        <w:b/>
        <w:bCs/>
        <w:color w:val="000000"/>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000000"/>
      </w:rPr>
      <w:tblPr/>
      <w:tcPr>
        <w:tcBorders>
          <w:bottom w:val="single" w:sz="12" w:space="0" w:color="FFFFFF" w:themeColor="background1"/>
        </w:tcBorders>
        <w:shd w:val="clear" w:color="auto" w:fill="7E9C40" w:themeFill="accent3"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color w:val="000000"/>
      </w:rPr>
    </w:tblStylePr>
    <w:tblStylePr w:type="lastCol">
      <w:rPr>
        <w:b/>
        <w:bCs/>
        <w:color w:val="000000"/>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000000"/>
      </w:rPr>
      <w:tblPr/>
      <w:tcPr>
        <w:tcBorders>
          <w:bottom w:val="single" w:sz="12" w:space="0" w:color="FFFFFF" w:themeColor="background1"/>
        </w:tcBorders>
        <w:shd w:val="clear" w:color="auto" w:fill="F2730A" w:themeFill="accent6"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color w:val="000000"/>
      </w:rPr>
    </w:tblStylePr>
    <w:tblStylePr w:type="lastCol">
      <w:rPr>
        <w:b/>
        <w:bCs/>
        <w:color w:val="000000"/>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000000"/>
      </w:rPr>
      <w:tblPr/>
      <w:tcPr>
        <w:tcBorders>
          <w:bottom w:val="single" w:sz="12" w:space="0" w:color="FFFFFF" w:themeColor="background1"/>
        </w:tcBorders>
        <w:shd w:val="clear" w:color="auto" w:fill="348DA5" w:themeFill="accent5"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color w:val="000000"/>
      </w:rPr>
    </w:tblStylePr>
    <w:tblStylePr w:type="lastCol">
      <w:rPr>
        <w:b/>
        <w:bCs/>
        <w:color w:val="000000"/>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color w:val="000000"/>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000000"/>
      </w:rPr>
      <w:tblPr/>
      <w:tcPr>
        <w:shd w:val="clear" w:color="auto" w:fill="000000" w:themeFill="text1" w:themeFillShade="BF"/>
      </w:tcPr>
    </w:tblStylePr>
    <w:tblStylePr w:type="lastCol">
      <w:rPr>
        <w:color w:val="000000"/>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color w:val="000000"/>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000000"/>
      </w:rPr>
      <w:tblPr/>
      <w:tcPr>
        <w:shd w:val="clear" w:color="auto" w:fill="365F91" w:themeFill="accent1" w:themeFillShade="BF"/>
      </w:tcPr>
    </w:tblStylePr>
    <w:tblStylePr w:type="lastCol">
      <w:rPr>
        <w:color w:val="000000"/>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color w:val="000000"/>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000000"/>
      </w:rPr>
      <w:tblPr/>
      <w:tcPr>
        <w:shd w:val="clear" w:color="auto" w:fill="943634" w:themeFill="accent2" w:themeFillShade="BF"/>
      </w:tcPr>
    </w:tblStylePr>
    <w:tblStylePr w:type="lastCol">
      <w:rPr>
        <w:color w:val="000000"/>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color w:val="000000"/>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000000"/>
      </w:rPr>
      <w:tblPr/>
      <w:tcPr>
        <w:shd w:val="clear" w:color="auto" w:fill="76923C" w:themeFill="accent3" w:themeFillShade="BF"/>
      </w:tcPr>
    </w:tblStylePr>
    <w:tblStylePr w:type="lastCol">
      <w:rPr>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color w:val="000000"/>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000000"/>
      </w:rPr>
      <w:tblPr/>
      <w:tcPr>
        <w:shd w:val="clear" w:color="auto" w:fill="5F497A" w:themeFill="accent4" w:themeFillShade="BF"/>
      </w:tcPr>
    </w:tblStylePr>
    <w:tblStylePr w:type="lastCol">
      <w:rPr>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color w:val="000000"/>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000000"/>
      </w:rPr>
      <w:tblPr/>
      <w:tcPr>
        <w:shd w:val="clear" w:color="auto" w:fill="31849B" w:themeFill="accent5" w:themeFillShade="BF"/>
      </w:tcPr>
    </w:tblStylePr>
    <w:tblStylePr w:type="lastCol">
      <w:rPr>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color w:val="000000"/>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000000"/>
      </w:rPr>
      <w:tblPr/>
      <w:tcPr>
        <w:shd w:val="clear" w:color="auto" w:fill="E36C0A" w:themeFill="accent6" w:themeFillShade="BF"/>
      </w:tcPr>
    </w:tblStylePr>
    <w:tblStylePr w:type="lastCol">
      <w:rPr>
        <w:color w:val="000000"/>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