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软件设计说明书</w:t>
      </w: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极端气候下粮食生产风险核心因子识别与韧性提升可视化决策系统 V1.0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4536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**第一著作权人**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潘妙齐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**合作著作权人**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熊鑫、石灵子、常宇璇、山西农业大学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**完成日期**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2026年5月29日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**首次发表日期**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2026年5月29日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**文档版本**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V1.0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**英文名称**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Grain Production Risk Factor Identification and Resilience Decision Support System (GRIDSS)</w:t>
            </w:r>
          </w:p>
        </w:tc>
      </w:tr>
    </w:tbl>
    <w:p/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目录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1. §1 引言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2. §2 系统架构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3. §3 功能描述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4. §4 模型集成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5. §5 数据库与数据集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6. §6 部署与运维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7. §7 测试与质量保证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8. §8 用户手册摘要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9. §9 参考与版权声明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10. §10 附录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§1 引言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§1.1 软件名称与版本</w:t>
      </w:r>
    </w:p>
    <w:p>
      <w:pPr>
        <w:spacing w:after="40" w:before="0"/>
      </w:pP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中文全称：极端气候下粮食生产风险核心因子识别与韧性提升可视化决策系统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英文名称：Grain Production Risk Factor Identification and Resilience Decision Support System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英文缩写：GRIDSS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版本号：V1.0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§1.2 开发目的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本软件依托国家级大学生创新创业训练计划项目（N4批准版），响应国家"乡村振兴 + 粮食安全 + 气候适应"战略需求，面向省级粮食生产风险管理场景，集成多模态气候-统计-遥感数据，通过XGBoost-SHAP、基线LSTM、Attention-LSTM三模型互补归因，识别影响粮食单产的关键风险因子，并为农业管理部门、保险机构、农资企业提供可交互的情景推演与韧性路径建议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本系统定位为决策支持系统，模型作为引擎。系统价值在于省内可解释归因与反事实情景模拟能力，不依赖跨省外推能力。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§1.3 适用范围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适用于中国31个省（自治区、直辖市，不含港澳台）的粮食生产风险识别与韧性提升路径规划场景。覆盖2011年至2023年共13年的历史数据分析和当前年份的风险预测。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§1.4 目标用户群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1. 农业管理部门：农业农村部、省级农业厅、县级农业局——用于区域粮食安全监测与政策制定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2. 保险机构：农险公司、再保险机构——用于农业风险评估与保费定价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3. 农资企业：种业、化肥、农机企业——用于市场需求分析与产品规划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4. 科研机构：农科院、高校粮食安全研究所——用于学术研究与教学演示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5. 政策研究者：政府涉农决策参谋人员——用于政策效果模拟与评估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§1.5 主要功能概述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本软件包含六个功能模块，通过浏览器访问，无需安装客户端：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模块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名称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核心功能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M00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系统总览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展示数据规模、三模型验证指标、双归因视角Top3对比，建立整体认知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M01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风险时空地图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31省13年风险等级交互式地图，年份滑块切换，单省明细查询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M02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SHAP归因看板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11维特征边际贡献可视化，四视角（全局/农业/气候/灾害）切换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M03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参数情景模拟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5维可调参数滑块，前端即时估算+后端三模型异步确认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M04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韧性路径推荐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11条规则引擎生成短/中/长期三档行动建议，含预算估算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M05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推演监控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实时轮询推理历史，展示近50条记录的完整输入输出</w:t>
            </w:r>
          </w:p>
        </w:tc>
      </w:tr>
    </w:tbl>
    <w:p/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[~3 pages]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§2 系统架构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§2.1 总体架构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本系统采用前后端分离的三层架构，通过RESTful API实现前后端解耦：</w:t>
      </w:r>
    </w:p>
    <w:p>
      <w:pPr>
        <w:spacing w:after="40" w:before="0"/>
      </w:pPr>
    </w:p>
    <w:p>
      <w:pPr>
        <w:spacing w:after="80" w:before="80"/>
        <w:ind w:left="567"/>
      </w:pPr>
      <w:r>
        <w:rPr>
          <w:rFonts w:ascii="Consolas" w:hAnsi="Consolas"/>
          <w:color w:val="404040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      用户浏览器 (Browser)                    │</w:t>
        <w:br/>
        <w:t>│         Vue 3.4 + Vite + Pinia + ECharts 5              │</w:t>
        <w:br/>
        <w:t>└─────────────────────┬───────────────────────────────────┘</w:t>
        <w:br/>
        <w:t xml:space="preserve">                      │ HTTPS (grainrisk.app)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Nginx 反向代理 + 静态文件托管                  │</w:t>
        <w:br/>
        <w:t>│            Let's Encrypt TLS 终止 + HTTPS               │</w:t>
        <w:br/>
        <w:t>└─────────────────────┬───────────────────────────────────┘</w:t>
        <w:br/>
        <w:t xml:space="preserve">                      │ HTTP (localhost:8000)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Gunicorn WSGI Server (4 workers)               │</w:t>
        <w:br/>
        <w:t>│                  timeout: 60s                            │</w:t>
        <w:br/>
        <w:t>└─────────────────────┬───────────────────────────────────┘</w:t>
        <w:br/>
        <w:t xml:space="preserve">                      │ WSGI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Flask 3.0 Application                    │</w:t>
        <w:br/>
        <w:t>│  ┌──────────┐ ┌──────────┐ ┌──────────┐ ┌──────────┐   │</w:t>
        <w:br/>
        <w:t>│  │ /api/    │ │ /api/    │ │ /api/    │ │ /api/    │   │</w:t>
        <w:br/>
        <w:t>│  │ provinces│ │ predict  │ │ shap     │ │ admin    │   │</w:t>
        <w:br/>
        <w:t>│  └────┬─────┘ └────┬─────┘ └────┬─────┘ └────┬─────┘   │</w:t>
        <w:br/>
        <w:t>│       │            │            │            │          │</w:t>
        <w:br/>
        <w:t>│  ┌────┴────────────┴────────────┴────────────┴─────┐   │</w:t>
        <w:br/>
        <w:t>│  │              Services Layer                      │   │</w:t>
        <w:br/>
        <w:t>│  │  ┌──────────────────┐ ┌──────────────────────┐  │   │</w:t>
        <w:br/>
        <w:t>│  │  │ inference.py     │ │ panel_repo.py        │  │   │</w:t>
        <w:br/>
        <w:t>│  │  │ (324 lines)      │ │ (218 lines)          │  │   │</w:t>
        <w:br/>
        <w:t>│  │  │ 3-model lazy load│ │ Repository Pattern   │  │   │</w:t>
        <w:br/>
        <w:t>│  │  └────────┬─────────┘ └──────────┬───────────┘  │   │</w:t>
        <w:br/>
        <w:t>│  └───────────┼──────────────────────┼──────────────┘   │</w:t>
        <w:br/>
        <w:t>└──────────────┼──────────────────────┼──────────────────┘</w:t>
        <w:br/>
        <w:t xml:space="preserve">               │                      │</w:t>
        <w:br/>
        <w:t xml:space="preserve">               ▼                      ▼</w:t>
        <w:br/>
        <w:t>┌──────────────────────┐ ┌──────────────────────┐</w:t>
        <w:br/>
        <w:t>│   模型层 (Models)     │ │   数据层 (Data)       │</w:t>
        <w:br/>
        <w:t>│ ┌──────────────────┐ │ │ ┌──────────────────┐ │</w:t>
        <w:br/>
        <w:t>│ │ XGBoost JSON     │ │ │ │ SQLite 3.x       │ │</w:t>
        <w:br/>
        <w:t>│ │ Keras .h5 (x2)   │ │ │ │ paper_panel_v3   │ │</w:t>
        <w:br/>
        <w:t>│ │ SHAP pre-computed│ │ │ │ (403 rows × 27)  │ │</w:t>
        <w:br/>
        <w:t>│ └──────────────────┘ │ │ └──────────────────┘ │</w:t>
        <w:br/>
        <w:t>│                      │ │ ┌──────────────────┐ │</w:t>
        <w:br/>
        <w:t>│                      │ │ │ Parquet cache     │ │</w:t>
        <w:br/>
        <w:t>│                      │ │ │ (in-memory load)  │ │</w:t>
        <w:br/>
        <w:t>│                      │ │ └──────────────────┘ │</w:t>
        <w:br/>
        <w:t>└──────────────────────┘ └──────────────────────┘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§2.2 技术栈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前端技术栈（frontend/package.json）：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组件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版本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Vue.js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3.4.x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渐进式前端框架，Composition API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Vite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5.x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前端构建工具，HMR热更新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TypeScript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5.x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类型安全开发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Pinia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状态管理，省份选择跨模块共享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ECharts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5.x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交互式数据可视化（地图、柱状图、雷达图）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Element Plus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UI组件库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Vue Router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4.x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前端路由，6个功能页面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Axios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HTTP客户端，后端API调用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DOMPurify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XSS防护，动态HTML净化</w:t>
            </w:r>
          </w:p>
        </w:tc>
      </w:tr>
    </w:tbl>
    <w:p/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后端技术栈（backend/requirements.txt）：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组件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版本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Python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3.10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运行环境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Flask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3.0.x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Web应用框架，RESTful API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Gunicorn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21.x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WSGI HTTP服务器，4 worker进程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TensorFlow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2.17.x (CPU)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LSTM/Attention-LSTM模型推理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XGBoost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2.0.x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梯度提升树模型推理 + SHAP计算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SHAP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0.46.x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SHAP归因值计算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pandas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数据处理与分析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numpy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1.26.x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数值计算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scikit-learn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1.5.x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评估指标（R², MAE, RMSE）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Flask-Limiter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API速率限制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Flask-CORS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4.x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跨域资源共享</w:t>
            </w:r>
          </w:p>
        </w:tc>
      </w:tr>
    </w:tbl>
    <w:p/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数据持久化：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组件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版本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SQLite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运行时数据持久化，用户查询缓存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Parquet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面板数据快速加载（paper_panel_v3.parquet）</w:t>
            </w:r>
          </w:p>
        </w:tc>
      </w:tr>
    </w:tbl>
    <w:p/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部署环境：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组件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版本/配置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GCP e2-medium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 vCPU, 4GB RAM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云服务器实例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Ubuntu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22.04 LTS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操作系统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nginx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1.24.x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反向代理 + 静态文件 + HTTPS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Let's Encrypt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certbot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TLS证书自动续期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Cloud DNS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grainrisk.app域名解析</w:t>
            </w:r>
          </w:p>
        </w:tc>
      </w:tr>
    </w:tbl>
    <w:p/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§2.3 模块依赖关系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六个功能模块通过以下机制实现数据共享和交互：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1. Pinia状态共享（frontend/src/stores/useProvinceStore.ts，171行）：M01-M05共享当前选中省份、历史数据缓存和加载状态。省份选择在任一模块变更后，其他模块自动同步。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2. RESTful API共用：所有模块通过统一的后端API层获取数据：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M01调用 `GET /api/provinces?year=` 获取年份数据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M02调用 `GET /api/shap/&lt;province&gt;/&lt;year&gt;` 获取SHAP归因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M03调用 `POST /api/predict` 获取三模型预测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M04使用前端规则引擎（`recommendation.ts`）+ 后端 `_recommendations` 轻量版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M05调用 `GET /api/admin/predicts` 获取推演历史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3. 前端API封装层（frontend/src/api/）：6个API模块统一管理HTTP请求，基础封装在 http.ts（27行），Axios实例配置baseURL、超时和拦截器。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[~3 pages]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§3 功能描述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§3.1 M00 系统总览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对应源文件：frontend/src/views/Overview.vue（864行）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功能说明：系统总览是用户进入系统的默认落点页面，以KPI卡片形式集中展示项目数据规模、三模型验证指标和双归因视角对比，帮助用户在使用各分析模块前建立对系统能力的整体认知。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输入：无。页面加载后自动展示静态数据。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输出：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4张KPI卡：覆盖省份（31）、数据样本（403）、三模型random 8:2 R²（XGBoost 0.907 / LSTM 0.886 / Attention-LSTM 0.816）、leave-province-out中位R²（-16.83）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XGB-Top3因子（NDVI / 降水量 / 气温）与Attention-Top3因子（旱灾面积 / SPEI / 气温）对比区，体现双视角互补关系（Spearman ρ = -0.055）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数据融合进度条：省级统计100%、MODIS遥感100%、CLCD耕地掩膜60%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各分析模块入口卡片（M01-M05）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技术实现：静态页面渲染，数据从Pinia store获取。KPI卡数值为项目实测指标，不依赖后端实时请求。归因对比区强调XGB-SHAP与Attention-LSTM的方法论独立性。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§3.2 M01 风险时空地图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对应源文件：frontend/src/views/RiskMap.vue（1144行）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功能说明：以中国省级交互地图呈现2011至2023年各省粮食生产风险等级的时空分布，支持年份切换和单省历史数据查询，直观把握区域风险格局演变趋势。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输入：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年份选择：通过拖动年份滑块（2011-2023）切换历史年份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省份选择：点击地图上的省份触发明细查询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输出：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ECharts GeoJSON渲染的中国省级交互地图，各省按风险分位数着色（绿→黄→红五档色阶）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右侧省份详情面板：该省历史产量折线图 + 当年11维特征数值卡片 + 风险等级标签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悬停tooltip：省名、当年风险指数Y值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Top10高风险省份排名表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技术实现：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基于ECharts中国地图GeoJSON（`frontend/public/maps/china.json`，211行）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调用 `GET /api/provinces?year=` 接口获取年份数据，首次请求后缓存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年份切换触发地图着色更新和排名表重算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省份点击高亮选中边界，右侧面板异步加载历史数据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§3.3 M02 SHAP归因看板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对应源文件：frontend/src/views/ShapDashboard.vue（989行）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功能说明：针对用户选定省份，调用后端XGBoost-SHAP归因接口，以水平柱状图展示11维气候、致灾与管理特征各自的边际贡献方向和量级，支持四视角切换，帮助用户识别当前省份粮食风险的主控因子。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输入：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省份选择：下拉选择器（与M01/M03/M04共享Pinia状态）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年份选择：年份滑块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视角切换：全局 / 农业条件（Irr, Mech, Fert）/ 气候因子（Temp, Prec, Sun, SPEI）/ 灾害因子（Flood_R, Flood_A, Drou_A）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输出：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11维特征归一化重要性水平柱状图，按重要性降序排列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方向色编码：绿色=有利因子（降低风险），红色=有害因子（增加风险）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特征英文短码与中文名称对照标签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Spearman秩相关提示（ρ = -0.055），说明XGB与Attention归因互补关系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技术实现：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调用后端 `GET /api/shap/&lt;province&gt;/&lt;year&gt;` 接口，返回11维归一化SHAP值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前端ECharts渲染水平柱状图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视角切换通过前端过滤特征子集实现，无需重新请求后端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省份切换时图表重置并重新加载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§3.4 M03 参数情景模拟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对应源文件：frontend/src/views/ScenarioSim.vue（810行）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功能说明：在选定省份的基线数据基础上，提供5维关键参数可调滑块，通过前端即时估算与后端三模型异步确认的双重机制，帮助用户评估不同气候和管理干预下粮食风险的变化方向和量级。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输入：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省份选择：下拉选择器（共享状态）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5条参数滑块：灌溉率（Irr, %）、洪涝占比（Flood_R, %）、日照时数（Sun, h）、平均气温（Temp, °C）、SPEI干旱指数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每条滑块显示当前值、取值范围和调节提示方向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输出：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风险指数实时数值面板：前端公式估算值（200ms防抖即时更新）+ 后端三模型集成预测值（异步覆盖）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ECharts雷达图：叠加展示调参前基线（虚线）与当前参数（实线）下的11维特征偏移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三模型集成标记：预测值旁标注模型来源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技术实现：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滑块以省份基线数据初始化，取值范围基于历史数据分布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前端线性公式：200ms防抖后立即更新界面估算值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异步调用 `POST /api/predict`，约0.5-2秒后三模型（XGBoost+LSTM+Attention-LSTM）集成结果覆盖前端估算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雷达图实时跟随滑块变化更新，对比基线与当前参数的11维偏移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重置基线按钮：一键还原所有滑块至省份原始数据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§3.5 M04 韧性路径推荐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对应源文件：frontend/src/views/ResiliencePath.vue（987行）；规则引擎 frontend/src/data/recommendation.ts（338行）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功能说明：依据选定省份在风险指数、灌溉率、洪涝占比等关键指标上相对全国均值的偏差，由内置11条规则引擎自动生成短期、中期、长期三档行动建议卡，每张卡包含具体措施描述、优先级评级及预估介入效果，并综合计算总预算区间供规划参考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输入：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省份选择：下拉选择器（共享状态）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输出：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左侧3项指标对比卡：风险指数Y与全国均值对比（含百分比偏差箭头）、灌溉率对比、洪涝占比对比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短期行动卡（约1年内）：带优先级标签的建议卡片列表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中期行动卡（约3年内）：带优先级标签的建议卡片列表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长期行动卡（约5年以上）：带优先级标签的建议卡片列表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底部总预算估算区间（元）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技术实现：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核心规则引擎位于 `frontend/src/data/recommendation.ts`（338行），包含11条独立规则 + `buildPathway` 合成函数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规则阈值基于XGB-SHAP边际贡献分位拐点 + Attention-LSTM softmax偏好，模型驱动规则而非硬编码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优先级由省份指标与全国均值的偏差幅度自动决定，偏差越大优先级越高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行动卡片描述文本经DOMPurify安全过滤后渲染，支持关键词高亮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总预算随触发规则数量动态计算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后端 `backend/api/predict.py::_recommendations` 提供轻量版推荐作为补充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§3.6 M05 推演监控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对应源文件：frontend/src/views/InferenceTrace.vue（1016行）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功能说明：实时轮询后端推演历史接口，以时间倒序列表展示M02/M03/M04模块触发的三模型推演记录，每条记录包含触发时间、输入省份、各模型单独预测值、三模型集成结果及接口响应时延，支持展开查看完整11维输入参数，帮助用户追踪和复核历次风险分析的完整输入输出过程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输入：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自动轮询：每3秒向后端发起请求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输出：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顶部统计区：当前记录总条数、缓冲区占用率（已用/最大50条）、平均响应时延（ms）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推演记录表格：触发时间、输入省份、XGBoost预测值、LSTM预测值、三模型集成值、响应时延（ms）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行展开区：点击展开后显示11维完整输入参数明细（格栅排列）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加载状态和错误提示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技术实现：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每3秒轮询 `GET /api/admin/predicts` 接口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环形缓冲区：最多保留50条记录，超出后最旧记录自动覆盖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记录按时间倒序排列，最新记录在首行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展开/收起交互通过前端状态管理实现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离开页面时轮询自动停止，返回时自动恢复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网络异常时保留上次成功获取的数据并显示错误提示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[~8 pages]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§4 模型集成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§4.1 三模型互补架构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本系统的核心创新不在于追求三模型预测结果一致，而在于诚实呈现归因分歧本身作为科学产出。三模型分别从不同方法论视角提供互补的因子重要性判断：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XGBoost-SHAP（横截面非线性归因）：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基于梯度提升树的非线性建模，通过SHAP（SHapley Additive exPlanations）计算每个特征对单次预测的边际贡献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输出：全局SHAP重要性排序、局部SHAP瀑布图、交互依赖图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特点：捕捉特征间非线性交互，SHAP值具有博弈论可加性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基线LSTM（时序拟合参照）：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标准长短期记忆网络，对31省×13年的时间序列进行拟合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输出：时序预测值，作为其他两模型的精度基准参照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特点：纯时序建模，不显式建模特征间关系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Attention-LSTM（内部偏好揭示）：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在LSTM基础上引入softmax注意力门控机制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输出：注意力权重分布，揭示模型内部对不同特征的相对偏好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特点：与XGBoost-SHAP方法论独立，实测两者在11维特征上的Spearman秩相关系数ρ = -0.055（p = 0.873），证实双视角互补而非一致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§4.2 推理服务架构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后端推理服务由以下核心组件构成：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backend/services/inference.py（324行）：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负责三模型的延迟加载（lazy load）：首次请求时加载模型到内存，后续请求复用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单次推理：接收11维特征向量，返回三模型各自的预测值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批量推理：支持批量省份数据的并发预测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特征预处理：Z-score标准化使用训练集统计量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backend/api/predict.py（649行）：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`POST /api/predict` 端点：接收省份名称和可选的特征覆盖值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调用inference服务获取三模型独立预测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集成策略：三模型预测值加权平均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附带SHAP top-2因子归因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附带 `_recommendations` 韧性推荐轻量版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模型制品存储（backend/models/）：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XGBoost: JSON格式（`xgb_model.json`）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LSTM: Keras H5格式（`lstm_model.h5`）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Attention-LSTM: Keras H5格式（`att_lstm_model.h5`）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SHAP预计算结果: JSON格式（各验证协议结果）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双格式保障：JSON（跨平台可读）+ H5（高效推理）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§4.3 三协议鲁棒性披露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本系统严格遵守诚实披露原则，在系统总览（M00）中公开三协议下的完整验证结果：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验证协议</w:t>
            </w:r>
          </w:p>
        </w:tc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R²</w:t>
            </w:r>
          </w:p>
        </w:tc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标准差</w:t>
            </w:r>
          </w:p>
        </w:tc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含义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random 8:2（论文协议）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0.907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±0.038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省域内因子相对重要性识别，可发表口径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leave-year-out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0.894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±0.104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时序泛化能力可用，接近论文协议水平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**leave-province-out 中位**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**-16.83**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**31省中仅1省R²&gt;0，空间外推完全失败，诚实披露**</w:t>
            </w:r>
          </w:p>
        </w:tc>
      </w:tr>
    </w:tbl>
    <w:p/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leave-province-out的负R²值表明：当模型面对完全未见过的省份时，其预测能力差于简单的均值基线。这一结果是N=403样本量下31个截面单元空间外推的合理上限，不影响系统六个模块（M00-M05）的功能输出——系统价值定位于"省内因子相对重要性识别 + 反事实情景模拟"，不依赖跨省外推能力。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§4.4 NDVI消融实验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为回应NDVI在SHAP排名中持续占据头条的现象，本项目实施了严格的NDVI消融实验：</w:t>
      </w:r>
    </w:p>
    <w:p>
      <w:pPr>
        <w:spacing w:after="40" w:before="0"/>
      </w:pP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消融方法：从11维特征中移除NDVI，重新训练XGBoost（10维），对比R²变化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实验结果：去除NDVI后R²变化 = +0.003（本质为零）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结论：NDVI在SHAP边际贡献尺度上排名头条，但其对模型预测能力的实际贡献极其有限。NDVI的真实功能定位是"省域生物量代理变量"，而非模型核心驱动因子。严禁将NDVI描述为"核心驱动"。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[~3 pages]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§5 数据库与数据集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§5.1 数据集规模</w:t>
      </w:r>
    </w:p>
    <w:p>
      <w:pPr>
        <w:spacing w:after="40" w:before="0"/>
      </w:pP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样本量：N = 403（31省 × 2011-2023共13年）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特征维度：11维自变量 + 1维目标变量（yield_kg_per_ha）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辅助字段：14列（province, year, region_class等元数据）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总数据表：paper_panel_v3，403行 × 27列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§5.2 数据源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本系统整合四类异构数据源：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数据类别</w:t>
            </w:r>
          </w:p>
        </w:tc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关键字段</w:t>
            </w:r>
          </w:p>
        </w:tc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时间跨度</w:t>
            </w:r>
          </w:p>
        </w:tc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来源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省级统计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yield_kg_per_ha, Irr, Mech, Fert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2011-2023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中国统计年鉴、中国农村统计年鉴、各省统计公报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气象观测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Temp, Prec, Sun, SPEI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2011-2023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中国气象数据网（CMDC）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致灾因子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Flood_R, Flood_A, Drou_A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2011-2023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中国水旱灾害公报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遥感+GIS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MODIS NDVI, LST, 省级矢量, CLCD耕地像元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2011-2023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NASA EARTHDATA (MODIS MOD13A3), 国家地球系统科学数据中心, 武汉大学CLCD</w:t>
            </w:r>
          </w:p>
        </w:tc>
      </w:tr>
    </w:tbl>
    <w:p/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所有数据均来自公开来源，不含商业秘密或个人隐私信息。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§5.3 数据库Schema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核心数据表 paper_panel_v3 结构：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列名</w:t>
            </w:r>
          </w:p>
        </w:tc>
        <w:tc>
          <w:tcPr>
            <w:tcW w:type="dxa" w:w="181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中文名</w:t>
            </w:r>
          </w:p>
        </w:tc>
        <w:tc>
          <w:tcPr>
            <w:tcW w:type="dxa" w:w="181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类型</w:t>
            </w:r>
          </w:p>
        </w:tc>
        <w:tc>
          <w:tcPr>
            <w:tcW w:type="dxa" w:w="181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单位</w:t>
            </w:r>
          </w:p>
        </w:tc>
        <w:tc>
          <w:tcPr>
            <w:tcW w:type="dxa" w:w="181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来源类别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province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省份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TEXT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元数据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year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年份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INTEGER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元数据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yield_kg_per_ha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粮食单产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kg/ha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目标变量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Irr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灌溉率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省级统计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Flood_R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洪涝占比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%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致灾因子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Sun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日照时数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h/年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气象观测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Temp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平均气温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°C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气象观测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SPEI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干旱指数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无量纲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气象观测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Prec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累计降水量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mm/年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气象观测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Mech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农机总动力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万千瓦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省级统计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Fert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化肥施用量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万吨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省级统计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Drou_A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旱灾受灾面积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千公顷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致灾因子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Flood_A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洪涝受灾面积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千公顷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致灾因子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NDVI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植被指数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REAL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无量纲(0-1)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遥感+GIS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region_class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区域分类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TEXT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辅助元数据</w:t>
            </w:r>
          </w:p>
        </w:tc>
      </w:tr>
    </w:tbl>
    <w:p/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§5.4 双层存储架构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系统采用SQLite + Parquet双层存储：</w:t>
      </w:r>
    </w:p>
    <w:p>
      <w:pPr>
        <w:spacing w:after="40" w:before="0"/>
      </w:pP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Parquet缓存层：启动时从 `paper_panel_v3.parquet` 全量加载到内存，实现亚毫秒级数据访问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SQLite持久层：运行时用户查询缓存、推演历史记录、省份基线数据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数据访问层：`backend/services/panel_repo.py`（218行），采用Repository Pattern统一封装数据访问逻辑，上层服务不感知底层存储实现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§5.5 数据预处理流程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1. Z-score标准化：所有连续特征使用训练集均值和标准差进行标准化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2. Butterworth滤波：对粮食单产时序进行低通滤波，去除年际高频波动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3. 时空对齐：气象、遥感、统计、致灾四类数据按省份-年份键对齐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4. 缺失值处理：线性插值填补单年缺失，均值填补多年连续缺失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5. 异常值检测：基于IQR方法标记并审查极端值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[~3 pages]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§6 部署与运维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§6.1 部署环境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配置项</w:t>
            </w:r>
          </w:p>
        </w:tc>
        <w:tc>
          <w:tcPr>
            <w:tcW w:type="dxa" w:w="4536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规格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云平台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Google Cloud Platform (GCP)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实例类型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e2-medium (2 vCPU, 4GB RAM)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操作系统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Ubuntu 22.04 LTS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区域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asia-east2 (香港) / us-west1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磁盘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50GB SSD持久化磁盘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网络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静态外部IP + 防火墙规则（TCP 80/443开放）</w:t>
            </w:r>
          </w:p>
        </w:tc>
      </w:tr>
    </w:tbl>
    <w:p/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§6.2 部署组件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Nginx 反向代理（deploy/nginx.conf）：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反向代理：将HTTPS请求转发至Gunicorn（localhost:8000）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静态文件托管：直接提供前端构建产物（`frontend/dist/`）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HTTPS终结：TLS 1.2/1.3，HTTP自动重定向至HTTPS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安全头注入：CSP, HSTS, X-Frame-Options, X-Content-Type-Options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Gunicorn WSGI服务器：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Worker数量：4（匹配2 vCPU，保守取值）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Timeout：60秒（模型冷启动需约25秒，留有裕量）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Access log：记录所有API请求，用于监控和审计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Let's Encrypt TLS证书（deploy/setup_letsencrypt.sh，150行）：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通过certbot自动获取和续期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证书有效期90天，到期前自动续期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覆盖域名：grainrisk.app + www.grainrisk.app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Cloud DNS：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A记录：grainrisk.app → GCP实例静态IP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CNAME记录：www.grainrisk.app → grainrisk.app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§6.3 部署流程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1. 开通实例：GCP Console创建e2-medium实例 + 分配静态IP + 配置防火墙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2. 安装依赖：Python 3.10 + Node.js 20 + nginx + certbot + 项目Python依赖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3. 部署代码：git clone项目仓库 + 执行ETL数据加载脚本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4. 配置证书：运行 deploy/setup_letsencrypt.sh 获取TLS证书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5. DNS + 验证：配置Cloud DNS解析 + 浏览器访问sanity check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§6.4 监控与可观测性</w:t>
      </w:r>
    </w:p>
    <w:p>
      <w:pPr>
        <w:spacing w:after="40" w:before="0"/>
      </w:pP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Gunicorn access log：记录每个API请求的方法、路径、状态码、响应时间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错误日志：stderr输出，包含Python traceback和模型推理错误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24×7可用性：GCP实例自动重启策略，宕机后自动恢复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性能基准：POST /api/predict 单次响应 &lt; 2秒，三模型冷启动 &lt; 30秒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[~2 pages]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§7 测试与质量保证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§7.1 后端单元测试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系统后端包含完整的单元测试套件（backend/tests/），共16项测试：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test_api.py（175行，5项测试）：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健康检查端点 `/api/health` 返回200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省份列表端点返回31省数据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无效年份参数返回400错误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不存在的省份返回404错误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CORS头正确设置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test_panel_endpoints.py（230行，6项测试）：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单年份全省份数据端点返回正确结构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单省份历史数据端点返回13年完整时序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数据格式验证：每行包含11维特征 + yield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年份过滤正确性验证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省份名称模糊匹配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空数据年份的错误处理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test_predict_real.py（133行，5项测试）：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加载真实模型制品（非mock）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河南2022年预测：三模型偏差均 &lt; 500 kg/ha（真值4615 kg/ha）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XGBoost预测值合理性验证（非负、非极端）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LSTM预测值在合理范围内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Attention-LSTM预测值在合理范围内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§7.2 前端可访问性（WCAG 2.2 AA）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系统前端遵循WCAG 2.2 AA标准（frontend/src/data/a11y.ts，32行）：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键盘导航：所有交互元素可通过Tab键访问，Enter/Space激活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屏幕阅读器兼容：ARIA标签、role属性、语义化HTML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色彩对比度：文本与背景对比度 ≥ 4.5:1，大文本 ≥ 3:1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Focus指示器：所有可聚焦元素有明显的focus ring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Skip to content：页面顶部提供跳过导航的隐藏链接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§7.3 安全措施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HTTP安全头（backend/security_headers.py，108行）：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Content-Security-Policy：限制脚本、样式、图片来源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Strict-Transport-Security：强制HTTPS，max-age=31536000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X-Frame-Options：DENY，防止点击劫持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X-Content-Type-Options：nosniff，防止MIME类型嗅探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Referrer-Policy：strict-origin-when-cross-origin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速率限制（backend/limiter.py，68行）：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IP级别限制：100请求/分钟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使用Flask-Limiter实现，超出限制返回429状态码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XSS防护：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DOMPurify 3.x：对M04韧性路径推荐中的动态HTML内容进行净化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Vue 3默认转义：模板中的 `{{ }}` 插值自动转义HTML字符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§7.4 性能基准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指标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目标值</w:t>
            </w:r>
          </w:p>
        </w:tc>
        <w:tc>
          <w:tcPr>
            <w:tcW w:type="dxa" w:w="302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实测值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POST /api/predict 单次响应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&lt; 2秒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0.5-2秒（取决于模型冷/热状态）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三模型冷启动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&lt; 30秒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~20-25秒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前端首屏加载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&lt; 3秒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~1.5秒（Vite构建优化后）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年份数据缓存命中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&lt; 100ms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~5-10ms（内存读取）</w:t>
            </w:r>
          </w:p>
        </w:tc>
      </w:tr>
    </w:tbl>
    <w:p/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[~2 pages]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§8 用户手册摘要</w:t>
      </w:r>
    </w:p>
    <w:p>
      <w:pPr>
        <w:spacing w:after="40" w:before="0"/>
      </w:pPr>
    </w:p>
    <w:p>
      <w:pPr>
        <w:spacing w:after="60"/>
        <w:ind w:left="850"/>
      </w:pPr>
      <w:r>
        <w:rPr>
          <w:rFonts w:ascii="SimSun" w:hAnsi="SimSun" w:eastAsia="SimSun"/>
          <w:i/>
          <w:color w:val="606060"/>
          <w:sz w:val="20"/>
        </w:rPr>
        <w:t>说明：完整的用户操作手册（含系统截图）见独立文件《极端气候下粮食生产风险核心因子识别与韧性提升可视化决策系统_操作手册》。本节为摘要版本。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§8.1 访问方式</w:t>
      </w:r>
    </w:p>
    <w:p>
      <w:pPr>
        <w:spacing w:after="40" w:before="0"/>
      </w:pP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访问地址：`https://grainrisk.app`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浏览器要求：Google Chrome 120+ / Microsoft Edge 120+（需支持WebGL）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登录方式：当前版本为公开访问，无需登录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§8.2 各模块操作概要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M00 系统总览：打开系统后自动进入。浏览4张KPI卡了解数据规模和三协议鲁棒性边界，查看归因对比区理解双视角互补关系，从入口卡片或顶部导航进入其他模块。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M01 风险时空地图：拖动年份滑块（2011-2023）切换年份，地图着色自动更新。悬停省份查看tooltip，点击省份查看右侧详情面板（历史产量折线图 + 11维特征卡片）。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M02 SHAP归因看板：下拉选择省份，系统自动加载SHAP归因（11维水平柱状图）。点击视角切换标签（农业条件/气候因子/灾害因子）缩小维度范围。绿色=有利因子，红色=有害因子。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M03 参数情景模拟：选择省份后拖动5条滑块调节参数值。界面风险指数在200ms内更新估算值，约0.5-2秒后三模型集成结果覆盖估算值。查看雷达图对比基线偏移。使用"重置基线"一键还原。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M04 韧性路径推荐：选择省份后查看左侧指标对比卡（风险指数/灌溉率/洪涝占比 vs 全国均值）。向下滚动查看短/中/长期行动建议卡，了解各阶段推荐措施和优先级。底部查看总预算估算。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M05 推演监控：进入页面后自动每3秒刷新。浏览推演记录表格（时间、省份、三模型预测值、时延）。点击行展开查看11维完整输入参数。关注顶部平均时延了解系统性能。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§8.3 常见问题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Q1：系统打开后地图不显示？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A1：请确认浏览器支持WebGL且已允许脚本执行，使用Chrome 120或Edge 120以上版本访问。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Q2：切换年份后数据加载缓慢？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A2：系统首次请求该年数据时会从后端拉取并缓存，切换回已访问的年份会即时呈现。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Q3：SHAP归因结果与情景模拟风险预测方向不一致？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A3：两个模块基于不同模型和视角——SHAP归因使用XGBoost边际贡献，情景模拟集成三模型结果。两者互补而非要求一致，差异本身是多模型归因的科学输出（Spearman ρ = -0.055）。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Q4：韧性路径推荐的行动建议如何理解优先级？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A4：优先级由省份当前指标与全国均值的偏差幅度决定，偏差越大优先级越高。建议结合当地实际情况和短期、中期、长期目标统筹考量。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Q5：推演监控中显示的响应时延异常高？</w:t>
      </w:r>
    </w:p>
    <w:p>
      <w:pPr>
        <w:spacing w:after="120" w:before="0"/>
      </w:pPr>
      <w:r>
        <w:rPr>
          <w:rFonts w:ascii="SimSun" w:hAnsi="SimSun" w:eastAsia="SimSun"/>
          <w:sz w:val="22"/>
        </w:rPr>
        <w:t>A5：首次推理时模型需完成初始化（冷启动约20-25秒），后续推理通常在2秒以内。若持续偏高，可检查服务器资源占用情况。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[~3 pages]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§9 参考与版权声明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§9.1 项目立项依据</w:t>
      </w:r>
    </w:p>
    <w:p>
      <w:pPr>
        <w:spacing w:after="40" w:before="0"/>
      </w:pP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项目类别：国家级大学生创新创业训练计划项目（创新训练）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项目编号：N4批准版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依托单位：山西农业大学 信息科学与工程学院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起止时间：2026年6月 — 2027年5月（12个月周期）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项目负责人：潘妙齐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指导教师：邱东芳（申报）、徐苗（CRAIC联合指导）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§9.2 开源依赖清单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本软件开发过程中使用了以下开源组件，各组件均在其许可证允许范围内使用：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依赖</w:t>
            </w:r>
          </w:p>
        </w:tc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版本</w:t>
            </w:r>
          </w:p>
        </w:tc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许可证</w:t>
            </w:r>
          </w:p>
        </w:tc>
        <w:tc>
          <w:tcPr>
            <w:tcW w:type="dxa" w:w="2268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用途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Vue.js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3.4.x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MIT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前端渐进式框架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Vite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5.x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MIT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前端构建工具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TypeScript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5.x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Apache 2.0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类型安全开发语言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Pinia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MIT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Vue 3状态管理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Vue Router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4.x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MIT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前端路由管理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ECharts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5.x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Apache 2.0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交互式数据可视化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Element Plus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MIT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UI组件库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Axios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MIT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HTTP客户端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DOMPurify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Apache 2.0 / MPL 2.0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XSS防护净化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Flask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3.0.x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BSD-3-Clause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Python Web框架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Gunicorn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21.x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MIT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WSGI HTTP服务器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TensorFlow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2.17.x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Apache 2.0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深度学习推理引擎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XGBoost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2.0.x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Apache 2.0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梯度提升树模型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SHAP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0.46.x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MIT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SHAP归因计算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pandas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BSD-3-Clause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数据处理库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numpy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1.26.x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BSD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数值计算库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scikit-learn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1.5.x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BSD-3-Clause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机器学习评估指标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Flask-Limiter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MIT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API速率限制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Flask-CORS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4.x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MIT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跨域资源共享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nginx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1.24.x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BSD-2-Clause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HTTP/反向代理服务器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SQLite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3.x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Public Domain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嵌入式关系型数据库</w:t>
            </w:r>
          </w:p>
        </w:tc>
      </w:tr>
    </w:tbl>
    <w:p/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§9.3 商标与著作权声明</w:t>
      </w:r>
    </w:p>
    <w:p>
      <w:pPr>
        <w:spacing w:after="40" w:before="0"/>
      </w:pP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"极端气候下粮食生产风险核心因子识别与韧性提升可视化决策系统"及英文缩写"GRIDSS"为本项目原创软件名称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第一著作权人：潘妙齐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合作著作权人：熊鑫、石灵子、常宇璇、山西农业大学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权利范围：全部权利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权利取得方式：原始取得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开发方式：合作开发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§9.4 数据来源声明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本软件所使用的全部数据均来自中国政府和国际组织的公开数据源：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中国统计年鉴、中国农村统计年鉴（国家统计局）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中国气象数据网CMDC（中国气象局）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中国水旱灾害公报（水利部）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NASA EARTHDATA MODIS（美国国家航空航天局，公开科学数据）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武汉大学CLCD耕地数据集（学术公开数据）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国家地球系统科学数据中心（科技部）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以上数据均不涉及商业秘密、个人隐私或受版权保护的专有数据。数据使用遵循各数据源的引用规范和学术伦理要求。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[~2 pages]</w:t>
      </w:r>
    </w:p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pStyle w:val="Heading2"/>
      </w:pPr>
      <w:r>
        <w:rPr>
          <w:rFonts w:ascii="SimHei" w:hAnsi="SimHei" w:eastAsia="SimHei"/>
        </w:rPr>
        <w:t>§10 附录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附录A：11维特征字段说明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字段代码</w:t>
            </w:r>
          </w:p>
        </w:tc>
        <w:tc>
          <w:tcPr>
            <w:tcW w:type="dxa" w:w="1512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中文名称</w:t>
            </w:r>
          </w:p>
        </w:tc>
        <w:tc>
          <w:tcPr>
            <w:tcW w:type="dxa" w:w="1512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数据类型</w:t>
            </w:r>
          </w:p>
        </w:tc>
        <w:tc>
          <w:tcPr>
            <w:tcW w:type="dxa" w:w="1512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单位</w:t>
            </w:r>
          </w:p>
        </w:tc>
        <w:tc>
          <w:tcPr>
            <w:tcW w:type="dxa" w:w="1512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数据来源</w:t>
            </w:r>
          </w:p>
        </w:tc>
        <w:tc>
          <w:tcPr>
            <w:tcW w:type="dxa" w:w="1512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说明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Irr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灌溉率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连续型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%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中国统计年鉴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有效灌溉面积/耕地面积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Flood_R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洪涝占比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连续型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%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中国水旱灾害公报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洪涝受灾面积/耕地面积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Sun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日照时数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连续型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h/年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CMDC气象数据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年累计日照小时数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Temp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平均气温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连续型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°C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CMDC气象数据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年平均气温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SPEI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标准化降水蒸散发指数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连续型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无量纲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CMDC气象数据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正值偏湿润，负值偏干旱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Prec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累计降水量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连续型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mm/年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CMDC气象数据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年累计降水量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Mech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农机总动力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连续型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万千瓦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中国农村统计年鉴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农业机械总动力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Fert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化肥施用量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连续型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万吨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中国农村统计年鉴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农用化肥施用折纯量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Drou_A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旱灾受灾面积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连续型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千公顷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中国水旱灾害公报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干旱灾害受灾面积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Flood_A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洪涝受灾面积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连续型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千公顷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中国水旱灾害公报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洪涝灾害受灾面积</w:t>
            </w:r>
          </w:p>
        </w:tc>
      </w:tr>
      <w:tr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NDVI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归一化植被指数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连续型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无量纲(0-1)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NASA MODIS MOD13A3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月度NDVI年平均值</w:t>
            </w:r>
          </w:p>
        </w:tc>
      </w:tr>
    </w:tbl>
    <w:p/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附录B：API端点全列举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方法</w:t>
            </w:r>
          </w:p>
        </w:tc>
        <w:tc>
          <w:tcPr>
            <w:tcW w:type="dxa" w:w="181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路径</w:t>
            </w:r>
          </w:p>
        </w:tc>
        <w:tc>
          <w:tcPr>
            <w:tcW w:type="dxa" w:w="181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功能说明</w:t>
            </w:r>
          </w:p>
        </w:tc>
        <w:tc>
          <w:tcPr>
            <w:tcW w:type="dxa" w:w="181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请求参数</w:t>
            </w:r>
          </w:p>
        </w:tc>
        <w:tc>
          <w:tcPr>
            <w:tcW w:type="dxa" w:w="1814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返回内容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GET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/api/health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健康检查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`{"status": "ok", "timestamp": "..."}`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GET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/api/provinces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全省份单年份数据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`?year=2022`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31省11维特征 + yield + 风险等级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GET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/api/provinces/\&lt;name\&gt;/history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单省份全年份历史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路径参数：省份名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13行时序数据（2011-2023）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POST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/api/predict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单省单年模型推理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JSON body: province, year, feature_overrides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XGBoost/LSTM/Attention预测值 + SHAP top-2 + 推荐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GET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/api/shap/\&lt;province\&gt;/\&lt;year\&gt;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单省单年SHAP详细归因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路径参数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11维SHAP归一化值 + 方向标签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GET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/api/admin/predicts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推演历史记录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无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最近50条推演记录（含完整输入参数）</w:t>
            </w:r>
          </w:p>
        </w:tc>
      </w:tr>
    </w:tbl>
    <w:p/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附录C：数据库Schema（DDL）</w:t>
      </w:r>
    </w:p>
    <w:p>
      <w:pPr>
        <w:spacing w:after="40" w:before="0"/>
      </w:pPr>
    </w:p>
    <w:p>
      <w:pPr>
        <w:spacing w:after="80" w:before="80"/>
        <w:ind w:left="567"/>
      </w:pPr>
      <w:r>
        <w:rPr>
          <w:rFonts w:ascii="Consolas" w:hAnsi="Consolas"/>
          <w:color w:val="404040"/>
          <w:sz w:val="16"/>
        </w:rPr>
        <w:t>CREATE TABLE paper_panel_v3 (</w:t>
        <w:br/>
        <w:t xml:space="preserve">    id INTEGER PRIMARY KEY AUTOINCREMENT,</w:t>
        <w:br/>
        <w:t xml:space="preserve">    province TEXT NOT NULL,              -- 省份名称</w:t>
        <w:br/>
        <w:t xml:space="preserve">    year INTEGER NOT NULL,               -- 年份 (2011-2023)</w:t>
        <w:br/>
        <w:t xml:space="preserve">    yield_kg_per_ha REAL,                -- 粮食单产 (目标变量)</w:t>
        <w:br/>
        <w:t xml:space="preserve">    -- 11维特征</w:t>
        <w:br/>
        <w:t xml:space="preserve">    Irr REAL,                            -- 灌溉率 (%)</w:t>
        <w:br/>
        <w:t xml:space="preserve">    Flood_R REAL,                        -- 洪涝占比 (%)</w:t>
        <w:br/>
        <w:t xml:space="preserve">    Sun REAL,                            -- 日照时数 (h)</w:t>
        <w:br/>
        <w:t xml:space="preserve">    Temp REAL,                           -- 平均气温 (°C)</w:t>
        <w:br/>
        <w:t xml:space="preserve">    SPEI REAL,                           -- 干旱指数</w:t>
        <w:br/>
        <w:t xml:space="preserve">    Prec REAL,                           -- 降水量 (mm)</w:t>
        <w:br/>
        <w:t xml:space="preserve">    Mech REAL,                           -- 农机总动力 (万千瓦)</w:t>
        <w:br/>
        <w:t xml:space="preserve">    Fert REAL,                           -- 化肥施用量 (万吨)</w:t>
        <w:br/>
        <w:t xml:space="preserve">    Drou_A REAL,                         -- 旱灾受灾面积 (千公顷)</w:t>
        <w:br/>
        <w:t xml:space="preserve">    Flood_A REAL,                        -- 洪涝受灾面积 (千公顷)</w:t>
        <w:br/>
        <w:t xml:space="preserve">    NDVI REAL,                           -- 植被指数 (0-1)</w:t>
        <w:br/>
        <w:t xml:space="preserve">    -- 辅助元数据</w:t>
        <w:br/>
        <w:t xml:space="preserve">    region_class TEXT,                   -- 区域分类</w:t>
        <w:br/>
        <w:t xml:space="preserve">    created_at TIMESTAMP DEFAULT CURRENT_TIMESTAMP,</w:t>
        <w:br/>
        <w:t xml:space="preserve">    UNIQUE(province, year)</w:t>
        <w:br/>
        <w:t>);</w:t>
      </w:r>
    </w:p>
    <w:p>
      <w:pPr>
        <w:spacing w:after="40" w:before="0"/>
      </w:pPr>
    </w:p>
    <w:p>
      <w:pPr>
        <w:pStyle w:val="Heading3"/>
      </w:pPr>
      <w:r>
        <w:rPr>
          <w:rFonts w:ascii="SimHei" w:hAnsi="SimHei" w:eastAsia="SimHei"/>
        </w:rPr>
        <w:t>附录D：章节页数汇总</w:t>
      </w:r>
    </w:p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章节</w:t>
            </w:r>
          </w:p>
        </w:tc>
        <w:tc>
          <w:tcPr>
            <w:tcW w:type="dxa" w:w="4536"/>
            <w:shd w:fill="D9E2F3" w:val="clear"/>
          </w:tcPr>
          <w:p>
            <w:pPr>
              <w:spacing w:after="40" w:before="40"/>
            </w:pPr>
            <w:r>
              <w:rPr>
                <w:rFonts w:ascii="SimSun" w:hAnsi="SimSun" w:eastAsia="SimSun"/>
                <w:b/>
                <w:sz w:val="18"/>
              </w:rPr>
              <w:t>预估页数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扉页 + 目录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§1 引言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§2 系统架构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§3 功能描述（6模块）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§4 模型集成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§5 数据库与数据集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§6 部署与运维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§7 测试与质量保证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§8 用户手册摘要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§9 参考与版权声明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§10 附录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2</w:t>
            </w:r>
          </w:p>
        </w:tc>
      </w:tr>
      <w:tr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**总计**</w:t>
            </w:r>
          </w:p>
        </w:tc>
        <w:tc>
          <w:tcPr>
            <w:tcW w:type="dxa" w:w="4536"/>
          </w:tcPr>
          <w:p>
            <w:pPr>
              <w:spacing w:after="40" w:before="40"/>
            </w:pPr>
            <w:r>
              <w:rPr>
                <w:rFonts w:ascii="SimSun" w:hAnsi="SimSun" w:eastAsia="SimSun"/>
                <w:sz w:val="18"/>
              </w:rPr>
              <w:t>**33页**</w:t>
            </w:r>
          </w:p>
        </w:tc>
      </w:tr>
    </w:tbl>
    <w:p/>
    <w:p>
      <w:pPr>
        <w:spacing w:after="40" w:before="0"/>
      </w:pPr>
    </w:p>
    <w:p>
      <w:pPr>
        <w:spacing w:after="40" w:before="40"/>
        <w:pBdr>
          <w:bottom w:val="single" w:sz="6" w:space="1" w:color="999999"/>
        </w:pBdr>
      </w:pP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文档编制：潘妙齐（项目负责人，第一著作权人）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编制日期：2026年5月29日（初稿），2026年7月17日（修订）</w:t>
      </w:r>
    </w:p>
    <w:p>
      <w:pPr>
        <w:spacing w:after="40" w:before="0"/>
      </w:pPr>
    </w:p>
    <w:p>
      <w:pPr>
        <w:spacing w:after="120" w:before="0"/>
      </w:pPr>
      <w:r>
        <w:rPr>
          <w:rFonts w:ascii="SimSun" w:hAnsi="SimSun" w:eastAsia="SimSun"/>
          <w:sz w:val="22"/>
        </w:rPr>
        <w:t>审查：待邱东芳指导教师审查</w:t>
      </w:r>
    </w:p>
    <w:p>
      <w:pPr>
        <w:spacing w:after="40" w:before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SimSun" w:hAnsi="SimSun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808080"/>
        <w:sz w:val="16"/>
      </w:rPr>
      <w:t>极端气候下粮食生产风险核心因子识别与韧性提升可视化决策系统 V1.0 — 软件设计说明书 — 第一著作权人:潘妙齐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