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Body"/>
        <w:jc w:val="both"/>
        <w:spacing w:before="0" w:after="1200" w:line="320" w:lineRule="auto"/>
      </w:pPr>
    </w:p>
    <w:p>
      <w:pPr>
        <w:pStyle w:val="Body"/>
        <w:jc w:val="center"/>
        <w:spacing w:before="0" w:after="400" w:line="320" w:lineRule="auto"/>
      </w:pPr>
      <w:r>
        <w:rPr>
          <w:sz w:val="22"/>
          <w:szCs w:val="22"/>
        </w:rPr>
        <w:t xml:space="preserve">第八届全球校园人工智能算法精英大赛</w:t>
      </w:r>
    </w:p>
    <w:p>
      <w:pPr>
        <w:pStyle w:val="Title"/>
        <w:jc w:val="center"/>
        <w:spacing w:before="0" w:after="200" w:line="320" w:lineRule="auto"/>
      </w:pPr>
      <w:r>
        <w:rPr>
          <w:b/>
          <w:sz w:val="44"/>
          <w:szCs w:val="44"/>
        </w:rPr>
        <w:t xml:space="preserve">农业智能体与大模型决策服务平台</w:t>
      </w:r>
    </w:p>
    <w:p>
      <w:pPr>
        <w:pStyle w:val="Body"/>
        <w:jc w:val="center"/>
        <w:spacing w:before="0" w:after="800" w:line="320" w:lineRule="auto"/>
      </w:pPr>
      <w:r>
        <w:rPr>
          <w:sz w:val="28"/>
          <w:szCs w:val="28"/>
        </w:rPr>
        <w:t xml:space="preserve">技术方案</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823"/>
        <w:gridCol w:w="6588"/>
      </w:tblGrid>
      <w:tr>
        <w:tc>
          <w:tcPr>
            <w:tcW w:w="2823" w:type="dxa"/>
            <w:vAlign w:val="center"/>
          </w:tcPr>
          <w:p>
            <w:pPr>
              <w:jc w:val="center"/>
              <w:spacing w:before="40" w:after="40"/>
            </w:pPr>
            <w:r>
              <w:rPr>
                <w:sz w:val="20"/>
                <w:szCs w:val="20"/>
              </w:rPr>
              <w:t xml:space="preserve">作品名称</w:t>
            </w:r>
          </w:p>
        </w:tc>
        <w:tc>
          <w:tcPr>
            <w:tcW w:w="6588" w:type="dxa"/>
            <w:vAlign w:val="center"/>
          </w:tcPr>
          <w:p>
            <w:pPr>
              <w:jc w:val="left"/>
              <w:spacing w:before="40" w:after="40"/>
            </w:pPr>
            <w:r>
              <w:rPr>
                <w:sz w:val="20"/>
                <w:szCs w:val="20"/>
              </w:rPr>
              <w:t xml:space="preserve">禾衡·农业智能体决策服务平台</w:t>
            </w:r>
          </w:p>
        </w:tc>
      </w:tr>
      <w:tr>
        <w:tc>
          <w:tcPr>
            <w:tcW w:w="2823" w:type="dxa"/>
            <w:vAlign w:val="center"/>
          </w:tcPr>
          <w:p>
            <w:pPr>
              <w:jc w:val="center"/>
              <w:spacing w:before="40" w:after="40"/>
            </w:pPr>
            <w:r>
              <w:rPr>
                <w:sz w:val="20"/>
                <w:szCs w:val="20"/>
              </w:rPr>
              <w:t xml:space="preserve">参赛赛题</w:t>
            </w:r>
          </w:p>
        </w:tc>
        <w:tc>
          <w:tcPr>
            <w:tcW w:w="6588" w:type="dxa"/>
            <w:vAlign w:val="center"/>
          </w:tcPr>
          <w:p>
            <w:pPr>
              <w:jc w:val="left"/>
              <w:spacing w:before="40" w:after="40"/>
            </w:pPr>
            <w:r>
              <w:rPr>
                <w:sz w:val="20"/>
                <w:szCs w:val="20"/>
              </w:rPr>
              <w:t xml:space="preserve">赛题五　农业智能体与大模型决策服务赛</w:t>
            </w:r>
          </w:p>
        </w:tc>
      </w:tr>
      <w:tr>
        <w:tc>
          <w:tcPr>
            <w:tcW w:w="2823" w:type="dxa"/>
            <w:vAlign w:val="center"/>
          </w:tcPr>
          <w:p>
            <w:pPr>
              <w:jc w:val="center"/>
              <w:spacing w:before="40" w:after="40"/>
            </w:pPr>
            <w:r>
              <w:rPr>
                <w:sz w:val="20"/>
                <w:szCs w:val="20"/>
              </w:rPr>
              <w:t xml:space="preserve">作品类别</w:t>
            </w:r>
          </w:p>
        </w:tc>
        <w:tc>
          <w:tcPr>
            <w:tcW w:w="6588" w:type="dxa"/>
            <w:vAlign w:val="center"/>
          </w:tcPr>
          <w:p>
            <w:pPr>
              <w:jc w:val="left"/>
              <w:spacing w:before="40" w:after="40"/>
            </w:pPr>
            <w:r>
              <w:rPr>
                <w:sz w:val="20"/>
                <w:szCs w:val="20"/>
              </w:rPr>
              <w:t xml:space="preserve">智能问答与决策服务软件系统</w:t>
            </w:r>
          </w:p>
        </w:tc>
      </w:tr>
      <w:tr>
        <w:tc>
          <w:tcPr>
            <w:tcW w:w="2823" w:type="dxa"/>
            <w:vAlign w:val="center"/>
          </w:tcPr>
          <w:p>
            <w:pPr>
              <w:jc w:val="center"/>
              <w:spacing w:before="40" w:after="40"/>
            </w:pPr>
            <w:r>
              <w:rPr>
                <w:sz w:val="20"/>
                <w:szCs w:val="20"/>
              </w:rPr>
              <w:t xml:space="preserve">提交日期</w:t>
            </w:r>
          </w:p>
        </w:tc>
        <w:tc>
          <w:tcPr>
            <w:tcW w:w="6588" w:type="dxa"/>
            <w:vAlign w:val="center"/>
          </w:tcPr>
          <w:p>
            <w:pPr>
              <w:jc w:val="left"/>
              <w:spacing w:before="40" w:after="40"/>
            </w:pPr>
            <w:r>
              <w:rPr>
                <w:sz w:val="20"/>
                <w:szCs w:val="20"/>
              </w:rPr>
              <w:t xml:space="preserve">2026 年 10 月</w:t>
            </w:r>
          </w:p>
        </w:tc>
      </w:tr>
    </w:tbl>
    <w:p>
      <w:pPr>
        <w:pStyle w:val="Body"/>
        <w:jc w:val="both"/>
        <w:spacing w:before="0" w:after="600" w:line="320" w:lineRule="auto"/>
      </w:pPr>
    </w:p>
    <w:p>
      <w:pPr>
        <w:pStyle w:val="Body"/>
        <w:jc w:val="center"/>
        <w:spacing w:before="0" w:after="80" w:line="320" w:lineRule="auto"/>
      </w:pPr>
      <w:r>
        <w:rPr>
          <w:sz w:val="18"/>
          <w:szCs w:val="18"/>
        </w:rPr>
        <w:t xml:space="preserve">本方案所涉算法模型、数据集与系统模块均由团队自主研发</w:t>
      </w:r>
    </w:p>
    <w:p>
      <w:pPr>
        <w:pStyle w:val="Heading1"/>
        <w:pageBreakBefore/>
        <w:jc w:val="left"/>
        <w:spacing w:before="0" w:after="100" w:line="320" w:lineRule="auto"/>
      </w:pPr>
      <w:r>
        <w:t xml:space="preserve">一、作品概述</w:t>
      </w:r>
    </w:p>
    <w:p>
      <w:pPr>
        <w:pStyle w:val="Body"/>
        <w:jc w:val="both"/>
        <w:spacing w:before="0" w:after="80" w:line="320" w:lineRule="auto"/>
      </w:pPr>
      <w:r>
        <w:t xml:space="preserve">基层农业从业者长期面临"问路无门"的困境。农技规程、病虫情报、地方技术意见分散在不同层级和不同渠道；权威知识很少与本地气象条件、土壤状况和当季生产进度结合；已有的农业问答工具多停留在文献检索或通用知识问答，能回答"是什么"，却难以给出"什么时间、做什么、用多少"的可执行答案。与此同时，农业生产主体在极端气候多发的背景下，对风险预判与应对方案的需求持续上升。</w:t>
      </w:r>
    </w:p>
    <w:p>
      <w:pPr>
        <w:pStyle w:val="Body"/>
        <w:jc w:val="both"/>
        <w:spacing w:before="0" w:after="80" w:line="320" w:lineRule="auto"/>
      </w:pPr>
      <w:r>
        <w:t xml:space="preserve">本作品面向上述需求，构建以的农业智能体决策服务平台。平台将团队已建成的可解释风险归因模型、参数情景模拟引擎、韧性路径规则库与农技知识图谱统一封装为可调用工具，通过"意图理解—槽位补全—工具编排—证据校验—方案生成"的多步推理链路，输出农事管理方案、病虫害防治建议、水肥调控处方与生产规划报告，并对每条建议标注依据来源，使农业知识服务从"查得到"走向"用得上"。</w:t>
      </w:r>
      <w:r>
        <w:rPr>
          <w:b/>
        </w:rPr>
        <w:t xml:space="preserve">大语言模型为决策中枢、以可解释模型与农技知识为工具</w:t>
      </w:r>
    </w:p>
    <w:p>
      <w:pPr>
        <w:pStyle w:val="Body"/>
        <w:jc w:val="both"/>
        <w:spacing w:before="0" w:after="80" w:line="320" w:lineRule="auto"/>
      </w:pPr>
      <w:r>
        <w:t xml:space="preserve">平台的能力基础由三部分组成。其一，：基于全国 31 省 2011—2023 年多模态面板数据训练的风险归因模型，同时输出风险等级、因子贡献度与反事实推演结果，使智能体的建议具备量化依据。其二，：检索增强生成与知识图谱两套通道并行，前者负责权威农技条文的精准召回，后者负责跨作物、生育期与病虫害的关系推理。其三，：支持自然语言提问与农情数据上传两种入口，输出结构化方案并可导出为文档，供基层农户、合作社、农技推广机构与农业管理部门直接使用。</w:t>
      </w:r>
      <w:r>
        <w:rPr>
          <w:b/>
        </w:rPr>
        <w:t xml:space="preserve">可解释决策模型层</w:t>
      </w:r>
      <w:r>
        <w:rPr>
          <w:b/>
        </w:rPr>
        <w:t xml:space="preserve">知识层</w:t>
      </w:r>
      <w:r>
        <w:rPr>
          <w:b/>
        </w:rPr>
        <w:t xml:space="preserve">交互层</w:t>
      </w:r>
    </w:p>
    <w:p>
      <w:pPr>
        <w:pStyle w:val="Body"/>
        <w:jc w:val="both"/>
        <w:spacing w:before="0" w:after="80" w:line="320" w:lineRule="auto"/>
      </w:pPr>
      <w:r>
        <w:t xml:space="preserve">目前平台已完成可解释决策模块、知识助手（检索增强生成与图谱增强检索双通道）与四个可视化业务模块的实装；工具调用编排、农情数据上传解析与四类方案模板为本期重点建设内容。系统采用无 GPU 依赖的全栈部署，模型推理在秒级完成，可在普通云主机上稳定运行。</w:t>
      </w:r>
    </w:p>
    <w:p>
      <w:pPr>
        <w:pStyle w:val="Heading1"/>
        <w:pageBreakBefore/>
        <w:jc w:val="left"/>
        <w:spacing w:before="0" w:after="100" w:line="320" w:lineRule="auto"/>
      </w:pPr>
      <w:r>
        <w:t xml:space="preserve">二、需求分析与设计目标</w:t>
      </w:r>
    </w:p>
    <w:p>
      <w:pPr>
        <w:pStyle w:val="Heading2"/>
        <w:jc w:val="left"/>
        <w:spacing w:before="120" w:after="100" w:line="320" w:lineRule="auto"/>
      </w:pPr>
      <w:r>
        <w:t xml:space="preserve">2.1 需求来源</w:t>
      </w:r>
    </w:p>
    <w:p>
      <w:pPr>
        <w:pStyle w:val="Body"/>
        <w:jc w:val="both"/>
        <w:spacing w:before="0" w:after="80" w:line="320" w:lineRule="auto"/>
      </w:pPr>
      <w:r>
        <w:t xml:space="preserve">平台的需求来自三类使用者。第一类是，包括农户与家庭农场，他们的提问高度具体，例如"今年春天偏旱，返青期还要不要追肥"、"叶片上出现这种斑点该打什么药"。第二类是，包括合作社与农技推广站，他们需要针对不同地块和不同生育期批量给出管理方案，并关注措施的成本与优先级。第三类是，他们关注区域内风险的空间分布、主要驱动因子与应对资源的投放次序。</w:t>
      </w:r>
      <w:r>
        <w:rPr>
          <w:b/>
        </w:rPr>
        <w:t xml:space="preserve">直接生产者</w:t>
      </w:r>
      <w:r>
        <w:rPr>
          <w:b/>
        </w:rPr>
        <w:t xml:space="preserve">生产组织者</w:t>
      </w:r>
      <w:r>
        <w:rPr>
          <w:b/>
        </w:rPr>
        <w:t xml:space="preserve">区域管理者</w:t>
      </w:r>
    </w:p>
    <w:p>
      <w:pPr>
        <w:pStyle w:val="Body"/>
        <w:jc w:val="both"/>
        <w:spacing w:before="0" w:after="80" w:line="320" w:lineRule="auto"/>
      </w:pPr>
      <w:r>
        <w:t xml:space="preserve">三类使用者的共性需求是：答案必须可执行、有依据、符合当地实际，并且能够被追问和修正。这决定了平台不能停留在检索式问答，而必须具备调用模型与规则、补齐缺失信息、生成结构化方案的能力。</w:t>
      </w:r>
    </w:p>
    <w:p>
      <w:pPr>
        <w:pStyle w:val="Heading2"/>
        <w:jc w:val="left"/>
        <w:spacing w:before="120" w:after="100" w:line="320" w:lineRule="auto"/>
      </w:pPr>
      <w:r>
        <w:t xml:space="preserve">2.2 设计目标</w:t>
      </w:r>
    </w:p>
    <w:p>
      <w:pPr>
        <w:pStyle w:val="Body"/>
        <w:jc w:val="both"/>
        <w:spacing w:before="0" w:after="80" w:line="320" w:lineRule="auto"/>
      </w:pPr>
      <w:r>
        <w:t xml:space="preserve">围绕赛题对回答专业性、方案可操作性、交互自然流畅度与知识检索准确性的四项考核，平台设定如下设计目标。</w:t>
      </w:r>
    </w:p>
    <w:p>
      <w:pPr>
        <w:pStyle w:val="Caption"/>
        <w:jc w:val="center"/>
        <w:spacing w:before="0" w:after="60" w:line="320" w:lineRule="auto"/>
      </w:pPr>
      <w:r>
        <w:rPr>
          <w:sz w:val="18"/>
          <w:szCs w:val="18"/>
        </w:rPr>
        <w:t xml:space="preserve">表 1　赛题考核项与设计目标对应关系</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070"/>
        <w:gridCol w:w="3200"/>
        <w:gridCol w:w="4141"/>
      </w:tblGrid>
      <w:tr>
        <w:trPr>
          <w:tblHeader/>
        </w:trPr>
        <w:tc>
          <w:tcPr>
            <w:tcW w:w="2070" w:type="dxa"/>
            <w:shd w:val="clear" w:color="auto" w:fill="1F3864"/>
            <w:vAlign w:val="center"/>
          </w:tcPr>
          <w:p>
            <w:pPr>
              <w:jc w:val="center"/>
              <w:spacing w:before="30" w:after="30" w:line="280" w:lineRule="auto"/>
              <w:rPr>
                <w:sz w:val="18"/>
              </w:rPr>
            </w:pPr>
            <w:r>
              <w:rPr>
                <w:color w:val="FFFFFF"/>
                <w:b/>
              </w:rPr>
              <w:t xml:space="preserve">考核项</w:t>
            </w:r>
          </w:p>
        </w:tc>
        <w:tc>
          <w:tcPr>
            <w:tcW w:w="3200" w:type="dxa"/>
            <w:shd w:val="clear" w:color="auto" w:fill="1F3864"/>
            <w:vAlign w:val="center"/>
          </w:tcPr>
          <w:p>
            <w:pPr>
              <w:jc w:val="center"/>
              <w:spacing w:before="30" w:after="30" w:line="280" w:lineRule="auto"/>
              <w:rPr>
                <w:sz w:val="18"/>
              </w:rPr>
            </w:pPr>
            <w:r>
              <w:rPr>
                <w:color w:val="FFFFFF"/>
                <w:b/>
              </w:rPr>
              <w:t xml:space="preserve">设计目标</w:t>
            </w:r>
          </w:p>
        </w:tc>
        <w:tc>
          <w:tcPr>
            <w:tcW w:w="4141" w:type="dxa"/>
            <w:shd w:val="clear" w:color="auto" w:fill="1F3864"/>
            <w:vAlign w:val="center"/>
          </w:tcPr>
          <w:p>
            <w:pPr>
              <w:jc w:val="center"/>
              <w:spacing w:before="30" w:after="30" w:line="280" w:lineRule="auto"/>
              <w:rPr>
                <w:sz w:val="18"/>
              </w:rPr>
            </w:pPr>
            <w:r>
              <w:rPr>
                <w:color w:val="FFFFFF"/>
                <w:b/>
              </w:rPr>
              <w:t xml:space="preserve">对应实现</w:t>
            </w:r>
          </w:p>
        </w:tc>
      </w:tr>
      <w:tr>
        <w:tc>
          <w:tcPr>
            <w:tcW w:w="2070" w:type="dxa"/>
            <w:shd w:val="clear" w:color="auto" w:fill="F5F7FA"/>
            <w:vAlign w:val="center"/>
          </w:tcPr>
          <w:p>
            <w:pPr>
              <w:jc w:val="both"/>
              <w:spacing w:before="30" w:after="30" w:line="280" w:lineRule="auto"/>
              <w:rPr>
                <w:sz w:val="18"/>
              </w:rPr>
            </w:pPr>
            <w:r>
              <w:t xml:space="preserve">回答专业性</w:t>
            </w:r>
          </w:p>
        </w:tc>
        <w:tc>
          <w:tcPr>
            <w:tcW w:w="3200" w:type="dxa"/>
            <w:shd w:val="clear" w:color="auto" w:fill="F5F7FA"/>
            <w:vAlign w:val="center"/>
          </w:tcPr>
          <w:p>
            <w:pPr>
              <w:jc w:val="both"/>
              <w:spacing w:before="30" w:after="30" w:line="280" w:lineRule="auto"/>
              <w:rPr>
                <w:sz w:val="18"/>
              </w:rPr>
            </w:pPr>
            <w:r>
              <w:t xml:space="preserve">每条建议必须给出可核查的依据，不输出无出处的结论</w:t>
            </w:r>
          </w:p>
        </w:tc>
        <w:tc>
          <w:tcPr>
            <w:tcW w:w="4141" w:type="dxa"/>
            <w:shd w:val="clear" w:color="auto" w:fill="F5F7FA"/>
            <w:vAlign w:val="center"/>
          </w:tcPr>
          <w:p>
            <w:pPr>
              <w:jc w:val="both"/>
              <w:spacing w:before="30" w:after="30" w:line="280" w:lineRule="auto"/>
              <w:rPr>
                <w:sz w:val="18"/>
              </w:rPr>
            </w:pPr>
            <w:r>
              <w:t xml:space="preserve">农技知识库检索增强生成 + 引用溯源 + 依据类型标注（模型贡献度、技术规程、登记信息）</w:t>
            </w:r>
          </w:p>
        </w:tc>
      </w:tr>
      <w:tr>
        <w:tc>
          <w:tcPr>
            <w:tcW w:w="2070" w:type="dxa"/>
            <w:shd w:val="clear" w:color="auto" w:fill="FFFFFF"/>
            <w:vAlign w:val="center"/>
          </w:tcPr>
          <w:p>
            <w:pPr>
              <w:jc w:val="both"/>
              <w:spacing w:before="30" w:after="30" w:line="280" w:lineRule="auto"/>
              <w:rPr>
                <w:sz w:val="18"/>
              </w:rPr>
            </w:pPr>
            <w:r>
              <w:t xml:space="preserve">方案可操作性</w:t>
            </w:r>
          </w:p>
        </w:tc>
        <w:tc>
          <w:tcPr>
            <w:tcW w:w="3200" w:type="dxa"/>
            <w:shd w:val="clear" w:color="auto" w:fill="FFFFFF"/>
            <w:vAlign w:val="center"/>
          </w:tcPr>
          <w:p>
            <w:pPr>
              <w:jc w:val="both"/>
              <w:spacing w:before="30" w:after="30" w:line="280" w:lineRule="auto"/>
              <w:rPr>
                <w:sz w:val="18"/>
              </w:rPr>
            </w:pPr>
            <w:r>
              <w:t xml:space="preserve">落到时间、对象、用量与注意事项，不输出原则性口号</w:t>
            </w:r>
          </w:p>
        </w:tc>
        <w:tc>
          <w:tcPr>
            <w:tcW w:w="4141" w:type="dxa"/>
            <w:shd w:val="clear" w:color="auto" w:fill="FFFFFF"/>
            <w:vAlign w:val="center"/>
          </w:tcPr>
          <w:p>
            <w:pPr>
              <w:jc w:val="both"/>
              <w:spacing w:before="30" w:after="30" w:line="280" w:lineRule="auto"/>
              <w:rPr>
                <w:sz w:val="18"/>
              </w:rPr>
            </w:pPr>
            <w:r>
              <w:t xml:space="preserve">结构化方案模板 + 作物生育期日历 + 投入品登记信息约束 + 田间任务清单</w:t>
            </w:r>
          </w:p>
        </w:tc>
      </w:tr>
      <w:tr>
        <w:tc>
          <w:tcPr>
            <w:tcW w:w="2070" w:type="dxa"/>
            <w:shd w:val="clear" w:color="auto" w:fill="F5F7FA"/>
            <w:vAlign w:val="center"/>
          </w:tcPr>
          <w:p>
            <w:pPr>
              <w:jc w:val="both"/>
              <w:spacing w:before="30" w:after="30" w:line="280" w:lineRule="auto"/>
              <w:rPr>
                <w:sz w:val="18"/>
              </w:rPr>
            </w:pPr>
            <w:r>
              <w:t xml:space="preserve">交互自然流畅度</w:t>
            </w:r>
          </w:p>
        </w:tc>
        <w:tc>
          <w:tcPr>
            <w:tcW w:w="3200" w:type="dxa"/>
            <w:shd w:val="clear" w:color="auto" w:fill="F5F7FA"/>
            <w:vAlign w:val="center"/>
          </w:tcPr>
          <w:p>
            <w:pPr>
              <w:jc w:val="both"/>
              <w:spacing w:before="30" w:after="30" w:line="280" w:lineRule="auto"/>
              <w:rPr>
                <w:sz w:val="18"/>
              </w:rPr>
            </w:pPr>
            <w:r>
              <w:t xml:space="preserve">支持口语化多轮问答，缺失关键信息时主动追问</w:t>
            </w:r>
          </w:p>
        </w:tc>
        <w:tc>
          <w:tcPr>
            <w:tcW w:w="4141" w:type="dxa"/>
            <w:shd w:val="clear" w:color="auto" w:fill="F5F7FA"/>
            <w:vAlign w:val="center"/>
          </w:tcPr>
          <w:p>
            <w:pPr>
              <w:jc w:val="both"/>
              <w:spacing w:before="30" w:after="30" w:line="280" w:lineRule="auto"/>
              <w:rPr>
                <w:sz w:val="18"/>
              </w:rPr>
            </w:pPr>
            <w:r>
              <w:t xml:space="preserve">槽位补全策略 + 流式输出 + 结构化卡片 + 一键转人工核验与导出</w:t>
            </w:r>
          </w:p>
        </w:tc>
      </w:tr>
      <w:tr>
        <w:tc>
          <w:tcPr>
            <w:tcW w:w="2070" w:type="dxa"/>
            <w:shd w:val="clear" w:color="auto" w:fill="FFFFFF"/>
            <w:vAlign w:val="center"/>
          </w:tcPr>
          <w:p>
            <w:pPr>
              <w:jc w:val="both"/>
              <w:spacing w:before="30" w:after="30" w:line="280" w:lineRule="auto"/>
              <w:rPr>
                <w:sz w:val="18"/>
              </w:rPr>
            </w:pPr>
            <w:r>
              <w:t xml:space="preserve">知识检索准确性</w:t>
            </w:r>
          </w:p>
        </w:tc>
        <w:tc>
          <w:tcPr>
            <w:tcW w:w="3200" w:type="dxa"/>
            <w:shd w:val="clear" w:color="auto" w:fill="FFFFFF"/>
            <w:vAlign w:val="center"/>
          </w:tcPr>
          <w:p>
            <w:pPr>
              <w:jc w:val="both"/>
              <w:spacing w:before="30" w:after="30" w:line="280" w:lineRule="auto"/>
              <w:rPr>
                <w:sz w:val="18"/>
              </w:rPr>
            </w:pPr>
            <w:r>
              <w:t xml:space="preserve">检索结果可评测、可追溯、可随知识更新而失效重算</w:t>
            </w:r>
          </w:p>
        </w:tc>
        <w:tc>
          <w:tcPr>
            <w:tcW w:w="4141" w:type="dxa"/>
            <w:shd w:val="clear" w:color="auto" w:fill="FFFFFF"/>
            <w:vAlign w:val="center"/>
          </w:tcPr>
          <w:p>
            <w:pPr>
              <w:jc w:val="both"/>
              <w:spacing w:before="30" w:after="30" w:line="280" w:lineRule="auto"/>
              <w:rPr>
                <w:sz w:val="18"/>
              </w:rPr>
            </w:pPr>
            <w:r>
              <w:t xml:space="preserve">稠密与稀疏混合检索 + 交叉编码重排 + 元数据过滤与时效加权 + 自建评测集</w:t>
            </w:r>
          </w:p>
        </w:tc>
      </w:tr>
    </w:tbl>
    <w:p>
      <w:pPr>
        <w:pStyle w:val="Body"/>
        <w:jc w:val="left"/>
        <w:spacing w:before="0" w:after="40" w:line="320" w:lineRule="auto"/>
      </w:pPr>
    </w:p>
    <w:p>
      <w:pPr>
        <w:pStyle w:val="Heading1"/>
        <w:pageBreakBefore/>
        <w:jc w:val="left"/>
        <w:spacing w:before="0" w:after="100" w:line="320" w:lineRule="auto"/>
      </w:pPr>
      <w:r>
        <w:t xml:space="preserve">三、系统总体设计</w:t>
      </w:r>
    </w:p>
    <w:p>
      <w:pPr>
        <w:pStyle w:val="Heading2"/>
        <w:jc w:val="left"/>
        <w:spacing w:before="120" w:after="100" w:line="320" w:lineRule="auto"/>
      </w:pPr>
      <w:r>
        <w:t xml:space="preserve">3.1 总体架构</w:t>
      </w:r>
    </w:p>
    <w:p>
      <w:pPr>
        <w:pStyle w:val="Body"/>
        <w:jc w:val="both"/>
        <w:spacing w:before="0" w:after="80" w:line="320" w:lineRule="auto"/>
      </w:pPr>
      <w:r>
        <w:t xml:space="preserve">平台采用五层架构：交互层承接用户输入与结果呈现，智能体层负责任务规划与工具编排，工具层提供可被调用的决策能力，知识层提供农技知识与关系推理，数据层提供模型训练与风险查询所需的数据底座。各层之间通过统一接口解耦，模型与知识可以独立迭代而不影响交互层。</w:t>
      </w:r>
    </w:p>
    <w:p>
      <w:pPr>
        <w:pStyle w:val="Body"/>
        <w:jc w:val="both"/>
        <w:spacing w:before="0" w:after="80" w:line="320" w:lineRule="auto"/>
        <w:ind w:left="120"/>
        <w:shd w:val="clear" w:color="auto" w:fill="EEF2F8"/>
      </w:pPr>
      <w:r>
        <w:rPr>
          <w:b/>
        </w:rPr>
        <w:t xml:space="preserve">交互层　</w:t>
      </w:r>
      <w:r>
        <w:t xml:space="preserve">自然语言问答 · 农情数据上传 · 结构化方案卡片 · 文档导出 · 可视化模块联动</w:t>
      </w:r>
    </w:p>
    <w:p>
      <w:pPr>
        <w:pStyle w:val="Body"/>
        <w:jc w:val="both"/>
        <w:spacing w:before="0" w:after="80" w:line="320" w:lineRule="auto"/>
        <w:ind w:left="120"/>
        <w:shd w:val="clear" w:color="auto" w:fill="EEF2F8"/>
      </w:pPr>
      <w:r>
        <w:rPr>
          <w:b/>
        </w:rPr>
        <w:t xml:space="preserve">智能体层　</w:t>
      </w:r>
      <w:r>
        <w:t xml:space="preserve">意图识别与任务规划 · 工具调用编排 · 多轮槽位补全 · 会话记忆 · 证据汇总与冲突校验</w:t>
      </w:r>
    </w:p>
    <w:p>
      <w:pPr>
        <w:pStyle w:val="Body"/>
        <w:jc w:val="both"/>
        <w:spacing w:before="0" w:after="80" w:line="320" w:lineRule="auto"/>
        <w:ind w:left="120"/>
        <w:shd w:val="clear" w:color="auto" w:fill="EEF2F8"/>
      </w:pPr>
      <w:r>
        <w:rPr>
          <w:b/>
        </w:rPr>
        <w:t xml:space="preserve">工具层　</w:t>
      </w:r>
      <w:r>
        <w:t xml:space="preserve">区域风险查询 · 因子归因解释 · 参数情景模拟 · 韧性路径推荐 · 水肥处方计算 · 病虫害诊断 · 气象与物候查询 · 知识检索</w:t>
      </w:r>
    </w:p>
    <w:p>
      <w:pPr>
        <w:pStyle w:val="Body"/>
        <w:jc w:val="both"/>
        <w:spacing w:before="0" w:after="80" w:line="320" w:lineRule="auto"/>
        <w:ind w:left="120"/>
        <w:shd w:val="clear" w:color="auto" w:fill="EEF2F8"/>
      </w:pPr>
      <w:r>
        <w:rPr>
          <w:b/>
        </w:rPr>
        <w:t xml:space="preserve">知识层　</w:t>
      </w:r>
      <w:r>
        <w:t xml:space="preserve">农技知识库（向量 + 关键词混合检索 + 重排） · 农业知识图谱（实体关系推理 + 社区摘要） · 引用溯源与时效加权</w:t>
      </w:r>
    </w:p>
    <w:p>
      <w:pPr>
        <w:pStyle w:val="Body"/>
        <w:jc w:val="both"/>
        <w:spacing w:before="0" w:after="80" w:line="320" w:lineRule="auto"/>
        <w:ind w:left="120"/>
        <w:shd w:val="clear" w:color="auto" w:fill="EEF2F8"/>
      </w:pPr>
      <w:r>
        <w:rPr>
          <w:b/>
        </w:rPr>
        <w:t xml:space="preserve">数据层　</w:t>
      </w:r>
      <w:r>
        <w:t xml:space="preserve">省级多模态面板（31 省 × 13 年） · 县级生产面板（2 725 县 × 23 年） · 遥感、气象与空间数据 · 模型训练产物与推理服务</w:t>
      </w:r>
    </w:p>
    <w:p>
      <w:pPr>
        <w:pStyle w:val="Heading2"/>
        <w:jc w:val="left"/>
        <w:spacing w:before="120" w:after="100" w:line="320" w:lineRule="auto"/>
      </w:pPr>
      <w:r>
        <w:t xml:space="preserve">3.2 技术选型</w:t>
      </w:r>
    </w:p>
    <w:p>
      <w:pPr>
        <w:pStyle w:val="Caption"/>
        <w:jc w:val="center"/>
        <w:spacing w:before="0" w:after="60" w:line="320" w:lineRule="auto"/>
      </w:pPr>
      <w:r>
        <w:rPr>
          <w:sz w:val="18"/>
          <w:szCs w:val="18"/>
        </w:rPr>
        <w:t xml:space="preserve">表 2　关键技术选型</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882"/>
        <w:gridCol w:w="2823"/>
        <w:gridCol w:w="4706"/>
      </w:tblGrid>
      <w:tr>
        <w:trPr>
          <w:tblHeader/>
        </w:trPr>
        <w:tc>
          <w:tcPr>
            <w:tcW w:w="1882" w:type="dxa"/>
            <w:shd w:val="clear" w:color="auto" w:fill="1F3864"/>
            <w:vAlign w:val="center"/>
          </w:tcPr>
          <w:p>
            <w:pPr>
              <w:jc w:val="center"/>
              <w:spacing w:before="30" w:after="30" w:line="280" w:lineRule="auto"/>
              <w:rPr>
                <w:sz w:val="18"/>
              </w:rPr>
            </w:pPr>
            <w:r>
              <w:rPr>
                <w:color w:val="FFFFFF"/>
                <w:b/>
              </w:rPr>
              <w:t xml:space="preserve">层次</w:t>
            </w:r>
          </w:p>
        </w:tc>
        <w:tc>
          <w:tcPr>
            <w:tcW w:w="2823" w:type="dxa"/>
            <w:shd w:val="clear" w:color="auto" w:fill="1F3864"/>
            <w:vAlign w:val="center"/>
          </w:tcPr>
          <w:p>
            <w:pPr>
              <w:jc w:val="center"/>
              <w:spacing w:before="30" w:after="30" w:line="280" w:lineRule="auto"/>
              <w:rPr>
                <w:sz w:val="18"/>
              </w:rPr>
            </w:pPr>
            <w:r>
              <w:rPr>
                <w:color w:val="FFFFFF"/>
                <w:b/>
              </w:rPr>
              <w:t xml:space="preserve">选型</w:t>
            </w:r>
          </w:p>
        </w:tc>
        <w:tc>
          <w:tcPr>
            <w:tcW w:w="4706" w:type="dxa"/>
            <w:shd w:val="clear" w:color="auto" w:fill="1F3864"/>
            <w:vAlign w:val="center"/>
          </w:tcPr>
          <w:p>
            <w:pPr>
              <w:jc w:val="center"/>
              <w:spacing w:before="30" w:after="30" w:line="280" w:lineRule="auto"/>
              <w:rPr>
                <w:sz w:val="18"/>
              </w:rPr>
            </w:pPr>
            <w:r>
              <w:rPr>
                <w:color w:val="FFFFFF"/>
                <w:b/>
              </w:rPr>
              <w:t xml:space="preserve">选择理由</w:t>
            </w:r>
          </w:p>
        </w:tc>
      </w:tr>
      <w:tr>
        <w:tc>
          <w:tcPr>
            <w:tcW w:w="1882" w:type="dxa"/>
            <w:shd w:val="clear" w:color="auto" w:fill="F5F7FA"/>
            <w:vAlign w:val="center"/>
          </w:tcPr>
          <w:p>
            <w:pPr>
              <w:jc w:val="both"/>
              <w:spacing w:before="30" w:after="30" w:line="280" w:lineRule="auto"/>
              <w:rPr>
                <w:sz w:val="18"/>
              </w:rPr>
            </w:pPr>
            <w:r>
              <w:t xml:space="preserve">语言模型</w:t>
            </w:r>
          </w:p>
        </w:tc>
        <w:tc>
          <w:tcPr>
            <w:tcW w:w="2823" w:type="dxa"/>
            <w:shd w:val="clear" w:color="auto" w:fill="F5F7FA"/>
            <w:vAlign w:val="center"/>
          </w:tcPr>
          <w:p>
            <w:pPr>
              <w:jc w:val="both"/>
              <w:spacing w:before="30" w:after="30" w:line="280" w:lineRule="auto"/>
              <w:rPr>
                <w:sz w:val="18"/>
              </w:rPr>
            </w:pPr>
            <w:r>
              <w:t xml:space="preserve">DeepSeek 系列对话模型</w:t>
            </w:r>
          </w:p>
        </w:tc>
        <w:tc>
          <w:tcPr>
            <w:tcW w:w="4706" w:type="dxa"/>
            <w:shd w:val="clear" w:color="auto" w:fill="F5F7FA"/>
            <w:vAlign w:val="center"/>
          </w:tcPr>
          <w:p>
            <w:pPr>
              <w:jc w:val="both"/>
              <w:spacing w:before="30" w:after="30" w:line="280" w:lineRule="auto"/>
              <w:rPr>
                <w:sz w:val="18"/>
              </w:rPr>
            </w:pPr>
            <w:r>
              <w:t xml:space="preserve">中文农技语料理解与指令遵循稳定，接口成本可控，便于在基层部署场景中控本</w:t>
            </w:r>
          </w:p>
        </w:tc>
      </w:tr>
      <w:tr>
        <w:tc>
          <w:tcPr>
            <w:tcW w:w="1882" w:type="dxa"/>
            <w:shd w:val="clear" w:color="auto" w:fill="FFFFFF"/>
            <w:vAlign w:val="center"/>
          </w:tcPr>
          <w:p>
            <w:pPr>
              <w:jc w:val="both"/>
              <w:spacing w:before="30" w:after="30" w:line="280" w:lineRule="auto"/>
              <w:rPr>
                <w:sz w:val="18"/>
              </w:rPr>
            </w:pPr>
            <w:r>
              <w:t xml:space="preserve">嵌入与重排</w:t>
            </w:r>
          </w:p>
        </w:tc>
        <w:tc>
          <w:tcPr>
            <w:tcW w:w="2823" w:type="dxa"/>
            <w:shd w:val="clear" w:color="auto" w:fill="FFFFFF"/>
            <w:vAlign w:val="center"/>
          </w:tcPr>
          <w:p>
            <w:pPr>
              <w:jc w:val="both"/>
              <w:spacing w:before="30" w:after="30" w:line="280" w:lineRule="auto"/>
              <w:rPr>
                <w:sz w:val="18"/>
              </w:rPr>
            </w:pPr>
            <w:r>
              <w:t xml:space="preserve">BGE-M3 嵌入 + 交叉编码重排模型</w:t>
            </w:r>
          </w:p>
        </w:tc>
        <w:tc>
          <w:tcPr>
            <w:tcW w:w="4706" w:type="dxa"/>
            <w:shd w:val="clear" w:color="auto" w:fill="FFFFFF"/>
            <w:vAlign w:val="center"/>
          </w:tcPr>
          <w:p>
            <w:pPr>
              <w:jc w:val="both"/>
              <w:spacing w:before="30" w:after="30" w:line="280" w:lineRule="auto"/>
              <w:rPr>
                <w:sz w:val="18"/>
              </w:rPr>
            </w:pPr>
            <w:r>
              <w:t xml:space="preserve">中文语料检索效果好，支持稠密与稀疏双模式，重排可显著提升长条文召回质量</w:t>
            </w:r>
          </w:p>
        </w:tc>
      </w:tr>
      <w:tr>
        <w:tc>
          <w:tcPr>
            <w:tcW w:w="1882" w:type="dxa"/>
            <w:shd w:val="clear" w:color="auto" w:fill="F5F7FA"/>
            <w:vAlign w:val="center"/>
          </w:tcPr>
          <w:p>
            <w:pPr>
              <w:jc w:val="both"/>
              <w:spacing w:before="30" w:after="30" w:line="280" w:lineRule="auto"/>
              <w:rPr>
                <w:sz w:val="18"/>
              </w:rPr>
            </w:pPr>
            <w:r>
              <w:t xml:space="preserve">向量与图谱</w:t>
            </w:r>
          </w:p>
        </w:tc>
        <w:tc>
          <w:tcPr>
            <w:tcW w:w="2823" w:type="dxa"/>
            <w:shd w:val="clear" w:color="auto" w:fill="F5F7FA"/>
            <w:vAlign w:val="center"/>
          </w:tcPr>
          <w:p>
            <w:pPr>
              <w:jc w:val="both"/>
              <w:spacing w:before="30" w:after="30" w:line="280" w:lineRule="auto"/>
              <w:rPr>
                <w:sz w:val="18"/>
              </w:rPr>
            </w:pPr>
            <w:r>
              <w:t xml:space="preserve">ChromaDB + NetworkX 与社区发现算法</w:t>
            </w:r>
          </w:p>
        </w:tc>
        <w:tc>
          <w:tcPr>
            <w:tcW w:w="4706" w:type="dxa"/>
            <w:shd w:val="clear" w:color="auto" w:fill="F5F7FA"/>
            <w:vAlign w:val="center"/>
          </w:tcPr>
          <w:p>
            <w:pPr>
              <w:jc w:val="both"/>
              <w:spacing w:before="30" w:after="30" w:line="280" w:lineRule="auto"/>
              <w:rPr>
                <w:sz w:val="18"/>
              </w:rPr>
            </w:pPr>
            <w:r>
              <w:t xml:space="preserve">轻量、可本地部署，社区摘要可直接服务于跨条文的关系型提问</w:t>
            </w:r>
          </w:p>
        </w:tc>
      </w:tr>
      <w:tr>
        <w:tc>
          <w:tcPr>
            <w:tcW w:w="1882" w:type="dxa"/>
            <w:shd w:val="clear" w:color="auto" w:fill="FFFFFF"/>
            <w:vAlign w:val="center"/>
          </w:tcPr>
          <w:p>
            <w:pPr>
              <w:jc w:val="both"/>
              <w:spacing w:before="30" w:after="30" w:line="280" w:lineRule="auto"/>
              <w:rPr>
                <w:sz w:val="18"/>
              </w:rPr>
            </w:pPr>
            <w:r>
              <w:t xml:space="preserve">决策模型</w:t>
            </w:r>
          </w:p>
        </w:tc>
        <w:tc>
          <w:tcPr>
            <w:tcW w:w="2823" w:type="dxa"/>
            <w:shd w:val="clear" w:color="auto" w:fill="FFFFFF"/>
            <w:vAlign w:val="center"/>
          </w:tcPr>
          <w:p>
            <w:pPr>
              <w:jc w:val="both"/>
              <w:spacing w:before="30" w:after="30" w:line="280" w:lineRule="auto"/>
              <w:rPr>
                <w:sz w:val="18"/>
              </w:rPr>
            </w:pPr>
            <w:r>
              <w:t xml:space="preserve">XGBoost-SHAP 与注意力长短期记忆网络</w:t>
            </w:r>
          </w:p>
        </w:tc>
        <w:tc>
          <w:tcPr>
            <w:tcW w:w="4706" w:type="dxa"/>
            <w:shd w:val="clear" w:color="auto" w:fill="FFFFFF"/>
            <w:vAlign w:val="center"/>
          </w:tcPr>
          <w:p>
            <w:pPr>
              <w:jc w:val="both"/>
              <w:spacing w:before="30" w:after="30" w:line="280" w:lineRule="auto"/>
              <w:rPr>
                <w:sz w:val="18"/>
              </w:rPr>
            </w:pPr>
            <w:r>
              <w:t xml:space="preserve">横截面归因与时序视角互补，SHAP 提供可核对的特征贡献度量</w:t>
            </w:r>
          </w:p>
        </w:tc>
      </w:tr>
      <w:tr>
        <w:tc>
          <w:tcPr>
            <w:tcW w:w="1882" w:type="dxa"/>
            <w:shd w:val="clear" w:color="auto" w:fill="F5F7FA"/>
            <w:vAlign w:val="center"/>
          </w:tcPr>
          <w:p>
            <w:pPr>
              <w:jc w:val="both"/>
              <w:spacing w:before="30" w:after="30" w:line="280" w:lineRule="auto"/>
              <w:rPr>
                <w:sz w:val="18"/>
              </w:rPr>
            </w:pPr>
            <w:r>
              <w:t xml:space="preserve">后端与前端</w:t>
            </w:r>
          </w:p>
        </w:tc>
        <w:tc>
          <w:tcPr>
            <w:tcW w:w="2823" w:type="dxa"/>
            <w:shd w:val="clear" w:color="auto" w:fill="F5F7FA"/>
            <w:vAlign w:val="center"/>
          </w:tcPr>
          <w:p>
            <w:pPr>
              <w:jc w:val="both"/>
              <w:spacing w:before="30" w:after="30" w:line="280" w:lineRule="auto"/>
              <w:rPr>
                <w:sz w:val="18"/>
              </w:rPr>
            </w:pPr>
            <w:r>
              <w:t xml:space="preserve">Flask 服务 + Vue 3 单页应用</w:t>
            </w:r>
          </w:p>
        </w:tc>
        <w:tc>
          <w:tcPr>
            <w:tcW w:w="4706" w:type="dxa"/>
            <w:shd w:val="clear" w:color="auto" w:fill="F5F7FA"/>
            <w:vAlign w:val="center"/>
          </w:tcPr>
          <w:p>
            <w:pPr>
              <w:jc w:val="both"/>
              <w:spacing w:before="30" w:after="30" w:line="280" w:lineRule="auto"/>
              <w:rPr>
                <w:sz w:val="18"/>
              </w:rPr>
            </w:pPr>
            <w:r>
              <w:t xml:space="preserve">接口轻量、部署简单，前端模块化便于按角色裁剪功能</w:t>
            </w:r>
          </w:p>
        </w:tc>
      </w:tr>
      <w:tr>
        <w:tc>
          <w:tcPr>
            <w:tcW w:w="1882" w:type="dxa"/>
            <w:shd w:val="clear" w:color="auto" w:fill="FFFFFF"/>
            <w:vAlign w:val="center"/>
          </w:tcPr>
          <w:p>
            <w:pPr>
              <w:jc w:val="both"/>
              <w:spacing w:before="30" w:after="30" w:line="280" w:lineRule="auto"/>
              <w:rPr>
                <w:sz w:val="18"/>
              </w:rPr>
            </w:pPr>
            <w:r>
              <w:t xml:space="preserve">部署形态</w:t>
            </w:r>
          </w:p>
        </w:tc>
        <w:tc>
          <w:tcPr>
            <w:tcW w:w="2823" w:type="dxa"/>
            <w:shd w:val="clear" w:color="auto" w:fill="FFFFFF"/>
            <w:vAlign w:val="center"/>
          </w:tcPr>
          <w:p>
            <w:pPr>
              <w:jc w:val="both"/>
              <w:spacing w:before="30" w:after="30" w:line="280" w:lineRule="auto"/>
              <w:rPr>
                <w:sz w:val="18"/>
              </w:rPr>
            </w:pPr>
            <w:r>
              <w:t xml:space="preserve">容器化单实例，无 GPU 依赖</w:t>
            </w:r>
          </w:p>
        </w:tc>
        <w:tc>
          <w:tcPr>
            <w:tcW w:w="4706" w:type="dxa"/>
            <w:shd w:val="clear" w:color="auto" w:fill="FFFFFF"/>
            <w:vAlign w:val="center"/>
          </w:tcPr>
          <w:p>
            <w:pPr>
              <w:jc w:val="both"/>
              <w:spacing w:before="30" w:after="30" w:line="280" w:lineRule="auto"/>
              <w:rPr>
                <w:sz w:val="18"/>
              </w:rPr>
            </w:pPr>
            <w:r>
              <w:t xml:space="preserve">降低在县域与本地的落地门槛，模型推理以中央处理器完成</w:t>
            </w:r>
          </w:p>
        </w:tc>
      </w:tr>
    </w:tbl>
    <w:p>
      <w:pPr>
        <w:pStyle w:val="Body"/>
        <w:jc w:val="left"/>
        <w:spacing w:before="0" w:after="40" w:line="320" w:lineRule="auto"/>
      </w:pPr>
    </w:p>
    <w:p>
      <w:pPr>
        <w:pStyle w:val="Heading1"/>
        <w:pageBreakBefore/>
        <w:jc w:val="left"/>
        <w:spacing w:before="0" w:after="100" w:line="320" w:lineRule="auto"/>
      </w:pPr>
      <w:r>
        <w:t xml:space="preserve">四、关键技术实现</w:t>
      </w:r>
    </w:p>
    <w:p>
      <w:pPr>
        <w:pStyle w:val="Heading2"/>
        <w:jc w:val="left"/>
        <w:spacing w:before="120" w:after="100" w:line="320" w:lineRule="auto"/>
      </w:pPr>
      <w:r>
        <w:t xml:space="preserve">4.1 智能体的任务规划与工具调用</w:t>
      </w:r>
    </w:p>
    <w:p>
      <w:pPr>
        <w:pStyle w:val="Body"/>
        <w:jc w:val="both"/>
        <w:spacing w:before="0" w:after="80" w:line="320" w:lineRule="auto"/>
      </w:pPr>
      <w:r>
        <w:t xml:space="preserve">平台不把大语言模型当作唯一的知识来源，而是让它承担调度职责：判断用户到底要解决什么问题、还缺哪些信息、应该调用哪些工具、得到的证据是否足以支撑结论。一次完整的问答遵循固定的推理循环，如图 2 所示。</w:t>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ind w:left="120"/>
        <w:shd w:val="clear" w:color="auto" w:fill="F4F7F5"/>
      </w:pPr>
      <w:r>
        <w:rPr>
          <w:b/>
        </w:rPr>
        <w:t xml:space="preserve"/>
      </w:r>
    </w:p>
    <w:p>
      <w:pPr>
        <w:pStyle w:val="Body"/>
        <w:jc w:val="both"/>
        <w:spacing w:before="0" w:after="80" w:line="320" w:lineRule="auto"/>
      </w:pPr>
      <w:r>
        <w:t xml:space="preserve">可调用工具分为决策计算与知识检索两类，如表 3。决策计算工具输出数值与排序，知识检索工具输出条文与出处，两类结果在生成阶段合并，避免出现"只有结论没有依据"或"只有条文没有本地适配"的情况。</w:t>
      </w:r>
    </w:p>
    <w:p>
      <w:pPr>
        <w:pStyle w:val="Caption"/>
        <w:jc w:val="center"/>
        <w:spacing w:before="0" w:after="60" w:line="320" w:lineRule="auto"/>
      </w:pPr>
      <w:r>
        <w:rPr>
          <w:sz w:val="18"/>
          <w:szCs w:val="18"/>
        </w:rPr>
        <w:t xml:space="preserve">表 3　智能体可调用工具</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882"/>
        <w:gridCol w:w="2823"/>
        <w:gridCol w:w="2635"/>
        <w:gridCol w:w="2070"/>
      </w:tblGrid>
      <w:tr>
        <w:trPr>
          <w:tblHeader/>
        </w:trPr>
        <w:tc>
          <w:tcPr>
            <w:tcW w:w="1882" w:type="dxa"/>
            <w:shd w:val="clear" w:color="auto" w:fill="1F3864"/>
            <w:vAlign w:val="center"/>
          </w:tcPr>
          <w:p>
            <w:pPr>
              <w:jc w:val="center"/>
              <w:spacing w:before="30" w:after="30" w:line="280" w:lineRule="auto"/>
              <w:rPr>
                <w:sz w:val="18"/>
              </w:rPr>
            </w:pPr>
            <w:r>
              <w:rPr>
                <w:color w:val="FFFFFF"/>
                <w:b/>
              </w:rPr>
              <w:t xml:space="preserve">工具</w:t>
            </w:r>
          </w:p>
        </w:tc>
        <w:tc>
          <w:tcPr>
            <w:tcW w:w="2823" w:type="dxa"/>
            <w:shd w:val="clear" w:color="auto" w:fill="1F3864"/>
            <w:vAlign w:val="center"/>
          </w:tcPr>
          <w:p>
            <w:pPr>
              <w:jc w:val="center"/>
              <w:spacing w:before="30" w:after="30" w:line="280" w:lineRule="auto"/>
              <w:rPr>
                <w:sz w:val="18"/>
              </w:rPr>
            </w:pPr>
            <w:r>
              <w:rPr>
                <w:color w:val="FFFFFF"/>
                <w:b/>
              </w:rPr>
              <w:t xml:space="preserve">输入</w:t>
            </w:r>
          </w:p>
        </w:tc>
        <w:tc>
          <w:tcPr>
            <w:tcW w:w="2635" w:type="dxa"/>
            <w:shd w:val="clear" w:color="auto" w:fill="1F3864"/>
            <w:vAlign w:val="center"/>
          </w:tcPr>
          <w:p>
            <w:pPr>
              <w:jc w:val="center"/>
              <w:spacing w:before="30" w:after="30" w:line="280" w:lineRule="auto"/>
              <w:rPr>
                <w:sz w:val="18"/>
              </w:rPr>
            </w:pPr>
            <w:r>
              <w:rPr>
                <w:color w:val="FFFFFF"/>
                <w:b/>
              </w:rPr>
              <w:t xml:space="preserve">输出</w:t>
            </w:r>
          </w:p>
        </w:tc>
        <w:tc>
          <w:tcPr>
            <w:tcW w:w="2070" w:type="dxa"/>
            <w:shd w:val="clear" w:color="auto" w:fill="1F3864"/>
            <w:vAlign w:val="center"/>
          </w:tcPr>
          <w:p>
            <w:pPr>
              <w:jc w:val="center"/>
              <w:spacing w:before="30" w:after="30" w:line="280" w:lineRule="auto"/>
              <w:rPr>
                <w:sz w:val="18"/>
              </w:rPr>
            </w:pPr>
            <w:r>
              <w:rPr>
                <w:color w:val="FFFFFF"/>
                <w:b/>
              </w:rPr>
              <w:t xml:space="preserve">实现状态</w:t>
            </w:r>
          </w:p>
        </w:tc>
      </w:tr>
      <w:tr>
        <w:tc>
          <w:tcPr>
            <w:tcW w:w="1882" w:type="dxa"/>
            <w:shd w:val="clear" w:color="auto" w:fill="F5F7FA"/>
            <w:vAlign w:val="center"/>
          </w:tcPr>
          <w:p>
            <w:pPr>
              <w:jc w:val="both"/>
              <w:spacing w:before="30" w:after="30" w:line="280" w:lineRule="auto"/>
              <w:rPr>
                <w:sz w:val="18"/>
              </w:rPr>
            </w:pPr>
            <w:r>
              <w:t xml:space="preserve">区域风险查询</w:t>
            </w:r>
          </w:p>
        </w:tc>
        <w:tc>
          <w:tcPr>
            <w:tcW w:w="2823" w:type="dxa"/>
            <w:shd w:val="clear" w:color="auto" w:fill="F5F7FA"/>
            <w:vAlign w:val="center"/>
          </w:tcPr>
          <w:p>
            <w:pPr>
              <w:jc w:val="both"/>
              <w:spacing w:before="30" w:after="30" w:line="280" w:lineRule="auto"/>
              <w:rPr>
                <w:sz w:val="18"/>
              </w:rPr>
            </w:pPr>
            <w:r>
              <w:t xml:space="preserve">省份、年份</w:t>
            </w:r>
          </w:p>
        </w:tc>
        <w:tc>
          <w:tcPr>
            <w:tcW w:w="2635" w:type="dxa"/>
            <w:shd w:val="clear" w:color="auto" w:fill="F5F7FA"/>
            <w:vAlign w:val="center"/>
          </w:tcPr>
          <w:p>
            <w:pPr>
              <w:jc w:val="both"/>
              <w:spacing w:before="30" w:after="30" w:line="280" w:lineRule="auto"/>
              <w:rPr>
                <w:sz w:val="18"/>
              </w:rPr>
            </w:pPr>
            <w:r>
              <w:t xml:space="preserve">风险等级、区域排序</w:t>
            </w:r>
          </w:p>
        </w:tc>
        <w:tc>
          <w:tcPr>
            <w:tcW w:w="2070" w:type="dxa"/>
            <w:shd w:val="clear" w:color="auto" w:fill="F5F7FA"/>
            <w:vAlign w:val="center"/>
          </w:tcPr>
          <w:p>
            <w:pPr>
              <w:jc w:val="center"/>
              <w:spacing w:before="30" w:after="30" w:line="280" w:lineRule="auto"/>
              <w:rPr>
                <w:sz w:val="18"/>
              </w:rPr>
            </w:pPr>
            <w:r>
              <w:t xml:space="preserve">已实装</w:t>
            </w:r>
          </w:p>
        </w:tc>
      </w:tr>
      <w:tr>
        <w:tc>
          <w:tcPr>
            <w:tcW w:w="1882" w:type="dxa"/>
            <w:shd w:val="clear" w:color="auto" w:fill="FFFFFF"/>
            <w:vAlign w:val="center"/>
          </w:tcPr>
          <w:p>
            <w:pPr>
              <w:jc w:val="both"/>
              <w:spacing w:before="30" w:after="30" w:line="280" w:lineRule="auto"/>
              <w:rPr>
                <w:sz w:val="18"/>
              </w:rPr>
            </w:pPr>
            <w:r>
              <w:t xml:space="preserve">因子归因解释</w:t>
            </w:r>
          </w:p>
        </w:tc>
        <w:tc>
          <w:tcPr>
            <w:tcW w:w="2823" w:type="dxa"/>
            <w:shd w:val="clear" w:color="auto" w:fill="FFFFFF"/>
            <w:vAlign w:val="center"/>
          </w:tcPr>
          <w:p>
            <w:pPr>
              <w:jc w:val="both"/>
              <w:spacing w:before="30" w:after="30" w:line="280" w:lineRule="auto"/>
              <w:rPr>
                <w:sz w:val="18"/>
              </w:rPr>
            </w:pPr>
            <w:r>
              <w:t xml:space="preserve">省份、年份、关注因子</w:t>
            </w:r>
          </w:p>
        </w:tc>
        <w:tc>
          <w:tcPr>
            <w:tcW w:w="2635" w:type="dxa"/>
            <w:shd w:val="clear" w:color="auto" w:fill="FFFFFF"/>
            <w:vAlign w:val="center"/>
          </w:tcPr>
          <w:p>
            <w:pPr>
              <w:jc w:val="both"/>
              <w:spacing w:before="30" w:after="30" w:line="280" w:lineRule="auto"/>
              <w:rPr>
                <w:sz w:val="18"/>
              </w:rPr>
            </w:pPr>
            <w:r>
              <w:t xml:space="preserve">特征贡献度排序与方向</w:t>
            </w:r>
          </w:p>
        </w:tc>
        <w:tc>
          <w:tcPr>
            <w:tcW w:w="2070" w:type="dxa"/>
            <w:shd w:val="clear" w:color="auto" w:fill="FFFFFF"/>
            <w:vAlign w:val="center"/>
          </w:tcPr>
          <w:p>
            <w:pPr>
              <w:jc w:val="center"/>
              <w:spacing w:before="30" w:after="30" w:line="280" w:lineRule="auto"/>
              <w:rPr>
                <w:sz w:val="18"/>
              </w:rPr>
            </w:pPr>
            <w:r>
              <w:t xml:space="preserve">已实装</w:t>
            </w:r>
          </w:p>
        </w:tc>
      </w:tr>
      <w:tr>
        <w:tc>
          <w:tcPr>
            <w:tcW w:w="1882" w:type="dxa"/>
            <w:shd w:val="clear" w:color="auto" w:fill="F5F7FA"/>
            <w:vAlign w:val="center"/>
          </w:tcPr>
          <w:p>
            <w:pPr>
              <w:jc w:val="both"/>
              <w:spacing w:before="30" w:after="30" w:line="280" w:lineRule="auto"/>
              <w:rPr>
                <w:sz w:val="18"/>
              </w:rPr>
            </w:pPr>
            <w:r>
              <w:t xml:space="preserve">参数情景模拟</w:t>
            </w:r>
          </w:p>
        </w:tc>
        <w:tc>
          <w:tcPr>
            <w:tcW w:w="2823" w:type="dxa"/>
            <w:shd w:val="clear" w:color="auto" w:fill="F5F7FA"/>
            <w:vAlign w:val="center"/>
          </w:tcPr>
          <w:p>
            <w:pPr>
              <w:jc w:val="both"/>
              <w:spacing w:before="30" w:after="30" w:line="280" w:lineRule="auto"/>
              <w:rPr>
                <w:sz w:val="18"/>
              </w:rPr>
            </w:pPr>
            <w:r>
              <w:t xml:space="preserve">灌溉、化肥、降水等参数</w:t>
            </w:r>
          </w:p>
        </w:tc>
        <w:tc>
          <w:tcPr>
            <w:tcW w:w="2635" w:type="dxa"/>
            <w:shd w:val="clear" w:color="auto" w:fill="F5F7FA"/>
            <w:vAlign w:val="center"/>
          </w:tcPr>
          <w:p>
            <w:pPr>
              <w:jc w:val="both"/>
              <w:spacing w:before="30" w:after="30" w:line="280" w:lineRule="auto"/>
              <w:rPr>
                <w:sz w:val="18"/>
              </w:rPr>
            </w:pPr>
            <w:r>
              <w:t xml:space="preserve">反事实风险变化</w:t>
            </w:r>
          </w:p>
        </w:tc>
        <w:tc>
          <w:tcPr>
            <w:tcW w:w="2070" w:type="dxa"/>
            <w:shd w:val="clear" w:color="auto" w:fill="F5F7FA"/>
            <w:vAlign w:val="center"/>
          </w:tcPr>
          <w:p>
            <w:pPr>
              <w:jc w:val="center"/>
              <w:spacing w:before="30" w:after="30" w:line="280" w:lineRule="auto"/>
              <w:rPr>
                <w:sz w:val="18"/>
              </w:rPr>
            </w:pPr>
            <w:r>
              <w:t xml:space="preserve">已实装</w:t>
            </w:r>
          </w:p>
        </w:tc>
      </w:tr>
      <w:tr>
        <w:tc>
          <w:tcPr>
            <w:tcW w:w="1882" w:type="dxa"/>
            <w:shd w:val="clear" w:color="auto" w:fill="FFFFFF"/>
            <w:vAlign w:val="center"/>
          </w:tcPr>
          <w:p>
            <w:pPr>
              <w:jc w:val="both"/>
              <w:spacing w:before="30" w:after="30" w:line="280" w:lineRule="auto"/>
              <w:rPr>
                <w:sz w:val="18"/>
              </w:rPr>
            </w:pPr>
            <w:r>
              <w:t xml:space="preserve">韧性路径推荐</w:t>
            </w:r>
          </w:p>
        </w:tc>
        <w:tc>
          <w:tcPr>
            <w:tcW w:w="2823" w:type="dxa"/>
            <w:shd w:val="clear" w:color="auto" w:fill="FFFFFF"/>
            <w:vAlign w:val="center"/>
          </w:tcPr>
          <w:p>
            <w:pPr>
              <w:jc w:val="both"/>
              <w:spacing w:before="30" w:after="30" w:line="280" w:lineRule="auto"/>
              <w:rPr>
                <w:sz w:val="18"/>
              </w:rPr>
            </w:pPr>
            <w:r>
              <w:t xml:space="preserve">区域、短板因子</w:t>
            </w:r>
          </w:p>
        </w:tc>
        <w:tc>
          <w:tcPr>
            <w:tcW w:w="2635" w:type="dxa"/>
            <w:shd w:val="clear" w:color="auto" w:fill="FFFFFF"/>
            <w:vAlign w:val="center"/>
          </w:tcPr>
          <w:p>
            <w:pPr>
              <w:jc w:val="both"/>
              <w:spacing w:before="30" w:after="30" w:line="280" w:lineRule="auto"/>
              <w:rPr>
                <w:sz w:val="18"/>
              </w:rPr>
            </w:pPr>
            <w:r>
              <w:t xml:space="preserve">分阶段措施与优先级</w:t>
            </w:r>
          </w:p>
        </w:tc>
        <w:tc>
          <w:tcPr>
            <w:tcW w:w="2070" w:type="dxa"/>
            <w:shd w:val="clear" w:color="auto" w:fill="FFFFFF"/>
            <w:vAlign w:val="center"/>
          </w:tcPr>
          <w:p>
            <w:pPr>
              <w:jc w:val="center"/>
              <w:spacing w:before="30" w:after="30" w:line="280" w:lineRule="auto"/>
              <w:rPr>
                <w:sz w:val="18"/>
              </w:rPr>
            </w:pPr>
            <w:r>
              <w:t xml:space="preserve">已实装</w:t>
            </w:r>
          </w:p>
        </w:tc>
      </w:tr>
      <w:tr>
        <w:tc>
          <w:tcPr>
            <w:tcW w:w="1882" w:type="dxa"/>
            <w:shd w:val="clear" w:color="auto" w:fill="F5F7FA"/>
            <w:vAlign w:val="center"/>
          </w:tcPr>
          <w:p>
            <w:pPr>
              <w:jc w:val="both"/>
              <w:spacing w:before="30" w:after="30" w:line="280" w:lineRule="auto"/>
              <w:rPr>
                <w:sz w:val="18"/>
              </w:rPr>
            </w:pPr>
            <w:r>
              <w:t xml:space="preserve">知识检索</w:t>
            </w:r>
          </w:p>
        </w:tc>
        <w:tc>
          <w:tcPr>
            <w:tcW w:w="2823" w:type="dxa"/>
            <w:shd w:val="clear" w:color="auto" w:fill="F5F7FA"/>
            <w:vAlign w:val="center"/>
          </w:tcPr>
          <w:p>
            <w:pPr>
              <w:jc w:val="both"/>
              <w:spacing w:before="30" w:after="30" w:line="280" w:lineRule="auto"/>
              <w:rPr>
                <w:sz w:val="18"/>
              </w:rPr>
            </w:pPr>
            <w:r>
              <w:t xml:space="preserve">自然语言问题、元数据过滤条件</w:t>
            </w:r>
          </w:p>
        </w:tc>
        <w:tc>
          <w:tcPr>
            <w:tcW w:w="2635" w:type="dxa"/>
            <w:shd w:val="clear" w:color="auto" w:fill="F5F7FA"/>
            <w:vAlign w:val="center"/>
          </w:tcPr>
          <w:p>
            <w:pPr>
              <w:jc w:val="both"/>
              <w:spacing w:before="30" w:after="30" w:line="280" w:lineRule="auto"/>
              <w:rPr>
                <w:sz w:val="18"/>
              </w:rPr>
            </w:pPr>
            <w:r>
              <w:t xml:space="preserve">条文片段与出处</w:t>
            </w:r>
          </w:p>
        </w:tc>
        <w:tc>
          <w:tcPr>
            <w:tcW w:w="2070" w:type="dxa"/>
            <w:shd w:val="clear" w:color="auto" w:fill="F5F7FA"/>
            <w:vAlign w:val="center"/>
          </w:tcPr>
          <w:p>
            <w:pPr>
              <w:jc w:val="center"/>
              <w:spacing w:before="30" w:after="30" w:line="280" w:lineRule="auto"/>
              <w:rPr>
                <w:sz w:val="18"/>
              </w:rPr>
            </w:pPr>
            <w:r>
              <w:t xml:space="preserve">已实装</w:t>
            </w:r>
          </w:p>
        </w:tc>
      </w:tr>
      <w:tr>
        <w:tc>
          <w:tcPr>
            <w:tcW w:w="1882" w:type="dxa"/>
            <w:shd w:val="clear" w:color="auto" w:fill="FFFFFF"/>
            <w:vAlign w:val="center"/>
          </w:tcPr>
          <w:p>
            <w:pPr>
              <w:jc w:val="both"/>
              <w:spacing w:before="30" w:after="30" w:line="280" w:lineRule="auto"/>
              <w:rPr>
                <w:sz w:val="18"/>
              </w:rPr>
            </w:pPr>
            <w:r>
              <w:t xml:space="preserve">图谱关系检索</w:t>
            </w:r>
          </w:p>
        </w:tc>
        <w:tc>
          <w:tcPr>
            <w:tcW w:w="2823" w:type="dxa"/>
            <w:shd w:val="clear" w:color="auto" w:fill="FFFFFF"/>
            <w:vAlign w:val="center"/>
          </w:tcPr>
          <w:p>
            <w:pPr>
              <w:jc w:val="both"/>
              <w:spacing w:before="30" w:after="30" w:line="280" w:lineRule="auto"/>
              <w:rPr>
                <w:sz w:val="18"/>
              </w:rPr>
            </w:pPr>
            <w:r>
              <w:t xml:space="preserve">实体名称或问题</w:t>
            </w:r>
          </w:p>
        </w:tc>
        <w:tc>
          <w:tcPr>
            <w:tcW w:w="2635" w:type="dxa"/>
            <w:shd w:val="clear" w:color="auto" w:fill="FFFFFF"/>
            <w:vAlign w:val="center"/>
          </w:tcPr>
          <w:p>
            <w:pPr>
              <w:jc w:val="both"/>
              <w:spacing w:before="30" w:after="30" w:line="280" w:lineRule="auto"/>
              <w:rPr>
                <w:sz w:val="18"/>
              </w:rPr>
            </w:pPr>
            <w:r>
              <w:t xml:space="preserve">关系路径与社区摘要</w:t>
            </w:r>
          </w:p>
        </w:tc>
        <w:tc>
          <w:tcPr>
            <w:tcW w:w="2070" w:type="dxa"/>
            <w:shd w:val="clear" w:color="auto" w:fill="FFFFFF"/>
            <w:vAlign w:val="center"/>
          </w:tcPr>
          <w:p>
            <w:pPr>
              <w:jc w:val="center"/>
              <w:spacing w:before="30" w:after="30" w:line="280" w:lineRule="auto"/>
              <w:rPr>
                <w:sz w:val="18"/>
              </w:rPr>
            </w:pPr>
            <w:r>
              <w:t xml:space="preserve">已实装</w:t>
            </w:r>
          </w:p>
        </w:tc>
      </w:tr>
      <w:tr>
        <w:tc>
          <w:tcPr>
            <w:tcW w:w="1882" w:type="dxa"/>
            <w:shd w:val="clear" w:color="auto" w:fill="F5F7FA"/>
            <w:vAlign w:val="center"/>
          </w:tcPr>
          <w:p>
            <w:pPr>
              <w:jc w:val="both"/>
              <w:spacing w:before="30" w:after="30" w:line="280" w:lineRule="auto"/>
              <w:rPr>
                <w:sz w:val="18"/>
              </w:rPr>
            </w:pPr>
            <w:r>
              <w:t xml:space="preserve">水肥处方计算</w:t>
            </w:r>
          </w:p>
        </w:tc>
        <w:tc>
          <w:tcPr>
            <w:tcW w:w="2823" w:type="dxa"/>
            <w:shd w:val="clear" w:color="auto" w:fill="F5F7FA"/>
            <w:vAlign w:val="center"/>
          </w:tcPr>
          <w:p>
            <w:pPr>
              <w:jc w:val="both"/>
              <w:spacing w:before="30" w:after="30" w:line="280" w:lineRule="auto"/>
              <w:rPr>
                <w:sz w:val="18"/>
              </w:rPr>
            </w:pPr>
            <w:r>
              <w:t xml:space="preserve">作物、生育期、土壤与已施用量</w:t>
            </w:r>
          </w:p>
        </w:tc>
        <w:tc>
          <w:tcPr>
            <w:tcW w:w="2635" w:type="dxa"/>
            <w:shd w:val="clear" w:color="auto" w:fill="F5F7FA"/>
            <w:vAlign w:val="center"/>
          </w:tcPr>
          <w:p>
            <w:pPr>
              <w:jc w:val="both"/>
              <w:spacing w:before="30" w:after="30" w:line="280" w:lineRule="auto"/>
              <w:rPr>
                <w:sz w:val="18"/>
              </w:rPr>
            </w:pPr>
            <w:r>
              <w:t xml:space="preserve">分次用量与施用方式</w:t>
            </w:r>
          </w:p>
        </w:tc>
        <w:tc>
          <w:tcPr>
            <w:tcW w:w="2070" w:type="dxa"/>
            <w:shd w:val="clear" w:color="auto" w:fill="F5F7FA"/>
            <w:vAlign w:val="center"/>
          </w:tcPr>
          <w:p>
            <w:pPr>
              <w:jc w:val="center"/>
              <w:spacing w:before="30" w:after="30" w:line="280" w:lineRule="auto"/>
              <w:rPr>
                <w:sz w:val="18"/>
              </w:rPr>
            </w:pPr>
            <w:r>
              <w:t xml:space="preserve">本期建设</w:t>
            </w:r>
          </w:p>
        </w:tc>
      </w:tr>
      <w:tr>
        <w:tc>
          <w:tcPr>
            <w:tcW w:w="1882" w:type="dxa"/>
            <w:shd w:val="clear" w:color="auto" w:fill="FFFFFF"/>
            <w:vAlign w:val="center"/>
          </w:tcPr>
          <w:p>
            <w:pPr>
              <w:jc w:val="both"/>
              <w:spacing w:before="30" w:after="30" w:line="280" w:lineRule="auto"/>
              <w:rPr>
                <w:sz w:val="18"/>
              </w:rPr>
            </w:pPr>
            <w:r>
              <w:t xml:space="preserve">病虫害诊断</w:t>
            </w:r>
          </w:p>
        </w:tc>
        <w:tc>
          <w:tcPr>
            <w:tcW w:w="2823" w:type="dxa"/>
            <w:shd w:val="clear" w:color="auto" w:fill="FFFFFF"/>
            <w:vAlign w:val="center"/>
          </w:tcPr>
          <w:p>
            <w:pPr>
              <w:jc w:val="both"/>
              <w:spacing w:before="30" w:after="30" w:line="280" w:lineRule="auto"/>
              <w:rPr>
                <w:sz w:val="18"/>
              </w:rPr>
            </w:pPr>
            <w:r>
              <w:t xml:space="preserve">症状描述或现场图片、作物、区域</w:t>
            </w:r>
          </w:p>
        </w:tc>
        <w:tc>
          <w:tcPr>
            <w:tcW w:w="2635" w:type="dxa"/>
            <w:shd w:val="clear" w:color="auto" w:fill="FFFFFF"/>
            <w:vAlign w:val="center"/>
          </w:tcPr>
          <w:p>
            <w:pPr>
              <w:jc w:val="both"/>
              <w:spacing w:before="30" w:after="30" w:line="280" w:lineRule="auto"/>
              <w:rPr>
                <w:sz w:val="18"/>
              </w:rPr>
            </w:pPr>
            <w:r>
              <w:t xml:space="preserve">疑似病虫害、防治适期与措施</w:t>
            </w:r>
          </w:p>
        </w:tc>
        <w:tc>
          <w:tcPr>
            <w:tcW w:w="2070" w:type="dxa"/>
            <w:shd w:val="clear" w:color="auto" w:fill="FFFFFF"/>
            <w:vAlign w:val="center"/>
          </w:tcPr>
          <w:p>
            <w:pPr>
              <w:jc w:val="center"/>
              <w:spacing w:before="30" w:after="30" w:line="280" w:lineRule="auto"/>
              <w:rPr>
                <w:sz w:val="18"/>
              </w:rPr>
            </w:pPr>
            <w:r>
              <w:t xml:space="preserve">本期建设</w:t>
            </w:r>
          </w:p>
        </w:tc>
      </w:tr>
      <w:tr>
        <w:tc>
          <w:tcPr>
            <w:tcW w:w="1882" w:type="dxa"/>
            <w:shd w:val="clear" w:color="auto" w:fill="F5F7FA"/>
            <w:vAlign w:val="center"/>
          </w:tcPr>
          <w:p>
            <w:pPr>
              <w:jc w:val="both"/>
              <w:spacing w:before="30" w:after="30" w:line="280" w:lineRule="auto"/>
              <w:rPr>
                <w:sz w:val="18"/>
              </w:rPr>
            </w:pPr>
            <w:r>
              <w:t xml:space="preserve">气象与物候查询</w:t>
            </w:r>
          </w:p>
        </w:tc>
        <w:tc>
          <w:tcPr>
            <w:tcW w:w="2823" w:type="dxa"/>
            <w:shd w:val="clear" w:color="auto" w:fill="F5F7FA"/>
            <w:vAlign w:val="center"/>
          </w:tcPr>
          <w:p>
            <w:pPr>
              <w:jc w:val="both"/>
              <w:spacing w:before="30" w:after="30" w:line="280" w:lineRule="auto"/>
              <w:rPr>
                <w:sz w:val="18"/>
              </w:rPr>
            </w:pPr>
            <w:r>
              <w:t xml:space="preserve">经纬度或行政区、日期范围</w:t>
            </w:r>
          </w:p>
        </w:tc>
        <w:tc>
          <w:tcPr>
            <w:tcW w:w="2635" w:type="dxa"/>
            <w:shd w:val="clear" w:color="auto" w:fill="F5F7FA"/>
            <w:vAlign w:val="center"/>
          </w:tcPr>
          <w:p>
            <w:pPr>
              <w:jc w:val="both"/>
              <w:spacing w:before="30" w:after="30" w:line="280" w:lineRule="auto"/>
              <w:rPr>
                <w:sz w:val="18"/>
              </w:rPr>
            </w:pPr>
            <w:r>
              <w:t xml:space="preserve">预报要素、积温与生育期推断</w:t>
            </w:r>
          </w:p>
        </w:tc>
        <w:tc>
          <w:tcPr>
            <w:tcW w:w="2070" w:type="dxa"/>
            <w:shd w:val="clear" w:color="auto" w:fill="F5F7FA"/>
            <w:vAlign w:val="center"/>
          </w:tcPr>
          <w:p>
            <w:pPr>
              <w:jc w:val="center"/>
              <w:spacing w:before="30" w:after="30" w:line="280" w:lineRule="auto"/>
              <w:rPr>
                <w:sz w:val="18"/>
              </w:rPr>
            </w:pPr>
            <w:r>
              <w:t xml:space="preserve">本期建设</w:t>
            </w:r>
          </w:p>
        </w:tc>
      </w:tr>
    </w:tbl>
    <w:p>
      <w:pPr>
        <w:pStyle w:val="Body"/>
        <w:jc w:val="left"/>
        <w:spacing w:before="0" w:after="40" w:line="320" w:lineRule="auto"/>
      </w:pPr>
    </w:p>
    <w:p>
      <w:pPr>
        <w:pStyle w:val="Body"/>
        <w:jc w:val="both"/>
        <w:spacing w:before="0" w:after="80" w:line="320" w:lineRule="auto"/>
      </w:pPr>
      <w:r>
        <w:t xml:space="preserve">工具编排遵循三条约束。第一，：作物与区域是硬性槽位，缺失时不得凭常识补全。第二，：当模型归因结果与农技条文指向不一致时，两者同时呈现并说明差异，不用单一结论掩盖分歧。第三，：任一工具超时或不可用时，平台明确告知缺失环节，并以其余证据给出有限结论，而不是编造数据补齐。</w:t>
      </w:r>
      <w:r>
        <w:rPr>
          <w:b/>
        </w:rPr>
        <w:t xml:space="preserve">缺信息先追问</w:t>
      </w:r>
      <w:r>
        <w:rPr>
          <w:b/>
        </w:rPr>
        <w:t xml:space="preserve">冲突并列披露</w:t>
      </w:r>
      <w:r>
        <w:rPr>
          <w:b/>
        </w:rPr>
        <w:t xml:space="preserve">失败可降级</w:t>
      </w:r>
    </w:p>
    <w:p>
      <w:pPr>
        <w:pStyle w:val="Heading2"/>
        <w:jc w:val="left"/>
        <w:spacing w:before="120" w:after="100" w:line="320" w:lineRule="auto"/>
      </w:pPr>
      <w:r>
        <w:t xml:space="preserve">4.2 知识图谱与图谱增强检索</w:t>
      </w:r>
    </w:p>
    <w:p>
      <w:pPr>
        <w:pStyle w:val="Body"/>
        <w:jc w:val="both"/>
        <w:spacing w:before="0" w:after="80" w:line="320" w:lineRule="auto"/>
      </w:pPr>
      <w:r>
        <w:t xml:space="preserve">农技问题的典型形态是"由症状找原因，再由原因找措施"，这种多跳关系适合用图谱表达。平台以农业本体组织知识图谱，节点覆盖作物、生育期、气候胁迫、病虫害、农事措施、投入品、区域与标准规程八类，关系覆盖发生、导致、缓解、适用、处于、禁止混用等类型，如图 3 所示。</w:t>
      </w:r>
    </w:p>
    <w:p>
      <w:pPr>
        <w:pStyle w:val="Body"/>
        <w:jc w:val="both"/>
        <w:spacing w:before="0" w:after="80" w:line="320" w:lineRule="auto"/>
        <w:ind w:left="120"/>
        <w:shd w:val="clear" w:color="auto" w:fill="EEF2F8"/>
      </w:pPr>
      <w:r>
        <w:t xml:space="preserve">──处于──▶  ──易发──▶  ──推荐──▶  ──使用──▶  ──依据──▶ 　|　 ──约束──▶</w:t>
      </w:r>
      <w:r>
        <w:rPr>
          <w:b/>
        </w:rPr>
        <w:t xml:space="preserve">作物</w:t>
      </w:r>
      <w:r>
        <w:rPr>
          <w:b/>
        </w:rPr>
        <w:t xml:space="preserve">生育期</w:t>
      </w:r>
      <w:r>
        <w:rPr>
          <w:b/>
        </w:rPr>
        <w:t xml:space="preserve">气候胁迫 / 病虫害</w:t>
      </w:r>
      <w:r>
        <w:br/>
      </w:r>
      <w:r>
        <w:rPr>
          <w:b/>
        </w:rPr>
        <w:t xml:space="preserve">气候胁迫 / 病虫害</w:t>
      </w:r>
      <w:r>
        <w:rPr>
          <w:b/>
        </w:rPr>
        <w:t xml:space="preserve">农事措施</w:t>
      </w:r>
      <w:r>
        <w:rPr>
          <w:b/>
        </w:rPr>
        <w:t xml:space="preserve">投入品</w:t>
      </w:r>
      <w:r>
        <w:br/>
      </w:r>
      <w:r>
        <w:rPr>
          <w:b/>
        </w:rPr>
        <w:t xml:space="preserve">农事措施</w:t>
      </w:r>
      <w:r>
        <w:rPr>
          <w:b/>
        </w:rPr>
        <w:t xml:space="preserve">标准规程</w:t>
      </w:r>
      <w:r>
        <w:rPr>
          <w:b/>
        </w:rPr>
        <w:t xml:space="preserve">区域</w:t>
      </w:r>
      <w:r>
        <w:rPr>
          <w:b/>
        </w:rPr>
        <w:t xml:space="preserve">适用性与生育期日历</w:t>
      </w:r>
    </w:p>
    <w:p>
      <w:pPr>
        <w:pStyle w:val="Body"/>
        <w:jc w:val="both"/>
        <w:spacing w:before="0" w:after="80" w:line="320" w:lineRule="auto"/>
      </w:pPr>
      <w:r>
        <w:t xml:space="preserve">图谱构建采用"抽取—聚合—社区—摘要"的流程：先由语言模型从农技资料中抽取实体与关系，再合并同义实体、按共现强度聚合关系权重，随后用社区发现算法把联系紧密的实体聚成主题簇，最后为每个社区生成摘要，形成可直接回答"某作物某生育期应该关注什么"的知识单元。</w:t>
      </w:r>
    </w:p>
    <w:p>
      <w:pPr>
        <w:pStyle w:val="Body"/>
        <w:jc w:val="both"/>
        <w:spacing w:before="0" w:after="80" w:line="320" w:lineRule="auto"/>
      </w:pPr>
      <w:r>
        <w:t xml:space="preserve">查询阶段按问题类型路由到三种检索模式：面向综述型提问，基于社区摘要组织答案；面向具体实体，沿关系路径展开多跳推理；面向条文查找，直接返回相关片段。路由由问题中的实体密度与疑问类型共同决定，避免所有问题都走同一条检索路径。</w:t>
      </w:r>
      <w:r>
        <w:rPr>
          <w:b/>
        </w:rPr>
        <w:t xml:space="preserve">全局模式</w:t>
      </w:r>
      <w:r>
        <w:rPr>
          <w:b/>
        </w:rPr>
        <w:t xml:space="preserve">局部模式</w:t>
      </w:r>
      <w:r>
        <w:rPr>
          <w:b/>
        </w:rPr>
        <w:t xml:space="preserve">基础模式</w:t>
      </w:r>
    </w:p>
    <w:p>
      <w:pPr>
        <w:pStyle w:val="Heading2"/>
        <w:jc w:val="left"/>
        <w:spacing w:before="120" w:after="100" w:line="320" w:lineRule="auto"/>
      </w:pPr>
      <w:r>
        <w:t xml:space="preserve">4.3 检索增强生成与引用溯源</w:t>
      </w:r>
    </w:p>
    <w:p>
      <w:pPr>
        <w:pStyle w:val="Body"/>
        <w:jc w:val="both"/>
        <w:spacing w:before="0" w:after="80" w:line="320" w:lineRule="auto"/>
      </w:pPr>
      <w:r>
        <w:t xml:space="preserve">知识问答的质量取决于检索环节。平台将知识条目切分为语义完整的文本块，并为每个块保留作物、适用区域、生育期、来源机构与发布日期五类元数据，检索时先按元数据过滤再排序，使"华北冬小麦"类问题不会召回南方水稻资料。</w:t>
      </w:r>
    </w:p>
    <w:p>
      <w:pPr>
        <w:pStyle w:val="Body"/>
        <w:jc w:val="both"/>
        <w:spacing w:before="0" w:after="80" w:line="320" w:lineRule="auto"/>
      </w:pPr>
      <w:r>
        <w:t xml:space="preserve">排序采用两阶段策略：第一阶段用稠密向量检索与关键词检索并列召回，并通过倒数排名融合合并结果，兼顾语义相近与术语精确匹配；第二阶段用交叉编码重排模型对候选片段逐条打分，只保留得分靠前的片段进入生成上下文。生成阶段要求模型只依据检索到的内容作答，逐句标注引用编号，当检索内容不足以支撑结论时明确说明"知识库中未收录"，从机制上抑制无依据输出。</w:t>
      </w:r>
    </w:p>
    <w:p>
      <w:pPr>
        <w:pStyle w:val="Body"/>
        <w:jc w:val="both"/>
        <w:spacing w:before="0" w:after="80" w:line="320" w:lineRule="auto"/>
      </w:pPr>
      <w:r>
        <w:t xml:space="preserve">知识条目带有发布日期，超过有效期的技术意见在排序中自动降权；投入品使用类知识额外标注登记作物与安全间隔期，超出适用范围的建议不予生成。</w:t>
      </w:r>
    </w:p>
    <w:p>
      <w:pPr>
        <w:pStyle w:val="Heading2"/>
        <w:jc w:val="left"/>
        <w:spacing w:before="120" w:after="100" w:line="320" w:lineRule="auto"/>
      </w:pPr>
      <w:r>
        <w:t xml:space="preserve">4.4 可解释归因模型作为决策工具</w:t>
      </w:r>
    </w:p>
    <w:p>
      <w:pPr>
        <w:pStyle w:val="Body"/>
        <w:jc w:val="both"/>
        <w:spacing w:before="0" w:after="80" w:line="320" w:lineRule="auto"/>
      </w:pPr>
      <w:r>
        <w:t xml:space="preserve">农业建议若缺乏量化依据，容易退化为经验之谈。平台把已建成的风险归因模型封装为工具，使智能体能够引用具体区域的因子贡献度来支撑建议。模型层由两条技术路线构成：XGBoost 结合 SHAP 值分解，从横截面视角给出各因子的边际贡献；注意力长短期记忆网络从时序视角给出模型内部的因子偏好。两条路线的排序并不完全重合，平台将其作为互补的双视角证据呈现，用于交叉印证方向性结论，而非宣称一致性验证。</w:t>
      </w:r>
    </w:p>
    <w:p>
      <w:pPr>
        <w:pStyle w:val="Body"/>
        <w:jc w:val="both"/>
        <w:spacing w:before="0" w:after="80" w:line="320" w:lineRule="auto"/>
      </w:pPr>
      <w:r>
        <w:t xml:space="preserve">为避免误导使用者，平台对模型能力边界采取与学术材料一致的披露口径，如表 4 所示。系统面向的是区域内风险因子的相对重要性识别与情景推演，不提供跨区域的高精度产量外推。</w:t>
      </w:r>
    </w:p>
    <w:p>
      <w:pPr>
        <w:pStyle w:val="Caption"/>
        <w:jc w:val="center"/>
        <w:spacing w:before="0" w:after="60" w:line="320" w:lineRule="auto"/>
      </w:pPr>
      <w:r>
        <w:rPr>
          <w:sz w:val="18"/>
          <w:szCs w:val="18"/>
        </w:rPr>
        <w:t xml:space="preserve">表 4　模型验证协议与适用边界</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23"/>
        <w:gridCol w:w="1882"/>
        <w:gridCol w:w="4706"/>
      </w:tblGrid>
      <w:tr>
        <w:trPr>
          <w:tblHeader/>
        </w:trPr>
        <w:tc>
          <w:tcPr>
            <w:tcW w:w="2823" w:type="dxa"/>
            <w:shd w:val="clear" w:color="auto" w:fill="1F3864"/>
            <w:vAlign w:val="center"/>
          </w:tcPr>
          <w:p>
            <w:pPr>
              <w:jc w:val="center"/>
              <w:spacing w:before="30" w:after="30" w:line="280" w:lineRule="auto"/>
              <w:rPr>
                <w:sz w:val="18"/>
              </w:rPr>
            </w:pPr>
            <w:r>
              <w:rPr>
                <w:color w:val="FFFFFF"/>
                <w:b/>
              </w:rPr>
              <w:t xml:space="preserve">验证协议</w:t>
            </w:r>
          </w:p>
        </w:tc>
        <w:tc>
          <w:tcPr>
            <w:tcW w:w="1882" w:type="dxa"/>
            <w:shd w:val="clear" w:color="auto" w:fill="1F3864"/>
            <w:vAlign w:val="center"/>
          </w:tcPr>
          <w:p>
            <w:pPr>
              <w:jc w:val="center"/>
              <w:spacing w:before="30" w:after="30" w:line="280" w:lineRule="auto"/>
              <w:rPr>
                <w:sz w:val="18"/>
              </w:rPr>
            </w:pPr>
            <w:r>
              <w:rPr>
                <w:color w:val="FFFFFF"/>
                <w:b/>
              </w:rPr>
              <w:t xml:space="preserve">结果</w:t>
            </w:r>
          </w:p>
        </w:tc>
        <w:tc>
          <w:tcPr>
            <w:tcW w:w="4706" w:type="dxa"/>
            <w:shd w:val="clear" w:color="auto" w:fill="1F3864"/>
            <w:vAlign w:val="center"/>
          </w:tcPr>
          <w:p>
            <w:pPr>
              <w:jc w:val="center"/>
              <w:spacing w:before="30" w:after="30" w:line="280" w:lineRule="auto"/>
              <w:rPr>
                <w:sz w:val="18"/>
              </w:rPr>
            </w:pPr>
            <w:r>
              <w:rPr>
                <w:color w:val="FFFFFF"/>
                <w:b/>
              </w:rPr>
              <w:t xml:space="preserve">说明</w:t>
            </w:r>
          </w:p>
        </w:tc>
      </w:tr>
      <w:tr>
        <w:tc>
          <w:tcPr>
            <w:tcW w:w="2823" w:type="dxa"/>
            <w:shd w:val="clear" w:color="auto" w:fill="F5F7FA"/>
            <w:vAlign w:val="center"/>
          </w:tcPr>
          <w:p>
            <w:pPr>
              <w:jc w:val="both"/>
              <w:spacing w:before="30" w:after="30" w:line="280" w:lineRule="auto"/>
              <w:rPr>
                <w:sz w:val="18"/>
              </w:rPr>
            </w:pPr>
            <w:r>
              <w:t xml:space="preserve">随机划分 8:2</w:t>
            </w:r>
          </w:p>
        </w:tc>
        <w:tc>
          <w:tcPr>
            <w:tcW w:w="1882" w:type="dxa"/>
            <w:shd w:val="clear" w:color="auto" w:fill="F5F7FA"/>
            <w:vAlign w:val="center"/>
          </w:tcPr>
          <w:p>
            <w:pPr>
              <w:jc w:val="center"/>
              <w:spacing w:before="30" w:after="30" w:line="280" w:lineRule="auto"/>
              <w:rPr>
                <w:sz w:val="18"/>
              </w:rPr>
            </w:pPr>
            <w:r>
              <w:t xml:space="preserve">R² = 0.907 ± 0.038</w:t>
            </w:r>
          </w:p>
        </w:tc>
        <w:tc>
          <w:tcPr>
            <w:tcW w:w="4706" w:type="dxa"/>
            <w:shd w:val="clear" w:color="auto" w:fill="F5F7FA"/>
            <w:vAlign w:val="center"/>
          </w:tcPr>
          <w:p>
            <w:pPr>
              <w:jc w:val="both"/>
              <w:spacing w:before="30" w:after="30" w:line="280" w:lineRule="auto"/>
              <w:rPr>
                <w:sz w:val="18"/>
              </w:rPr>
            </w:pPr>
            <w:r>
              <w:t xml:space="preserve">省内因子相对重要性识别的主报告口径</w:t>
            </w:r>
          </w:p>
        </w:tc>
      </w:tr>
      <w:tr>
        <w:tc>
          <w:tcPr>
            <w:tcW w:w="2823" w:type="dxa"/>
            <w:shd w:val="clear" w:color="auto" w:fill="FFFFFF"/>
            <w:vAlign w:val="center"/>
          </w:tcPr>
          <w:p>
            <w:pPr>
              <w:jc w:val="both"/>
              <w:spacing w:before="30" w:after="30" w:line="280" w:lineRule="auto"/>
              <w:rPr>
                <w:sz w:val="18"/>
              </w:rPr>
            </w:pPr>
            <w:r>
              <w:t xml:space="preserve">留一年验证</w:t>
            </w:r>
          </w:p>
        </w:tc>
        <w:tc>
          <w:tcPr>
            <w:tcW w:w="1882" w:type="dxa"/>
            <w:shd w:val="clear" w:color="auto" w:fill="FFFFFF"/>
            <w:vAlign w:val="center"/>
          </w:tcPr>
          <w:p>
            <w:pPr>
              <w:jc w:val="center"/>
              <w:spacing w:before="30" w:after="30" w:line="280" w:lineRule="auto"/>
              <w:rPr>
                <w:sz w:val="18"/>
              </w:rPr>
            </w:pPr>
            <w:r>
              <w:t xml:space="preserve">R² = 0.894</w:t>
            </w:r>
          </w:p>
        </w:tc>
        <w:tc>
          <w:tcPr>
            <w:tcW w:w="4706" w:type="dxa"/>
            <w:shd w:val="clear" w:color="auto" w:fill="FFFFFF"/>
            <w:vAlign w:val="center"/>
          </w:tcPr>
          <w:p>
            <w:pPr>
              <w:jc w:val="both"/>
              <w:spacing w:before="30" w:after="30" w:line="280" w:lineRule="auto"/>
              <w:rPr>
                <w:sz w:val="18"/>
              </w:rPr>
            </w:pPr>
            <w:r>
              <w:t xml:space="preserve">时序泛化能力可用</w:t>
            </w:r>
          </w:p>
        </w:tc>
      </w:tr>
      <w:tr>
        <w:tc>
          <w:tcPr>
            <w:tcW w:w="2823" w:type="dxa"/>
            <w:shd w:val="clear" w:color="auto" w:fill="F5F7FA"/>
            <w:vAlign w:val="center"/>
          </w:tcPr>
          <w:p>
            <w:pPr>
              <w:jc w:val="both"/>
              <w:spacing w:before="30" w:after="30" w:line="280" w:lineRule="auto"/>
              <w:rPr>
                <w:sz w:val="18"/>
              </w:rPr>
            </w:pPr>
            <w:r>
              <w:t xml:space="preserve">留一省验证</w:t>
            </w:r>
          </w:p>
        </w:tc>
        <w:tc>
          <w:tcPr>
            <w:tcW w:w="1882" w:type="dxa"/>
            <w:shd w:val="clear" w:color="auto" w:fill="F5F7FA"/>
            <w:vAlign w:val="center"/>
          </w:tcPr>
          <w:p>
            <w:pPr>
              <w:jc w:val="center"/>
              <w:spacing w:before="30" w:after="30" w:line="280" w:lineRule="auto"/>
              <w:rPr>
                <w:sz w:val="18"/>
              </w:rPr>
            </w:pPr>
            <w:r>
              <w:t xml:space="preserve">中位 R² = −16.83</w:t>
            </w:r>
          </w:p>
        </w:tc>
        <w:tc>
          <w:tcPr>
            <w:tcW w:w="4706" w:type="dxa"/>
            <w:shd w:val="clear" w:color="auto" w:fill="F5F7FA"/>
            <w:vAlign w:val="center"/>
          </w:tcPr>
          <w:p>
            <w:pPr>
              <w:jc w:val="both"/>
              <w:spacing w:before="30" w:after="30" w:line="280" w:lineRule="auto"/>
              <w:rPr>
                <w:sz w:val="18"/>
              </w:rPr>
            </w:pPr>
            <w:r>
              <w:t xml:space="preserve">31 省中仅 1 省为正，说明省级截面样本不支持跨省外推</w:t>
            </w:r>
          </w:p>
        </w:tc>
      </w:tr>
      <w:tr>
        <w:tc>
          <w:tcPr>
            <w:tcW w:w="2823" w:type="dxa"/>
            <w:shd w:val="clear" w:color="auto" w:fill="FFFFFF"/>
            <w:vAlign w:val="center"/>
          </w:tcPr>
          <w:p>
            <w:pPr>
              <w:jc w:val="both"/>
              <w:spacing w:before="30" w:after="30" w:line="280" w:lineRule="auto"/>
              <w:rPr>
                <w:sz w:val="18"/>
              </w:rPr>
            </w:pPr>
            <w:r>
              <w:t xml:space="preserve">县域留一县验证</w:t>
            </w:r>
          </w:p>
        </w:tc>
        <w:tc>
          <w:tcPr>
            <w:tcW w:w="1882" w:type="dxa"/>
            <w:shd w:val="clear" w:color="auto" w:fill="FFFFFF"/>
            <w:vAlign w:val="center"/>
          </w:tcPr>
          <w:p>
            <w:pPr>
              <w:jc w:val="center"/>
              <w:spacing w:before="30" w:after="30" w:line="280" w:lineRule="auto"/>
              <w:rPr>
                <w:sz w:val="18"/>
              </w:rPr>
            </w:pPr>
            <w:r>
              <w:t xml:space="preserve">R² = 0.660</w:t>
            </w:r>
          </w:p>
        </w:tc>
        <w:tc>
          <w:tcPr>
            <w:tcW w:w="4706" w:type="dxa"/>
            <w:shd w:val="clear" w:color="auto" w:fill="FFFFFF"/>
            <w:vAlign w:val="center"/>
          </w:tcPr>
          <w:p>
            <w:pPr>
              <w:jc w:val="both"/>
              <w:spacing w:before="30" w:after="30" w:line="280" w:lineRule="auto"/>
              <w:rPr>
                <w:sz w:val="18"/>
              </w:rPr>
            </w:pPr>
            <w:r>
              <w:t xml:space="preserve">空间单元下沉到县后外推能力转正，支撑县域尺度服务</w:t>
            </w:r>
          </w:p>
        </w:tc>
      </w:tr>
    </w:tbl>
    <w:p>
      <w:pPr>
        <w:pStyle w:val="Body"/>
        <w:jc w:val="left"/>
        <w:spacing w:before="0" w:after="40" w:line="320" w:lineRule="auto"/>
      </w:pPr>
    </w:p>
    <w:p>
      <w:pPr>
        <w:pStyle w:val="Heading2"/>
        <w:jc w:val="left"/>
        <w:spacing w:before="120" w:after="100" w:line="320" w:lineRule="auto"/>
      </w:pPr>
      <w:r>
        <w:t xml:space="preserve">4.5 农情数据接入与槽位补全</w:t>
      </w:r>
    </w:p>
    <w:p>
      <w:pPr>
        <w:pStyle w:val="Body"/>
        <w:jc w:val="both"/>
        <w:spacing w:before="0" w:after="80" w:line="320" w:lineRule="auto"/>
      </w:pPr>
      <w:r>
        <w:t xml:space="preserve">除自然语言提问外，平台支持上传农情数据。表单、表格文件与田间照片三类输入进入同一解析流程：结构化文件按预定义字段映射到作物、地块面积、播种与施肥记录等字段；照片先经视觉模型转为症状描述，再进入病虫害诊断工具。解析结果与对话上下文合并为会话级状态，缺项由智能体在后续轮次中追问补全。这一设计使平台既能处理"一句话提问"，也能处理"一份生产记录加一张照片"的实际场景。</w:t>
      </w:r>
    </w:p>
    <w:p>
      <w:pPr>
        <w:pStyle w:val="Heading1"/>
        <w:pageBreakBefore/>
        <w:jc w:val="left"/>
        <w:spacing w:before="0" w:after="100" w:line="320" w:lineRule="auto"/>
      </w:pPr>
      <w:r>
        <w:t xml:space="preserve">五、功能实现</w:t>
      </w:r>
    </w:p>
    <w:p>
      <w:pPr>
        <w:pStyle w:val="Heading2"/>
        <w:jc w:val="left"/>
        <w:spacing w:before="120" w:after="100" w:line="320" w:lineRule="auto"/>
      </w:pPr>
      <w:r>
        <w:t xml:space="preserve">5.1 面向四类产出的方案生成</w:t>
      </w:r>
    </w:p>
    <w:p>
      <w:pPr>
        <w:pStyle w:val="Body"/>
        <w:jc w:val="both"/>
        <w:spacing w:before="0" w:after="80" w:line="320" w:lineRule="auto"/>
      </w:pPr>
      <w:r>
        <w:t xml:space="preserve">平台按赛题要求组织四类产出物，每类产出有固定的结构骨架，保证建议可被直接执行与核查，如表 5。方案生成后逐条回填依据：来自模型贡献度的建议标注贡献方向与量级，来自技术规程的建议标注文件与条款，来自登记信息的建议标注登记作物与安全间隔期。</w:t>
      </w:r>
    </w:p>
    <w:p>
      <w:pPr>
        <w:pStyle w:val="Caption"/>
        <w:jc w:val="center"/>
        <w:spacing w:before="0" w:after="60" w:line="320" w:lineRule="auto"/>
      </w:pPr>
      <w:r>
        <w:rPr>
          <w:sz w:val="18"/>
          <w:szCs w:val="18"/>
        </w:rPr>
        <w:t xml:space="preserve">表 5　四类产出的结构与依据来源</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882"/>
        <w:gridCol w:w="2258"/>
        <w:gridCol w:w="3011"/>
        <w:gridCol w:w="2258"/>
      </w:tblGrid>
      <w:tr>
        <w:trPr>
          <w:tblHeader/>
        </w:trPr>
        <w:tc>
          <w:tcPr>
            <w:tcW w:w="1882" w:type="dxa"/>
            <w:shd w:val="clear" w:color="auto" w:fill="1F3864"/>
            <w:vAlign w:val="center"/>
          </w:tcPr>
          <w:p>
            <w:pPr>
              <w:jc w:val="center"/>
              <w:spacing w:before="30" w:after="30" w:line="280" w:lineRule="auto"/>
              <w:rPr>
                <w:sz w:val="18"/>
              </w:rPr>
            </w:pPr>
            <w:r>
              <w:rPr>
                <w:color w:val="FFFFFF"/>
                <w:b/>
              </w:rPr>
              <w:t xml:space="preserve">产出类型</w:t>
            </w:r>
          </w:p>
        </w:tc>
        <w:tc>
          <w:tcPr>
            <w:tcW w:w="2258" w:type="dxa"/>
            <w:shd w:val="clear" w:color="auto" w:fill="1F3864"/>
            <w:vAlign w:val="center"/>
          </w:tcPr>
          <w:p>
            <w:pPr>
              <w:jc w:val="center"/>
              <w:spacing w:before="30" w:after="30" w:line="280" w:lineRule="auto"/>
              <w:rPr>
                <w:sz w:val="18"/>
              </w:rPr>
            </w:pPr>
            <w:r>
              <w:rPr>
                <w:color w:val="FFFFFF"/>
                <w:b/>
              </w:rPr>
              <w:t xml:space="preserve">必要输入</w:t>
            </w:r>
          </w:p>
        </w:tc>
        <w:tc>
          <w:tcPr>
            <w:tcW w:w="3011" w:type="dxa"/>
            <w:shd w:val="clear" w:color="auto" w:fill="1F3864"/>
            <w:vAlign w:val="center"/>
          </w:tcPr>
          <w:p>
            <w:pPr>
              <w:jc w:val="center"/>
              <w:spacing w:before="30" w:after="30" w:line="280" w:lineRule="auto"/>
              <w:rPr>
                <w:sz w:val="18"/>
              </w:rPr>
            </w:pPr>
            <w:r>
              <w:rPr>
                <w:color w:val="FFFFFF"/>
                <w:b/>
              </w:rPr>
              <w:t xml:space="preserve">结构</w:t>
            </w:r>
          </w:p>
        </w:tc>
        <w:tc>
          <w:tcPr>
            <w:tcW w:w="2258" w:type="dxa"/>
            <w:shd w:val="clear" w:color="auto" w:fill="1F3864"/>
            <w:vAlign w:val="center"/>
          </w:tcPr>
          <w:p>
            <w:pPr>
              <w:jc w:val="center"/>
              <w:spacing w:before="30" w:after="30" w:line="280" w:lineRule="auto"/>
              <w:rPr>
                <w:sz w:val="18"/>
              </w:rPr>
            </w:pPr>
            <w:r>
              <w:rPr>
                <w:color w:val="FFFFFF"/>
                <w:b/>
              </w:rPr>
              <w:t xml:space="preserve">依据来源</w:t>
            </w:r>
          </w:p>
        </w:tc>
      </w:tr>
      <w:tr>
        <w:tc>
          <w:tcPr>
            <w:tcW w:w="1882" w:type="dxa"/>
            <w:shd w:val="clear" w:color="auto" w:fill="F5F7FA"/>
            <w:vAlign w:val="center"/>
          </w:tcPr>
          <w:p>
            <w:pPr>
              <w:jc w:val="both"/>
              <w:spacing w:before="30" w:after="30" w:line="280" w:lineRule="auto"/>
              <w:rPr>
                <w:sz w:val="18"/>
              </w:rPr>
            </w:pPr>
            <w:r>
              <w:t xml:space="preserve">农事管理方案</w:t>
            </w:r>
          </w:p>
        </w:tc>
        <w:tc>
          <w:tcPr>
            <w:tcW w:w="2258" w:type="dxa"/>
            <w:shd w:val="clear" w:color="auto" w:fill="F5F7FA"/>
            <w:vAlign w:val="center"/>
          </w:tcPr>
          <w:p>
            <w:pPr>
              <w:jc w:val="both"/>
              <w:spacing w:before="30" w:after="30" w:line="280" w:lineRule="auto"/>
              <w:rPr>
                <w:sz w:val="18"/>
              </w:rPr>
            </w:pPr>
            <w:r>
              <w:t xml:space="preserve">作物、区域、生育期、地块条件</w:t>
            </w:r>
          </w:p>
        </w:tc>
        <w:tc>
          <w:tcPr>
            <w:tcW w:w="3011" w:type="dxa"/>
            <w:shd w:val="clear" w:color="auto" w:fill="F5F7FA"/>
            <w:vAlign w:val="center"/>
          </w:tcPr>
          <w:p>
            <w:pPr>
              <w:jc w:val="both"/>
              <w:spacing w:before="30" w:after="30" w:line="280" w:lineRule="auto"/>
              <w:rPr>
                <w:sz w:val="18"/>
              </w:rPr>
            </w:pPr>
            <w:r>
              <w:t xml:space="preserve">生育期任务清单、时间节点、操作要点、风险提示</w:t>
            </w:r>
          </w:p>
        </w:tc>
        <w:tc>
          <w:tcPr>
            <w:tcW w:w="2258" w:type="dxa"/>
            <w:shd w:val="clear" w:color="auto" w:fill="F5F7FA"/>
            <w:vAlign w:val="center"/>
          </w:tcPr>
          <w:p>
            <w:pPr>
              <w:jc w:val="both"/>
              <w:spacing w:before="30" w:after="30" w:line="280" w:lineRule="auto"/>
              <w:rPr>
                <w:sz w:val="18"/>
              </w:rPr>
            </w:pPr>
            <w:r>
              <w:t xml:space="preserve">技术规程、区域风险归因</w:t>
            </w:r>
          </w:p>
        </w:tc>
      </w:tr>
      <w:tr>
        <w:tc>
          <w:tcPr>
            <w:tcW w:w="1882" w:type="dxa"/>
            <w:shd w:val="clear" w:color="auto" w:fill="FFFFFF"/>
            <w:vAlign w:val="center"/>
          </w:tcPr>
          <w:p>
            <w:pPr>
              <w:jc w:val="both"/>
              <w:spacing w:before="30" w:after="30" w:line="280" w:lineRule="auto"/>
              <w:rPr>
                <w:sz w:val="18"/>
              </w:rPr>
            </w:pPr>
            <w:r>
              <w:t xml:space="preserve">病虫害防治建议</w:t>
            </w:r>
          </w:p>
        </w:tc>
        <w:tc>
          <w:tcPr>
            <w:tcW w:w="2258" w:type="dxa"/>
            <w:shd w:val="clear" w:color="auto" w:fill="FFFFFF"/>
            <w:vAlign w:val="center"/>
          </w:tcPr>
          <w:p>
            <w:pPr>
              <w:jc w:val="both"/>
              <w:spacing w:before="30" w:after="30" w:line="280" w:lineRule="auto"/>
              <w:rPr>
                <w:sz w:val="18"/>
              </w:rPr>
            </w:pPr>
            <w:r>
              <w:t xml:space="preserve">作物、症状或图片、发生时期</w:t>
            </w:r>
          </w:p>
        </w:tc>
        <w:tc>
          <w:tcPr>
            <w:tcW w:w="3011" w:type="dxa"/>
            <w:shd w:val="clear" w:color="auto" w:fill="FFFFFF"/>
            <w:vAlign w:val="center"/>
          </w:tcPr>
          <w:p>
            <w:pPr>
              <w:jc w:val="both"/>
              <w:spacing w:before="30" w:after="30" w:line="280" w:lineRule="auto"/>
              <w:rPr>
                <w:sz w:val="18"/>
              </w:rPr>
            </w:pPr>
            <w:r>
              <w:t xml:space="preserve">疑似对象、诊断依据、防治适期、农业与化学防治措施</w:t>
            </w:r>
          </w:p>
        </w:tc>
        <w:tc>
          <w:tcPr>
            <w:tcW w:w="2258" w:type="dxa"/>
            <w:shd w:val="clear" w:color="auto" w:fill="FFFFFF"/>
            <w:vAlign w:val="center"/>
          </w:tcPr>
          <w:p>
            <w:pPr>
              <w:jc w:val="both"/>
              <w:spacing w:before="30" w:after="30" w:line="280" w:lineRule="auto"/>
              <w:rPr>
                <w:sz w:val="18"/>
              </w:rPr>
            </w:pPr>
            <w:r>
              <w:t xml:space="preserve">病虫情报、图谱关系、登记信息</w:t>
            </w:r>
          </w:p>
        </w:tc>
      </w:tr>
      <w:tr>
        <w:tc>
          <w:tcPr>
            <w:tcW w:w="1882" w:type="dxa"/>
            <w:shd w:val="clear" w:color="auto" w:fill="F5F7FA"/>
            <w:vAlign w:val="center"/>
          </w:tcPr>
          <w:p>
            <w:pPr>
              <w:jc w:val="both"/>
              <w:spacing w:before="30" w:after="30" w:line="280" w:lineRule="auto"/>
              <w:rPr>
                <w:sz w:val="18"/>
              </w:rPr>
            </w:pPr>
            <w:r>
              <w:t xml:space="preserve">水肥调控处方</w:t>
            </w:r>
          </w:p>
        </w:tc>
        <w:tc>
          <w:tcPr>
            <w:tcW w:w="2258" w:type="dxa"/>
            <w:shd w:val="clear" w:color="auto" w:fill="F5F7FA"/>
            <w:vAlign w:val="center"/>
          </w:tcPr>
          <w:p>
            <w:pPr>
              <w:jc w:val="both"/>
              <w:spacing w:before="30" w:after="30" w:line="280" w:lineRule="auto"/>
              <w:rPr>
                <w:sz w:val="18"/>
              </w:rPr>
            </w:pPr>
            <w:r>
              <w:t xml:space="preserve">作物、生育期、土壤条件、已施用量</w:t>
            </w:r>
          </w:p>
        </w:tc>
        <w:tc>
          <w:tcPr>
            <w:tcW w:w="3011" w:type="dxa"/>
            <w:shd w:val="clear" w:color="auto" w:fill="F5F7FA"/>
            <w:vAlign w:val="center"/>
          </w:tcPr>
          <w:p>
            <w:pPr>
              <w:jc w:val="both"/>
              <w:spacing w:before="30" w:after="30" w:line="280" w:lineRule="auto"/>
              <w:rPr>
                <w:sz w:val="18"/>
              </w:rPr>
            </w:pPr>
            <w:r>
              <w:t xml:space="preserve">分次用量、施用时间、施用方式、注意事项</w:t>
            </w:r>
          </w:p>
        </w:tc>
        <w:tc>
          <w:tcPr>
            <w:tcW w:w="2258" w:type="dxa"/>
            <w:shd w:val="clear" w:color="auto" w:fill="F5F7FA"/>
            <w:vAlign w:val="center"/>
          </w:tcPr>
          <w:p>
            <w:pPr>
              <w:jc w:val="both"/>
              <w:spacing w:before="30" w:after="30" w:line="280" w:lineRule="auto"/>
              <w:rPr>
                <w:sz w:val="18"/>
              </w:rPr>
            </w:pPr>
            <w:r>
              <w:t xml:space="preserve">测土配方资料、技术规程</w:t>
            </w:r>
          </w:p>
        </w:tc>
      </w:tr>
      <w:tr>
        <w:tc>
          <w:tcPr>
            <w:tcW w:w="1882" w:type="dxa"/>
            <w:shd w:val="clear" w:color="auto" w:fill="FFFFFF"/>
            <w:vAlign w:val="center"/>
          </w:tcPr>
          <w:p>
            <w:pPr>
              <w:jc w:val="both"/>
              <w:spacing w:before="30" w:after="30" w:line="280" w:lineRule="auto"/>
              <w:rPr>
                <w:sz w:val="18"/>
              </w:rPr>
            </w:pPr>
            <w:r>
              <w:t xml:space="preserve">生产规划报告</w:t>
            </w:r>
          </w:p>
        </w:tc>
        <w:tc>
          <w:tcPr>
            <w:tcW w:w="2258" w:type="dxa"/>
            <w:shd w:val="clear" w:color="auto" w:fill="FFFFFF"/>
            <w:vAlign w:val="center"/>
          </w:tcPr>
          <w:p>
            <w:pPr>
              <w:jc w:val="both"/>
              <w:spacing w:before="30" w:after="30" w:line="280" w:lineRule="auto"/>
              <w:rPr>
                <w:sz w:val="18"/>
              </w:rPr>
            </w:pPr>
            <w:r>
              <w:t xml:space="preserve">区域、规模、品种与目标</w:t>
            </w:r>
          </w:p>
        </w:tc>
        <w:tc>
          <w:tcPr>
            <w:tcW w:w="3011" w:type="dxa"/>
            <w:shd w:val="clear" w:color="auto" w:fill="FFFFFF"/>
            <w:vAlign w:val="center"/>
          </w:tcPr>
          <w:p>
            <w:pPr>
              <w:jc w:val="both"/>
              <w:spacing w:before="30" w:after="30" w:line="280" w:lineRule="auto"/>
              <w:rPr>
                <w:sz w:val="18"/>
              </w:rPr>
            </w:pPr>
            <w:r>
              <w:t xml:space="preserve">风险画像、品种与农时建议、投入安排、预期风险与应对</w:t>
            </w:r>
          </w:p>
        </w:tc>
        <w:tc>
          <w:tcPr>
            <w:tcW w:w="2258" w:type="dxa"/>
            <w:shd w:val="clear" w:color="auto" w:fill="FFFFFF"/>
            <w:vAlign w:val="center"/>
          </w:tcPr>
          <w:p>
            <w:pPr>
              <w:jc w:val="both"/>
              <w:spacing w:before="30" w:after="30" w:line="280" w:lineRule="auto"/>
              <w:rPr>
                <w:sz w:val="18"/>
              </w:rPr>
            </w:pPr>
            <w:r>
              <w:t xml:space="preserve">区域风险归因、情景模拟、韧性路径</w:t>
            </w:r>
          </w:p>
        </w:tc>
      </w:tr>
    </w:tbl>
    <w:p>
      <w:pPr>
        <w:pStyle w:val="Body"/>
        <w:jc w:val="left"/>
        <w:spacing w:before="0" w:after="40" w:line="320" w:lineRule="auto"/>
      </w:pPr>
    </w:p>
    <w:p>
      <w:pPr>
        <w:pStyle w:val="Heading2"/>
        <w:jc w:val="left"/>
        <w:spacing w:before="120" w:after="100" w:line="320" w:lineRule="auto"/>
      </w:pPr>
      <w:r>
        <w:t xml:space="preserve">5.2 决策模块与可视化联动</w:t>
      </w:r>
    </w:p>
    <w:p>
      <w:pPr>
        <w:pStyle w:val="Body"/>
        <w:jc w:val="both"/>
        <w:spacing w:before="0" w:after="80" w:line="320" w:lineRule="auto"/>
      </w:pPr>
      <w:r>
        <w:t xml:space="preserve">智能体给出的每条建议都可以回溯到对应的可视化模块，使用者既能看结论，也能看结论是如何得到的。平台现有七个功能模块，如表 6。当智能体输出"该区域洪涝占比偏高"时，界面可直接跳转至对应的归因看板与情景模拟页面，验证不同措施下的风险变化。</w:t>
      </w:r>
    </w:p>
    <w:p>
      <w:pPr>
        <w:pStyle w:val="Caption"/>
        <w:jc w:val="center"/>
        <w:spacing w:before="0" w:after="60" w:line="320" w:lineRule="auto"/>
      </w:pPr>
      <w:r>
        <w:rPr>
          <w:sz w:val="18"/>
          <w:szCs w:val="18"/>
        </w:rPr>
        <w:t xml:space="preserve">表 6　平台功能模块</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129"/>
        <w:gridCol w:w="2447"/>
        <w:gridCol w:w="5835"/>
      </w:tblGrid>
      <w:tr>
        <w:trPr>
          <w:tblHeader/>
        </w:trPr>
        <w:tc>
          <w:tcPr>
            <w:tcW w:w="1129" w:type="dxa"/>
            <w:shd w:val="clear" w:color="auto" w:fill="1F3864"/>
            <w:vAlign w:val="center"/>
          </w:tcPr>
          <w:p>
            <w:pPr>
              <w:jc w:val="center"/>
              <w:spacing w:before="30" w:after="30" w:line="280" w:lineRule="auto"/>
              <w:rPr>
                <w:sz w:val="18"/>
              </w:rPr>
            </w:pPr>
            <w:r>
              <w:rPr>
                <w:color w:val="FFFFFF"/>
                <w:b/>
              </w:rPr>
              <w:t xml:space="preserve">编号</w:t>
            </w:r>
          </w:p>
        </w:tc>
        <w:tc>
          <w:tcPr>
            <w:tcW w:w="2447" w:type="dxa"/>
            <w:shd w:val="clear" w:color="auto" w:fill="1F3864"/>
            <w:vAlign w:val="center"/>
          </w:tcPr>
          <w:p>
            <w:pPr>
              <w:jc w:val="center"/>
              <w:spacing w:before="30" w:after="30" w:line="280" w:lineRule="auto"/>
              <w:rPr>
                <w:sz w:val="18"/>
              </w:rPr>
            </w:pPr>
            <w:r>
              <w:rPr>
                <w:color w:val="FFFFFF"/>
                <w:b/>
              </w:rPr>
              <w:t xml:space="preserve">模块</w:t>
            </w:r>
          </w:p>
        </w:tc>
        <w:tc>
          <w:tcPr>
            <w:tcW w:w="5835" w:type="dxa"/>
            <w:shd w:val="clear" w:color="auto" w:fill="1F3864"/>
            <w:vAlign w:val="center"/>
          </w:tcPr>
          <w:p>
            <w:pPr>
              <w:jc w:val="center"/>
              <w:spacing w:before="30" w:after="30" w:line="280" w:lineRule="auto"/>
              <w:rPr>
                <w:sz w:val="18"/>
              </w:rPr>
            </w:pPr>
            <w:r>
              <w:rPr>
                <w:color w:val="FFFFFF"/>
                <w:b/>
              </w:rPr>
              <w:t xml:space="preserve">功能</w:t>
            </w:r>
          </w:p>
        </w:tc>
      </w:tr>
      <w:tr>
        <w:tc>
          <w:tcPr>
            <w:tcW w:w="1129" w:type="dxa"/>
            <w:shd w:val="clear" w:color="auto" w:fill="F5F7FA"/>
            <w:vAlign w:val="center"/>
          </w:tcPr>
          <w:p>
            <w:pPr>
              <w:jc w:val="center"/>
              <w:spacing w:before="30" w:after="30" w:line="280" w:lineRule="auto"/>
              <w:rPr>
                <w:sz w:val="18"/>
              </w:rPr>
            </w:pPr>
            <w:r>
              <w:t xml:space="preserve">M00</w:t>
            </w:r>
          </w:p>
        </w:tc>
        <w:tc>
          <w:tcPr>
            <w:tcW w:w="2447" w:type="dxa"/>
            <w:shd w:val="clear" w:color="auto" w:fill="F5F7FA"/>
            <w:vAlign w:val="center"/>
          </w:tcPr>
          <w:p>
            <w:pPr>
              <w:jc w:val="both"/>
              <w:spacing w:before="30" w:after="30" w:line="280" w:lineRule="auto"/>
              <w:rPr>
                <w:sz w:val="18"/>
              </w:rPr>
            </w:pPr>
            <w:r>
              <w:t xml:space="preserve">系统总览</w:t>
            </w:r>
          </w:p>
        </w:tc>
        <w:tc>
          <w:tcPr>
            <w:tcW w:w="5835" w:type="dxa"/>
            <w:shd w:val="clear" w:color="auto" w:fill="F5F7FA"/>
            <w:vAlign w:val="center"/>
          </w:tcPr>
          <w:p>
            <w:pPr>
              <w:jc w:val="both"/>
              <w:spacing w:before="30" w:after="30" w:line="280" w:lineRule="auto"/>
              <w:rPr>
                <w:sz w:val="18"/>
              </w:rPr>
            </w:pPr>
            <w:r>
              <w:t xml:space="preserve">关键指标、数据覆盖与快速入口</w:t>
            </w:r>
          </w:p>
        </w:tc>
      </w:tr>
      <w:tr>
        <w:tc>
          <w:tcPr>
            <w:tcW w:w="1129" w:type="dxa"/>
            <w:shd w:val="clear" w:color="auto" w:fill="FFFFFF"/>
            <w:vAlign w:val="center"/>
          </w:tcPr>
          <w:p>
            <w:pPr>
              <w:jc w:val="center"/>
              <w:spacing w:before="30" w:after="30" w:line="280" w:lineRule="auto"/>
              <w:rPr>
                <w:sz w:val="18"/>
              </w:rPr>
            </w:pPr>
            <w:r>
              <w:t xml:space="preserve">M01</w:t>
            </w:r>
          </w:p>
        </w:tc>
        <w:tc>
          <w:tcPr>
            <w:tcW w:w="2447" w:type="dxa"/>
            <w:shd w:val="clear" w:color="auto" w:fill="FFFFFF"/>
            <w:vAlign w:val="center"/>
          </w:tcPr>
          <w:p>
            <w:pPr>
              <w:jc w:val="both"/>
              <w:spacing w:before="30" w:after="30" w:line="280" w:lineRule="auto"/>
              <w:rPr>
                <w:sz w:val="18"/>
              </w:rPr>
            </w:pPr>
            <w:r>
              <w:t xml:space="preserve">风险时空地图</w:t>
            </w:r>
          </w:p>
        </w:tc>
        <w:tc>
          <w:tcPr>
            <w:tcW w:w="5835" w:type="dxa"/>
            <w:shd w:val="clear" w:color="auto" w:fill="FFFFFF"/>
            <w:vAlign w:val="center"/>
          </w:tcPr>
          <w:p>
            <w:pPr>
              <w:jc w:val="both"/>
              <w:spacing w:before="30" w:after="30" w:line="280" w:lineRule="auto"/>
              <w:rPr>
                <w:sz w:val="18"/>
              </w:rPr>
            </w:pPr>
            <w:r>
              <w:t xml:space="preserve">分省年度风险等级与历史演化</w:t>
            </w:r>
          </w:p>
        </w:tc>
      </w:tr>
      <w:tr>
        <w:tc>
          <w:tcPr>
            <w:tcW w:w="1129" w:type="dxa"/>
            <w:shd w:val="clear" w:color="auto" w:fill="F5F7FA"/>
            <w:vAlign w:val="center"/>
          </w:tcPr>
          <w:p>
            <w:pPr>
              <w:jc w:val="center"/>
              <w:spacing w:before="30" w:after="30" w:line="280" w:lineRule="auto"/>
              <w:rPr>
                <w:sz w:val="18"/>
              </w:rPr>
            </w:pPr>
            <w:r>
              <w:t xml:space="preserve">M02</w:t>
            </w:r>
          </w:p>
        </w:tc>
        <w:tc>
          <w:tcPr>
            <w:tcW w:w="2447" w:type="dxa"/>
            <w:shd w:val="clear" w:color="auto" w:fill="F5F7FA"/>
            <w:vAlign w:val="center"/>
          </w:tcPr>
          <w:p>
            <w:pPr>
              <w:jc w:val="both"/>
              <w:spacing w:before="30" w:after="30" w:line="280" w:lineRule="auto"/>
              <w:rPr>
                <w:sz w:val="18"/>
              </w:rPr>
            </w:pPr>
            <w:r>
              <w:t xml:space="preserve">归因看板</w:t>
            </w:r>
          </w:p>
        </w:tc>
        <w:tc>
          <w:tcPr>
            <w:tcW w:w="5835" w:type="dxa"/>
            <w:shd w:val="clear" w:color="auto" w:fill="F5F7FA"/>
            <w:vAlign w:val="center"/>
          </w:tcPr>
          <w:p>
            <w:pPr>
              <w:jc w:val="both"/>
              <w:spacing w:before="30" w:after="30" w:line="280" w:lineRule="auto"/>
              <w:rPr>
                <w:sz w:val="18"/>
              </w:rPr>
            </w:pPr>
            <w:r>
              <w:t xml:space="preserve">全局与单样本因子贡献度分解</w:t>
            </w:r>
          </w:p>
        </w:tc>
      </w:tr>
      <w:tr>
        <w:tc>
          <w:tcPr>
            <w:tcW w:w="1129" w:type="dxa"/>
            <w:shd w:val="clear" w:color="auto" w:fill="FFFFFF"/>
            <w:vAlign w:val="center"/>
          </w:tcPr>
          <w:p>
            <w:pPr>
              <w:jc w:val="center"/>
              <w:spacing w:before="30" w:after="30" w:line="280" w:lineRule="auto"/>
              <w:rPr>
                <w:sz w:val="18"/>
              </w:rPr>
            </w:pPr>
            <w:r>
              <w:t xml:space="preserve">M03</w:t>
            </w:r>
          </w:p>
        </w:tc>
        <w:tc>
          <w:tcPr>
            <w:tcW w:w="2447" w:type="dxa"/>
            <w:shd w:val="clear" w:color="auto" w:fill="FFFFFF"/>
            <w:vAlign w:val="center"/>
          </w:tcPr>
          <w:p>
            <w:pPr>
              <w:jc w:val="both"/>
              <w:spacing w:before="30" w:after="30" w:line="280" w:lineRule="auto"/>
              <w:rPr>
                <w:sz w:val="18"/>
              </w:rPr>
            </w:pPr>
            <w:r>
              <w:t xml:space="preserve">参数情景模拟</w:t>
            </w:r>
          </w:p>
        </w:tc>
        <w:tc>
          <w:tcPr>
            <w:tcW w:w="5835" w:type="dxa"/>
            <w:shd w:val="clear" w:color="auto" w:fill="FFFFFF"/>
            <w:vAlign w:val="center"/>
          </w:tcPr>
          <w:p>
            <w:pPr>
              <w:jc w:val="both"/>
              <w:spacing w:before="30" w:after="30" w:line="280" w:lineRule="auto"/>
              <w:rPr>
                <w:sz w:val="18"/>
              </w:rPr>
            </w:pPr>
            <w:r>
              <w:t xml:space="preserve">调整投入与气象参数的反事实推演</w:t>
            </w:r>
          </w:p>
        </w:tc>
      </w:tr>
      <w:tr>
        <w:tc>
          <w:tcPr>
            <w:tcW w:w="1129" w:type="dxa"/>
            <w:shd w:val="clear" w:color="auto" w:fill="F5F7FA"/>
            <w:vAlign w:val="center"/>
          </w:tcPr>
          <w:p>
            <w:pPr>
              <w:jc w:val="center"/>
              <w:spacing w:before="30" w:after="30" w:line="280" w:lineRule="auto"/>
              <w:rPr>
                <w:sz w:val="18"/>
              </w:rPr>
            </w:pPr>
            <w:r>
              <w:t xml:space="preserve">M04</w:t>
            </w:r>
          </w:p>
        </w:tc>
        <w:tc>
          <w:tcPr>
            <w:tcW w:w="2447" w:type="dxa"/>
            <w:shd w:val="clear" w:color="auto" w:fill="F5F7FA"/>
            <w:vAlign w:val="center"/>
          </w:tcPr>
          <w:p>
            <w:pPr>
              <w:jc w:val="both"/>
              <w:spacing w:before="30" w:after="30" w:line="280" w:lineRule="auto"/>
              <w:rPr>
                <w:sz w:val="18"/>
              </w:rPr>
            </w:pPr>
            <w:r>
              <w:t xml:space="preserve">韧性路径推荐</w:t>
            </w:r>
          </w:p>
        </w:tc>
        <w:tc>
          <w:tcPr>
            <w:tcW w:w="5835" w:type="dxa"/>
            <w:shd w:val="clear" w:color="auto" w:fill="F5F7FA"/>
            <w:vAlign w:val="center"/>
          </w:tcPr>
          <w:p>
            <w:pPr>
              <w:jc w:val="both"/>
              <w:spacing w:before="30" w:after="30" w:line="280" w:lineRule="auto"/>
              <w:rPr>
                <w:sz w:val="18"/>
              </w:rPr>
            </w:pPr>
            <w:r>
              <w:t xml:space="preserve">分阶段措施、优先级与参考投入</w:t>
            </w:r>
          </w:p>
        </w:tc>
      </w:tr>
      <w:tr>
        <w:tc>
          <w:tcPr>
            <w:tcW w:w="1129" w:type="dxa"/>
            <w:shd w:val="clear" w:color="auto" w:fill="FFFFFF"/>
            <w:vAlign w:val="center"/>
          </w:tcPr>
          <w:p>
            <w:pPr>
              <w:jc w:val="center"/>
              <w:spacing w:before="30" w:after="30" w:line="280" w:lineRule="auto"/>
              <w:rPr>
                <w:sz w:val="18"/>
              </w:rPr>
            </w:pPr>
            <w:r>
              <w:t xml:space="preserve">M05</w:t>
            </w:r>
          </w:p>
        </w:tc>
        <w:tc>
          <w:tcPr>
            <w:tcW w:w="2447" w:type="dxa"/>
            <w:shd w:val="clear" w:color="auto" w:fill="FFFFFF"/>
            <w:vAlign w:val="center"/>
          </w:tcPr>
          <w:p>
            <w:pPr>
              <w:jc w:val="both"/>
              <w:spacing w:before="30" w:after="30" w:line="280" w:lineRule="auto"/>
              <w:rPr>
                <w:sz w:val="18"/>
              </w:rPr>
            </w:pPr>
            <w:r>
              <w:t xml:space="preserve">推演监控</w:t>
            </w:r>
          </w:p>
        </w:tc>
        <w:tc>
          <w:tcPr>
            <w:tcW w:w="5835" w:type="dxa"/>
            <w:shd w:val="clear" w:color="auto" w:fill="FFFFFF"/>
            <w:vAlign w:val="center"/>
          </w:tcPr>
          <w:p>
            <w:pPr>
              <w:jc w:val="both"/>
              <w:spacing w:before="30" w:after="30" w:line="280" w:lineRule="auto"/>
              <w:rPr>
                <w:sz w:val="18"/>
              </w:rPr>
            </w:pPr>
            <w:r>
              <w:t xml:space="preserve">推理链路与模型调用过程记录</w:t>
            </w:r>
          </w:p>
        </w:tc>
      </w:tr>
      <w:tr>
        <w:tc>
          <w:tcPr>
            <w:tcW w:w="1129" w:type="dxa"/>
            <w:shd w:val="clear" w:color="auto" w:fill="F5F7FA"/>
            <w:vAlign w:val="center"/>
          </w:tcPr>
          <w:p>
            <w:pPr>
              <w:jc w:val="center"/>
              <w:spacing w:before="30" w:after="30" w:line="280" w:lineRule="auto"/>
              <w:rPr>
                <w:sz w:val="18"/>
              </w:rPr>
            </w:pPr>
            <w:r>
              <w:t xml:space="preserve">M06</w:t>
            </w:r>
          </w:p>
        </w:tc>
        <w:tc>
          <w:tcPr>
            <w:tcW w:w="2447" w:type="dxa"/>
            <w:shd w:val="clear" w:color="auto" w:fill="F5F7FA"/>
            <w:vAlign w:val="center"/>
          </w:tcPr>
          <w:p>
            <w:pPr>
              <w:jc w:val="both"/>
              <w:spacing w:before="30" w:after="30" w:line="280" w:lineRule="auto"/>
              <w:rPr>
                <w:sz w:val="18"/>
              </w:rPr>
            </w:pPr>
            <w:r>
              <w:t xml:space="preserve">知识助手</w:t>
            </w:r>
          </w:p>
        </w:tc>
        <w:tc>
          <w:tcPr>
            <w:tcW w:w="5835" w:type="dxa"/>
            <w:shd w:val="clear" w:color="auto" w:fill="F5F7FA"/>
            <w:vAlign w:val="center"/>
          </w:tcPr>
          <w:p>
            <w:pPr>
              <w:jc w:val="both"/>
              <w:spacing w:before="30" w:after="30" w:line="280" w:lineRule="auto"/>
              <w:rPr>
                <w:sz w:val="18"/>
              </w:rPr>
            </w:pPr>
            <w:r>
              <w:t xml:space="preserve">智能问答入口，双通道知识检索</w:t>
            </w:r>
          </w:p>
        </w:tc>
      </w:tr>
    </w:tbl>
    <w:p>
      <w:pPr>
        <w:pStyle w:val="Body"/>
        <w:jc w:val="left"/>
        <w:spacing w:before="0" w:after="40" w:line="320" w:lineRule="auto"/>
      </w:pPr>
    </w:p>
    <w:p>
      <w:pPr>
        <w:jc w:val="center"/>
        <w:spacing w:before="60" w:after="40"/>
      </w:pPr>
      <w:r>
        <w:drawing>
          <wp:inline distT="0" distB="0" distL="0" distR="0">
            <wp:extent cx="5976000" cy="4268571"/>
            <wp:docPr id="1" name="image1.png"/>
            <a:graphic xmlns:a="http://schemas.openxmlformats.org/drawingml/2006/main">
              <a:graphicData uri="http://schemas.openxmlformats.org/drawingml/2006/main/picture">
                <pic:pic xmlns:pic="http://schemas.openxmlformats.org/drawingml/2006/picture">
                  <pic:nvPicPr>
                    <pic:cNvPr id="1" name="image1.png"/>
                    <pic:cNvPicPr/>
                  </pic:nvPicPr>
                  <pic:blipFill>
                    <a:blip r:embed="rId11"/>
                    <a:stretch>
                      <a:fillRect/>
                    </a:stretch>
                  </pic:blipFill>
                  <pic:spPr>
                    <a:xfrm>
                      <a:off x="0" y="0"/>
                      <a:ext cx="5976000" cy="4268571"/>
                    </a:xfrm>
                    <a:prstGeom prst="rect">
                      <a:avLst/>
                    </a:prstGeom>
                  </pic:spPr>
                </pic:pic>
              </a:graphicData>
            </a:graphic>
          </wp:inline>
        </w:drawing>
      </w:r>
    </w:p>
    <w:p>
      <w:pPr>
        <w:pStyle w:val="Caption"/>
        <w:jc w:val="center"/>
        <w:spacing w:before="0" w:after="80" w:line="320" w:lineRule="auto"/>
      </w:pPr>
      <w:r>
        <w:rPr>
          <w:sz w:val="18"/>
          <w:szCs w:val="18"/>
        </w:rPr>
        <w:t xml:space="preserve">图 4　韧性路径推荐模块：归因结论、措施优先级与参考投入并列呈现</w:t>
      </w:r>
    </w:p>
    <w:p>
      <w:pPr>
        <w:jc w:val="center"/>
        <w:spacing w:before="60" w:after="40"/>
      </w:pPr>
      <w:r>
        <w:drawing>
          <wp:inline distT="0" distB="0" distL="0" distR="0">
            <wp:extent cx="5976000" cy="3558264"/>
            <wp:docPr id="2" name="image2.png"/>
            <a:graphic xmlns:a="http://schemas.openxmlformats.org/drawingml/2006/main">
              <a:graphicData uri="http://schemas.openxmlformats.org/drawingml/2006/main/picture">
                <pic:pic xmlns:pic="http://schemas.openxmlformats.org/drawingml/2006/picture">
                  <pic:nvPicPr>
                    <pic:cNvPr id="2" name="image2.png"/>
                    <pic:cNvPicPr/>
                  </pic:nvPicPr>
                  <pic:blipFill>
                    <a:blip r:embed="rId12"/>
                    <a:stretch>
                      <a:fillRect/>
                    </a:stretch>
                  </pic:blipFill>
                  <pic:spPr>
                    <a:xfrm>
                      <a:off x="0" y="0"/>
                      <a:ext cx="5976000" cy="3558264"/>
                    </a:xfrm>
                    <a:prstGeom prst="rect">
                      <a:avLst/>
                    </a:prstGeom>
                  </pic:spPr>
                </pic:pic>
              </a:graphicData>
            </a:graphic>
          </wp:inline>
        </w:drawing>
      </w:r>
    </w:p>
    <w:p>
      <w:pPr>
        <w:pStyle w:val="Caption"/>
        <w:jc w:val="center"/>
        <w:spacing w:before="0" w:after="80" w:line="320" w:lineRule="auto"/>
      </w:pPr>
      <w:r>
        <w:rPr>
          <w:sz w:val="18"/>
          <w:szCs w:val="18"/>
        </w:rPr>
        <w:t xml:space="preserve">图 5　XGBoost-SHAP 输出的省级风险因子重要性排序（模型层证据，供智能体引用）</w:t>
      </w:r>
    </w:p>
    <w:p>
      <w:pPr>
        <w:pStyle w:val="Heading1"/>
        <w:pageBreakBefore/>
        <w:jc w:val="left"/>
        <w:spacing w:before="0" w:after="100" w:line="320" w:lineRule="auto"/>
      </w:pPr>
      <w:r>
        <w:t xml:space="preserve">六、数据与知识底座</w:t>
      </w:r>
    </w:p>
    <w:p>
      <w:pPr>
        <w:pStyle w:val="Heading2"/>
        <w:jc w:val="left"/>
        <w:spacing w:before="120" w:after="100" w:line="320" w:lineRule="auto"/>
      </w:pPr>
      <w:r>
        <w:t xml:space="preserve">6.1 数据集构成</w:t>
      </w:r>
    </w:p>
    <w:p>
      <w:pPr>
        <w:pStyle w:val="Body"/>
        <w:jc w:val="both"/>
        <w:spacing w:before="0" w:after="80" w:line="320" w:lineRule="auto"/>
      </w:pPr>
      <w:r>
        <w:t xml:space="preserve">平台的数据底座由多模态面板数据与农技知识库两部分组成。面板数据覆盖省级与县级两个尺度，前者用于模型训练与因子归因，后者用于县域尺度的风险查询与规划建议。</w:t>
      </w:r>
    </w:p>
    <w:p>
      <w:pPr>
        <w:pStyle w:val="Caption"/>
        <w:jc w:val="center"/>
        <w:spacing w:before="0" w:after="60" w:line="320" w:lineRule="auto"/>
      </w:pPr>
      <w:r>
        <w:rPr>
          <w:sz w:val="18"/>
          <w:szCs w:val="18"/>
        </w:rPr>
        <w:t xml:space="preserve">表 7　面板数据集构成</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882"/>
        <w:gridCol w:w="2447"/>
        <w:gridCol w:w="5082"/>
      </w:tblGrid>
      <w:tr>
        <w:trPr>
          <w:tblHeader/>
        </w:trPr>
        <w:tc>
          <w:tcPr>
            <w:tcW w:w="1882" w:type="dxa"/>
            <w:shd w:val="clear" w:color="auto" w:fill="1F3864"/>
            <w:vAlign w:val="center"/>
          </w:tcPr>
          <w:p>
            <w:pPr>
              <w:jc w:val="center"/>
              <w:spacing w:before="30" w:after="30" w:line="280" w:lineRule="auto"/>
              <w:rPr>
                <w:sz w:val="18"/>
              </w:rPr>
            </w:pPr>
            <w:r>
              <w:rPr>
                <w:color w:val="FFFFFF"/>
                <w:b/>
              </w:rPr>
              <w:t xml:space="preserve">数据集</w:t>
            </w:r>
          </w:p>
        </w:tc>
        <w:tc>
          <w:tcPr>
            <w:tcW w:w="2447" w:type="dxa"/>
            <w:shd w:val="clear" w:color="auto" w:fill="1F3864"/>
            <w:vAlign w:val="center"/>
          </w:tcPr>
          <w:p>
            <w:pPr>
              <w:jc w:val="center"/>
              <w:spacing w:before="30" w:after="30" w:line="280" w:lineRule="auto"/>
              <w:rPr>
                <w:sz w:val="18"/>
              </w:rPr>
            </w:pPr>
            <w:r>
              <w:rPr>
                <w:color w:val="FFFFFF"/>
                <w:b/>
              </w:rPr>
              <w:t xml:space="preserve">规模</w:t>
            </w:r>
          </w:p>
        </w:tc>
        <w:tc>
          <w:tcPr>
            <w:tcW w:w="5082" w:type="dxa"/>
            <w:shd w:val="clear" w:color="auto" w:fill="1F3864"/>
            <w:vAlign w:val="center"/>
          </w:tcPr>
          <w:p>
            <w:pPr>
              <w:jc w:val="center"/>
              <w:spacing w:before="30" w:after="30" w:line="280" w:lineRule="auto"/>
              <w:rPr>
                <w:sz w:val="18"/>
              </w:rPr>
            </w:pPr>
            <w:r>
              <w:rPr>
                <w:color w:val="FFFFFF"/>
                <w:b/>
              </w:rPr>
              <w:t xml:space="preserve">主要内容</w:t>
            </w:r>
          </w:p>
        </w:tc>
      </w:tr>
      <w:tr>
        <w:tc>
          <w:tcPr>
            <w:tcW w:w="1882" w:type="dxa"/>
            <w:shd w:val="clear" w:color="auto" w:fill="F5F7FA"/>
            <w:vAlign w:val="center"/>
          </w:tcPr>
          <w:p>
            <w:pPr>
              <w:jc w:val="both"/>
              <w:spacing w:before="30" w:after="30" w:line="280" w:lineRule="auto"/>
              <w:rPr>
                <w:sz w:val="18"/>
              </w:rPr>
            </w:pPr>
            <w:r>
              <w:t xml:space="preserve">省级多模态面板</w:t>
            </w:r>
          </w:p>
        </w:tc>
        <w:tc>
          <w:tcPr>
            <w:tcW w:w="2447" w:type="dxa"/>
            <w:shd w:val="clear" w:color="auto" w:fill="F5F7FA"/>
            <w:vAlign w:val="center"/>
          </w:tcPr>
          <w:p>
            <w:pPr>
              <w:jc w:val="both"/>
              <w:spacing w:before="30" w:after="30" w:line="280" w:lineRule="auto"/>
              <w:rPr>
                <w:sz w:val="18"/>
              </w:rPr>
            </w:pPr>
            <w:r>
              <w:t xml:space="preserve">31 省 × 13 年（2011—2023），403 条样本 × 11 维特征</w:t>
            </w:r>
          </w:p>
        </w:tc>
        <w:tc>
          <w:tcPr>
            <w:tcW w:w="5082" w:type="dxa"/>
            <w:shd w:val="clear" w:color="auto" w:fill="F5F7FA"/>
            <w:vAlign w:val="center"/>
          </w:tcPr>
          <w:p>
            <w:pPr>
              <w:jc w:val="both"/>
              <w:spacing w:before="30" w:after="30" w:line="280" w:lineRule="auto"/>
              <w:rPr>
                <w:sz w:val="18"/>
              </w:rPr>
            </w:pPr>
            <w:r>
              <w:t xml:space="preserve">气象要素、致灾统计、遥感植被与地表温度、灌溉、化肥、机械等生产投入指标</w:t>
            </w:r>
          </w:p>
        </w:tc>
      </w:tr>
      <w:tr>
        <w:tc>
          <w:tcPr>
            <w:tcW w:w="1882" w:type="dxa"/>
            <w:shd w:val="clear" w:color="auto" w:fill="FFFFFF"/>
            <w:vAlign w:val="center"/>
          </w:tcPr>
          <w:p>
            <w:pPr>
              <w:jc w:val="both"/>
              <w:spacing w:before="30" w:after="30" w:line="280" w:lineRule="auto"/>
              <w:rPr>
                <w:sz w:val="18"/>
              </w:rPr>
            </w:pPr>
            <w:r>
              <w:t xml:space="preserve">城市级生产面板</w:t>
            </w:r>
          </w:p>
        </w:tc>
        <w:tc>
          <w:tcPr>
            <w:tcW w:w="2447" w:type="dxa"/>
            <w:shd w:val="clear" w:color="auto" w:fill="FFFFFF"/>
            <w:vAlign w:val="center"/>
          </w:tcPr>
          <w:p>
            <w:pPr>
              <w:jc w:val="both"/>
              <w:spacing w:before="30" w:after="30" w:line="280" w:lineRule="auto"/>
              <w:rPr>
                <w:sz w:val="18"/>
              </w:rPr>
            </w:pPr>
            <w:r>
              <w:t xml:space="preserve">10 个主产省 × 148 个地级市 × 13 年，1 924 条记录 × 28 字段</w:t>
            </w:r>
          </w:p>
        </w:tc>
        <w:tc>
          <w:tcPr>
            <w:tcW w:w="5082" w:type="dxa"/>
            <w:shd w:val="clear" w:color="auto" w:fill="FFFFFF"/>
            <w:vAlign w:val="center"/>
          </w:tcPr>
          <w:p>
            <w:pPr>
              <w:jc w:val="both"/>
              <w:spacing w:before="30" w:after="30" w:line="280" w:lineRule="auto"/>
              <w:rPr>
                <w:sz w:val="18"/>
              </w:rPr>
            </w:pPr>
            <w:r>
              <w:t xml:space="preserve">市级产量、气象、耕地比例与生产条件</w:t>
            </w:r>
          </w:p>
        </w:tc>
      </w:tr>
      <w:tr>
        <w:tc>
          <w:tcPr>
            <w:tcW w:w="1882" w:type="dxa"/>
            <w:shd w:val="clear" w:color="auto" w:fill="F5F7FA"/>
            <w:vAlign w:val="center"/>
          </w:tcPr>
          <w:p>
            <w:pPr>
              <w:jc w:val="both"/>
              <w:spacing w:before="30" w:after="30" w:line="280" w:lineRule="auto"/>
              <w:rPr>
                <w:sz w:val="18"/>
              </w:rPr>
            </w:pPr>
            <w:r>
              <w:t xml:space="preserve">县级建模面板</w:t>
            </w:r>
          </w:p>
        </w:tc>
        <w:tc>
          <w:tcPr>
            <w:tcW w:w="2447" w:type="dxa"/>
            <w:shd w:val="clear" w:color="auto" w:fill="F5F7FA"/>
            <w:vAlign w:val="center"/>
          </w:tcPr>
          <w:p>
            <w:pPr>
              <w:jc w:val="both"/>
              <w:spacing w:before="30" w:after="30" w:line="280" w:lineRule="auto"/>
              <w:rPr>
                <w:sz w:val="18"/>
              </w:rPr>
            </w:pPr>
            <w:r>
              <w:t xml:space="preserve">1 041 县 × 11 年，10 407 条记录 × 14 特征</w:t>
            </w:r>
          </w:p>
        </w:tc>
        <w:tc>
          <w:tcPr>
            <w:tcW w:w="5082" w:type="dxa"/>
            <w:shd w:val="clear" w:color="auto" w:fill="F5F7FA"/>
            <w:vAlign w:val="center"/>
          </w:tcPr>
          <w:p>
            <w:pPr>
              <w:jc w:val="both"/>
              <w:spacing w:before="30" w:after="30" w:line="280" w:lineRule="auto"/>
              <w:rPr>
                <w:sz w:val="18"/>
              </w:rPr>
            </w:pPr>
            <w:r>
              <w:t xml:space="preserve">县域气象、遥感与生产投入指标，用于留一县验证</w:t>
            </w:r>
          </w:p>
        </w:tc>
      </w:tr>
      <w:tr>
        <w:tc>
          <w:tcPr>
            <w:tcW w:w="1882" w:type="dxa"/>
            <w:shd w:val="clear" w:color="auto" w:fill="FFFFFF"/>
            <w:vAlign w:val="center"/>
          </w:tcPr>
          <w:p>
            <w:pPr>
              <w:jc w:val="both"/>
              <w:spacing w:before="30" w:after="30" w:line="280" w:lineRule="auto"/>
              <w:rPr>
                <w:sz w:val="18"/>
              </w:rPr>
            </w:pPr>
            <w:r>
              <w:t xml:space="preserve">县级社会经济面板</w:t>
            </w:r>
          </w:p>
        </w:tc>
        <w:tc>
          <w:tcPr>
            <w:tcW w:w="2447" w:type="dxa"/>
            <w:shd w:val="clear" w:color="auto" w:fill="FFFFFF"/>
            <w:vAlign w:val="center"/>
          </w:tcPr>
          <w:p>
            <w:pPr>
              <w:jc w:val="both"/>
              <w:spacing w:before="30" w:after="30" w:line="280" w:lineRule="auto"/>
              <w:rPr>
                <w:sz w:val="18"/>
              </w:rPr>
            </w:pPr>
            <w:r>
              <w:t xml:space="preserve">2 725 县 × 23 年（2000—2022），62 676 条记录 × 82 字段</w:t>
            </w:r>
          </w:p>
        </w:tc>
        <w:tc>
          <w:tcPr>
            <w:tcW w:w="5082" w:type="dxa"/>
            <w:shd w:val="clear" w:color="auto" w:fill="FFFFFF"/>
            <w:vAlign w:val="center"/>
          </w:tcPr>
          <w:p>
            <w:pPr>
              <w:jc w:val="both"/>
              <w:spacing w:before="30" w:after="30" w:line="280" w:lineRule="auto"/>
              <w:rPr>
                <w:sz w:val="18"/>
              </w:rPr>
            </w:pPr>
            <w:r>
              <w:t xml:space="preserve">县级播种面积、耕地面积、粮食产量、机械动力、人口与财政等，含县级经纬度</w:t>
            </w:r>
          </w:p>
        </w:tc>
      </w:tr>
      <w:tr>
        <w:tc>
          <w:tcPr>
            <w:tcW w:w="1882" w:type="dxa"/>
            <w:shd w:val="clear" w:color="auto" w:fill="F5F7FA"/>
            <w:vAlign w:val="center"/>
          </w:tcPr>
          <w:p>
            <w:pPr>
              <w:jc w:val="both"/>
              <w:spacing w:before="30" w:after="30" w:line="280" w:lineRule="auto"/>
              <w:rPr>
                <w:sz w:val="18"/>
              </w:rPr>
            </w:pPr>
            <w:r>
              <w:t xml:space="preserve">空间与遥感数据</w:t>
            </w:r>
          </w:p>
        </w:tc>
        <w:tc>
          <w:tcPr>
            <w:tcW w:w="2447" w:type="dxa"/>
            <w:shd w:val="clear" w:color="auto" w:fill="F5F7FA"/>
            <w:vAlign w:val="center"/>
          </w:tcPr>
          <w:p>
            <w:pPr>
              <w:jc w:val="both"/>
              <w:spacing w:before="30" w:after="30" w:line="280" w:lineRule="auto"/>
              <w:rPr>
                <w:sz w:val="18"/>
              </w:rPr>
            </w:pPr>
            <w:r>
              <w:t xml:space="preserve">全国省、市、县行政边界；省级月度植被指数与地表温度</w:t>
            </w:r>
          </w:p>
        </w:tc>
        <w:tc>
          <w:tcPr>
            <w:tcW w:w="5082" w:type="dxa"/>
            <w:shd w:val="clear" w:color="auto" w:fill="F5F7FA"/>
            <w:vAlign w:val="center"/>
          </w:tcPr>
          <w:p>
            <w:pPr>
              <w:jc w:val="both"/>
              <w:spacing w:before="30" w:after="30" w:line="280" w:lineRule="auto"/>
              <w:rPr>
                <w:sz w:val="18"/>
              </w:rPr>
            </w:pPr>
            <w:r>
              <w:t xml:space="preserve">栅格聚合与空间匹配的基础数据</w:t>
            </w:r>
          </w:p>
        </w:tc>
      </w:tr>
    </w:tbl>
    <w:p>
      <w:pPr>
        <w:pStyle w:val="Body"/>
        <w:jc w:val="left"/>
        <w:spacing w:before="0" w:after="40" w:line="320" w:lineRule="auto"/>
      </w:pPr>
    </w:p>
    <w:p>
      <w:pPr>
        <w:pStyle w:val="Heading2"/>
        <w:jc w:val="left"/>
        <w:spacing w:before="120" w:after="100" w:line="320" w:lineRule="auto"/>
      </w:pPr>
      <w:r>
        <w:t xml:space="preserve">6.2 农技知识库与来源合规</w:t>
      </w:r>
    </w:p>
    <w:p>
      <w:pPr>
        <w:pStyle w:val="Body"/>
        <w:jc w:val="both"/>
        <w:spacing w:before="0" w:after="80" w:line="320" w:lineRule="auto"/>
      </w:pPr>
      <w:r>
        <w:t xml:space="preserve">知识库只收录具有明确发布主体与发布时间的公开技术资料，来源限定为农业技术推广机构发布的技术意见、植物保护机构发布的病虫情报、公开的作物栽培技术规程以及投入品登记公开信息。教材与商业数据库不在收录范围。每条知识条目登记来源机构、发布日期、适用作物、适用区域与版本号五项元数据，既服务于检索过滤，也构成对外材料中数据来源说明的基础。</w:t>
      </w:r>
    </w:p>
    <w:p>
      <w:pPr>
        <w:pStyle w:val="Body"/>
        <w:jc w:val="both"/>
        <w:spacing w:before="0" w:after="80" w:line="320" w:lineRule="auto"/>
      </w:pPr>
      <w:r>
        <w:t xml:space="preserve">参赛材料如涉及第三方数据或开源组件，均按其授权范围使用并标注来源，与参赛承诺书中关于原创与授权的要求保持一致。</w:t>
      </w:r>
    </w:p>
    <w:p>
      <w:pPr>
        <w:pStyle w:val="Heading1"/>
        <w:pageBreakBefore/>
        <w:jc w:val="left"/>
        <w:spacing w:before="0" w:after="100" w:line="320" w:lineRule="auto"/>
      </w:pPr>
      <w:r>
        <w:t xml:space="preserve">七、系统测试与效果评估</w:t>
      </w:r>
    </w:p>
    <w:p>
      <w:pPr>
        <w:pStyle w:val="Heading2"/>
        <w:jc w:val="left"/>
        <w:spacing w:before="120" w:after="100" w:line="320" w:lineRule="auto"/>
      </w:pPr>
      <w:r>
        <w:t xml:space="preserve">7.1 模型层指标</w:t>
      </w:r>
    </w:p>
    <w:p>
      <w:pPr>
        <w:pStyle w:val="Body"/>
        <w:jc w:val="both"/>
        <w:spacing w:before="0" w:after="80" w:line="320" w:lineRule="auto"/>
      </w:pPr>
      <w:r>
        <w:t xml:space="preserve">模型层的评估采用多协议交叉验证，除报告常规随机划分结果外，同时报告时序外推与空间外推结果，避免以单一协议的高分掩盖适用范围。相关结果已在第四章表 4 列出，此处不再重复。</w:t>
      </w:r>
    </w:p>
    <w:p>
      <w:pPr>
        <w:pStyle w:val="Heading2"/>
        <w:jc w:val="left"/>
        <w:spacing w:before="120" w:after="100" w:line="320" w:lineRule="auto"/>
      </w:pPr>
      <w:r>
        <w:t xml:space="preserve">7.2 智能体层评测方案</w:t>
      </w:r>
    </w:p>
    <w:p>
      <w:pPr>
        <w:pStyle w:val="Body"/>
        <w:jc w:val="both"/>
        <w:spacing w:before="0" w:after="80" w:line="320" w:lineRule="auto"/>
      </w:pPr>
      <w:r>
        <w:t xml:space="preserve">智能体的效果不能只靠演示，需要可复现的评测。平台建立四类共 50 题的评测集，覆盖事实检索、归因解释、方案生成与边界拒答，每题预先标注标准答案要点与依据来源。评测指标与验收标准如表 8。</w:t>
      </w:r>
    </w:p>
    <w:p>
      <w:pPr>
        <w:pStyle w:val="Caption"/>
        <w:jc w:val="center"/>
        <w:spacing w:before="0" w:after="60" w:line="320" w:lineRule="auto"/>
      </w:pPr>
      <w:r>
        <w:rPr>
          <w:sz w:val="18"/>
          <w:szCs w:val="18"/>
        </w:rPr>
        <w:t xml:space="preserve">表 8　智能体评测指标与验收标准</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258"/>
        <w:gridCol w:w="3200"/>
        <w:gridCol w:w="3953"/>
      </w:tblGrid>
      <w:tr>
        <w:trPr>
          <w:tblHeader/>
        </w:trPr>
        <w:tc>
          <w:tcPr>
            <w:tcW w:w="2258" w:type="dxa"/>
            <w:shd w:val="clear" w:color="auto" w:fill="1F3864"/>
            <w:vAlign w:val="center"/>
          </w:tcPr>
          <w:p>
            <w:pPr>
              <w:jc w:val="center"/>
              <w:spacing w:before="30" w:after="30" w:line="280" w:lineRule="auto"/>
              <w:rPr>
                <w:sz w:val="18"/>
              </w:rPr>
            </w:pPr>
            <w:r>
              <w:rPr>
                <w:color w:val="FFFFFF"/>
                <w:b/>
              </w:rPr>
              <w:t xml:space="preserve">指标</w:t>
            </w:r>
          </w:p>
        </w:tc>
        <w:tc>
          <w:tcPr>
            <w:tcW w:w="3200" w:type="dxa"/>
            <w:shd w:val="clear" w:color="auto" w:fill="1F3864"/>
            <w:vAlign w:val="center"/>
          </w:tcPr>
          <w:p>
            <w:pPr>
              <w:jc w:val="center"/>
              <w:spacing w:before="30" w:after="30" w:line="280" w:lineRule="auto"/>
              <w:rPr>
                <w:sz w:val="18"/>
              </w:rPr>
            </w:pPr>
            <w:r>
              <w:rPr>
                <w:color w:val="FFFFFF"/>
                <w:b/>
              </w:rPr>
              <w:t xml:space="preserve">定义</w:t>
            </w:r>
          </w:p>
        </w:tc>
        <w:tc>
          <w:tcPr>
            <w:tcW w:w="3953" w:type="dxa"/>
            <w:shd w:val="clear" w:color="auto" w:fill="1F3864"/>
            <w:vAlign w:val="center"/>
          </w:tcPr>
          <w:p>
            <w:pPr>
              <w:jc w:val="center"/>
              <w:spacing w:before="30" w:after="30" w:line="280" w:lineRule="auto"/>
              <w:rPr>
                <w:sz w:val="18"/>
              </w:rPr>
            </w:pPr>
            <w:r>
              <w:rPr>
                <w:color w:val="FFFFFF"/>
                <w:b/>
              </w:rPr>
              <w:t xml:space="preserve">验收标准</w:t>
            </w:r>
          </w:p>
        </w:tc>
      </w:tr>
      <w:tr>
        <w:tc>
          <w:tcPr>
            <w:tcW w:w="2258" w:type="dxa"/>
            <w:shd w:val="clear" w:color="auto" w:fill="F5F7FA"/>
            <w:vAlign w:val="center"/>
          </w:tcPr>
          <w:p>
            <w:pPr>
              <w:jc w:val="both"/>
              <w:spacing w:before="30" w:after="30" w:line="280" w:lineRule="auto"/>
              <w:rPr>
                <w:sz w:val="18"/>
              </w:rPr>
            </w:pPr>
            <w:r>
              <w:t xml:space="preserve">检索命中率</w:t>
            </w:r>
          </w:p>
        </w:tc>
        <w:tc>
          <w:tcPr>
            <w:tcW w:w="3200" w:type="dxa"/>
            <w:shd w:val="clear" w:color="auto" w:fill="F5F7FA"/>
            <w:vAlign w:val="center"/>
          </w:tcPr>
          <w:p>
            <w:pPr>
              <w:jc w:val="both"/>
              <w:spacing w:before="30" w:after="30" w:line="280" w:lineRule="auto"/>
              <w:rPr>
                <w:sz w:val="18"/>
              </w:rPr>
            </w:pPr>
            <w:r>
              <w:t xml:space="preserve">标准依据出现在召回片段中的题目占比</w:t>
            </w:r>
          </w:p>
        </w:tc>
        <w:tc>
          <w:tcPr>
            <w:tcW w:w="3953" w:type="dxa"/>
            <w:shd w:val="clear" w:color="auto" w:fill="F5F7FA"/>
            <w:vAlign w:val="center"/>
          </w:tcPr>
          <w:p>
            <w:pPr>
              <w:jc w:val="both"/>
              <w:spacing w:before="30" w:after="30" w:line="280" w:lineRule="auto"/>
              <w:rPr>
                <w:sz w:val="18"/>
              </w:rPr>
            </w:pPr>
            <w:r>
              <w:t xml:space="preserve">不低于 85%</w:t>
            </w:r>
          </w:p>
        </w:tc>
      </w:tr>
      <w:tr>
        <w:tc>
          <w:tcPr>
            <w:tcW w:w="2258" w:type="dxa"/>
            <w:shd w:val="clear" w:color="auto" w:fill="FFFFFF"/>
            <w:vAlign w:val="center"/>
          </w:tcPr>
          <w:p>
            <w:pPr>
              <w:jc w:val="both"/>
              <w:spacing w:before="30" w:after="30" w:line="280" w:lineRule="auto"/>
              <w:rPr>
                <w:sz w:val="18"/>
              </w:rPr>
            </w:pPr>
            <w:r>
              <w:t xml:space="preserve">引用正确率</w:t>
            </w:r>
          </w:p>
        </w:tc>
        <w:tc>
          <w:tcPr>
            <w:tcW w:w="3200" w:type="dxa"/>
            <w:shd w:val="clear" w:color="auto" w:fill="FFFFFF"/>
            <w:vAlign w:val="center"/>
          </w:tcPr>
          <w:p>
            <w:pPr>
              <w:jc w:val="both"/>
              <w:spacing w:before="30" w:after="30" w:line="280" w:lineRule="auto"/>
              <w:rPr>
                <w:sz w:val="18"/>
              </w:rPr>
            </w:pPr>
            <w:r>
              <w:t xml:space="preserve">答案标注的出处与实际使用片段一致的题目占比</w:t>
            </w:r>
          </w:p>
        </w:tc>
        <w:tc>
          <w:tcPr>
            <w:tcW w:w="3953" w:type="dxa"/>
            <w:shd w:val="clear" w:color="auto" w:fill="FFFFFF"/>
            <w:vAlign w:val="center"/>
          </w:tcPr>
          <w:p>
            <w:pPr>
              <w:jc w:val="both"/>
              <w:spacing w:before="30" w:after="30" w:line="280" w:lineRule="auto"/>
              <w:rPr>
                <w:sz w:val="18"/>
              </w:rPr>
            </w:pPr>
            <w:r>
              <w:t xml:space="preserve">不低于 95%</w:t>
            </w:r>
          </w:p>
        </w:tc>
      </w:tr>
      <w:tr>
        <w:tc>
          <w:tcPr>
            <w:tcW w:w="2258" w:type="dxa"/>
            <w:shd w:val="clear" w:color="auto" w:fill="F5F7FA"/>
            <w:vAlign w:val="center"/>
          </w:tcPr>
          <w:p>
            <w:pPr>
              <w:jc w:val="both"/>
              <w:spacing w:before="30" w:after="30" w:line="280" w:lineRule="auto"/>
              <w:rPr>
                <w:sz w:val="18"/>
              </w:rPr>
            </w:pPr>
            <w:r>
              <w:t xml:space="preserve">方案可操作性</w:t>
            </w:r>
          </w:p>
        </w:tc>
        <w:tc>
          <w:tcPr>
            <w:tcW w:w="3200" w:type="dxa"/>
            <w:shd w:val="clear" w:color="auto" w:fill="F5F7FA"/>
            <w:vAlign w:val="center"/>
          </w:tcPr>
          <w:p>
            <w:pPr>
              <w:jc w:val="both"/>
              <w:spacing w:before="30" w:after="30" w:line="280" w:lineRule="auto"/>
              <w:rPr>
                <w:sz w:val="18"/>
              </w:rPr>
            </w:pPr>
            <w:r>
              <w:t xml:space="preserve">由具备农学背景的评审按五分制打分，考察是否给出时间、用量与操作要点</w:t>
            </w:r>
          </w:p>
        </w:tc>
        <w:tc>
          <w:tcPr>
            <w:tcW w:w="3953" w:type="dxa"/>
            <w:shd w:val="clear" w:color="auto" w:fill="F5F7FA"/>
            <w:vAlign w:val="center"/>
          </w:tcPr>
          <w:p>
            <w:pPr>
              <w:jc w:val="both"/>
              <w:spacing w:before="30" w:after="30" w:line="280" w:lineRule="auto"/>
              <w:rPr>
                <w:sz w:val="18"/>
              </w:rPr>
            </w:pPr>
            <w:r>
              <w:t xml:space="preserve">平均不低于 4.0</w:t>
            </w:r>
          </w:p>
        </w:tc>
      </w:tr>
      <w:tr>
        <w:tc>
          <w:tcPr>
            <w:tcW w:w="2258" w:type="dxa"/>
            <w:shd w:val="clear" w:color="auto" w:fill="FFFFFF"/>
            <w:vAlign w:val="center"/>
          </w:tcPr>
          <w:p>
            <w:pPr>
              <w:jc w:val="both"/>
              <w:spacing w:before="30" w:after="30" w:line="280" w:lineRule="auto"/>
              <w:rPr>
                <w:sz w:val="18"/>
              </w:rPr>
            </w:pPr>
            <w:r>
              <w:t xml:space="preserve">无依据输出率</w:t>
            </w:r>
          </w:p>
        </w:tc>
        <w:tc>
          <w:tcPr>
            <w:tcW w:w="3200" w:type="dxa"/>
            <w:shd w:val="clear" w:color="auto" w:fill="FFFFFF"/>
            <w:vAlign w:val="center"/>
          </w:tcPr>
          <w:p>
            <w:pPr>
              <w:jc w:val="both"/>
              <w:spacing w:before="30" w:after="30" w:line="280" w:lineRule="auto"/>
              <w:rPr>
                <w:sz w:val="18"/>
              </w:rPr>
            </w:pPr>
            <w:r>
              <w:t xml:space="preserve">出现无法回溯到检索内容或模型输出的结论的题目占比</w:t>
            </w:r>
          </w:p>
        </w:tc>
        <w:tc>
          <w:tcPr>
            <w:tcW w:w="3953" w:type="dxa"/>
            <w:shd w:val="clear" w:color="auto" w:fill="FFFFFF"/>
            <w:vAlign w:val="center"/>
          </w:tcPr>
          <w:p>
            <w:pPr>
              <w:jc w:val="both"/>
              <w:spacing w:before="30" w:after="30" w:line="280" w:lineRule="auto"/>
              <w:rPr>
                <w:sz w:val="18"/>
              </w:rPr>
            </w:pPr>
            <w:r>
              <w:t xml:space="preserve">不高于 2%</w:t>
            </w:r>
          </w:p>
        </w:tc>
      </w:tr>
      <w:tr>
        <w:tc>
          <w:tcPr>
            <w:tcW w:w="2258" w:type="dxa"/>
            <w:shd w:val="clear" w:color="auto" w:fill="F5F7FA"/>
            <w:vAlign w:val="center"/>
          </w:tcPr>
          <w:p>
            <w:pPr>
              <w:jc w:val="both"/>
              <w:spacing w:before="30" w:after="30" w:line="280" w:lineRule="auto"/>
              <w:rPr>
                <w:sz w:val="18"/>
              </w:rPr>
            </w:pPr>
            <w:r>
              <w:t xml:space="preserve">边界拒答正确率</w:t>
            </w:r>
          </w:p>
        </w:tc>
        <w:tc>
          <w:tcPr>
            <w:tcW w:w="3200" w:type="dxa"/>
            <w:shd w:val="clear" w:color="auto" w:fill="F5F7FA"/>
            <w:vAlign w:val="center"/>
          </w:tcPr>
          <w:p>
            <w:pPr>
              <w:jc w:val="both"/>
              <w:spacing w:before="30" w:after="30" w:line="280" w:lineRule="auto"/>
              <w:rPr>
                <w:sz w:val="18"/>
              </w:rPr>
            </w:pPr>
            <w:r>
              <w:t xml:space="preserve">超出知识范围或超出模型适用边界时正确说明的题目占比</w:t>
            </w:r>
          </w:p>
        </w:tc>
        <w:tc>
          <w:tcPr>
            <w:tcW w:w="3953" w:type="dxa"/>
            <w:shd w:val="clear" w:color="auto" w:fill="F5F7FA"/>
            <w:vAlign w:val="center"/>
          </w:tcPr>
          <w:p>
            <w:pPr>
              <w:jc w:val="both"/>
              <w:spacing w:before="30" w:after="30" w:line="280" w:lineRule="auto"/>
              <w:rPr>
                <w:sz w:val="18"/>
              </w:rPr>
            </w:pPr>
            <w:r>
              <w:t xml:space="preserve">不低于 90%</w:t>
            </w:r>
          </w:p>
        </w:tc>
      </w:tr>
      <w:tr>
        <w:tc>
          <w:tcPr>
            <w:tcW w:w="2258" w:type="dxa"/>
            <w:shd w:val="clear" w:color="auto" w:fill="FFFFFF"/>
            <w:vAlign w:val="center"/>
          </w:tcPr>
          <w:p>
            <w:pPr>
              <w:jc w:val="both"/>
              <w:spacing w:before="30" w:after="30" w:line="280" w:lineRule="auto"/>
              <w:rPr>
                <w:sz w:val="18"/>
              </w:rPr>
            </w:pPr>
            <w:r>
              <w:t xml:space="preserve">响应时延</w:t>
            </w:r>
          </w:p>
        </w:tc>
        <w:tc>
          <w:tcPr>
            <w:tcW w:w="3200" w:type="dxa"/>
            <w:shd w:val="clear" w:color="auto" w:fill="FFFFFF"/>
            <w:vAlign w:val="center"/>
          </w:tcPr>
          <w:p>
            <w:pPr>
              <w:jc w:val="both"/>
              <w:spacing w:before="30" w:after="30" w:line="280" w:lineRule="auto"/>
              <w:rPr>
                <w:sz w:val="18"/>
              </w:rPr>
            </w:pPr>
            <w:r>
              <w:t xml:space="preserve">从提交问题到返回完整方案的时间</w:t>
            </w:r>
          </w:p>
        </w:tc>
        <w:tc>
          <w:tcPr>
            <w:tcW w:w="3953" w:type="dxa"/>
            <w:shd w:val="clear" w:color="auto" w:fill="FFFFFF"/>
            <w:vAlign w:val="center"/>
          </w:tcPr>
          <w:p>
            <w:pPr>
              <w:jc w:val="both"/>
              <w:spacing w:before="30" w:after="30" w:line="280" w:lineRule="auto"/>
              <w:rPr>
                <w:sz w:val="18"/>
              </w:rPr>
            </w:pPr>
            <w:r>
              <w:t xml:space="preserve">常规问答与单次模型推理在秒级完成</w:t>
            </w:r>
          </w:p>
        </w:tc>
      </w:tr>
    </w:tbl>
    <w:p>
      <w:pPr>
        <w:pStyle w:val="Body"/>
        <w:jc w:val="left"/>
        <w:spacing w:before="0" w:after="40" w:line="320" w:lineRule="auto"/>
      </w:pPr>
    </w:p>
    <w:p>
      <w:pPr>
        <w:pStyle w:val="Heading2"/>
        <w:jc w:val="left"/>
        <w:spacing w:before="120" w:after="100" w:line="320" w:lineRule="auto"/>
      </w:pPr>
      <w:r>
        <w:t xml:space="preserve">7.3 系统测试</w:t>
      </w:r>
    </w:p>
    <w:p>
      <w:pPr>
        <w:pStyle w:val="Body"/>
        <w:jc w:val="both"/>
        <w:spacing w:before="0" w:after="80" w:line="320" w:lineRule="auto"/>
      </w:pPr>
      <w:r>
        <w:t xml:space="preserve">系统测试覆盖三类内容。功能测试逐项核对模块可用性与数据完整性；接口测试验证参数校验、限流与异常返回；可用性测试在主流浏览器与常见分辨率下检查页面渲染、地图交互与方案导出效果。测试记录与结果随作品材料一并留存，供评审复核。</w:t>
      </w:r>
    </w:p>
    <w:p>
      <w:pPr>
        <w:pStyle w:val="Heading1"/>
        <w:pageBreakBefore/>
        <w:jc w:val="left"/>
        <w:spacing w:before="0" w:after="100" w:line="320" w:lineRule="auto"/>
      </w:pPr>
      <w:r>
        <w:t xml:space="preserve">八、应用价值与推广路径</w:t>
      </w:r>
    </w:p>
    <w:p>
      <w:pPr>
        <w:pStyle w:val="Body"/>
        <w:jc w:val="both"/>
        <w:spacing w:before="0" w:after="80" w:line="320" w:lineRule="auto"/>
      </w:pPr>
      <w:r>
        <w:t xml:space="preserve">对，平台把分散的技术条文转化为按生育期排列的农事清单，降低获取与理解成本。农户可以用口语提问，也可以在拿到病虫害照片后直接获得防治思路与注意事项。</w:t>
      </w:r>
      <w:r>
        <w:rPr>
          <w:b/>
        </w:rPr>
        <w:t xml:space="preserve">直接生产者</w:t>
      </w:r>
    </w:p>
    <w:p>
      <w:pPr>
        <w:pStyle w:val="Body"/>
        <w:jc w:val="both"/>
        <w:spacing w:before="0" w:after="80" w:line="320" w:lineRule="auto"/>
      </w:pPr>
      <w:r>
        <w:t xml:space="preserve">对，平台提供批量化的区域风险画像与措施建议，推广人员可据此安排培训与现场指导的重点，把有限的人力投向风险最集中的区域与环节。</w:t>
      </w:r>
      <w:r>
        <w:rPr>
          <w:b/>
        </w:rPr>
        <w:t xml:space="preserve">生产组织者与农技推广机构</w:t>
      </w:r>
    </w:p>
    <w:p>
      <w:pPr>
        <w:pStyle w:val="Body"/>
        <w:jc w:val="both"/>
        <w:spacing w:before="0" w:after="80" w:line="320" w:lineRule="auto"/>
      </w:pPr>
      <w:r>
        <w:t xml:space="preserve">对，平台输出的风险空间分布、因子贡献与情景模拟结果，可支撑防灾资源投放次序与工程项目优先级的讨论，使决策依据从经验判断转向可核查的量化结果。</w:t>
      </w:r>
      <w:r>
        <w:rPr>
          <w:b/>
        </w:rPr>
        <w:t xml:space="preserve">区域管理者</w:t>
      </w:r>
    </w:p>
    <w:p>
      <w:pPr>
        <w:pStyle w:val="Body"/>
        <w:jc w:val="both"/>
        <w:spacing w:before="0" w:after="80" w:line="320" w:lineRule="auto"/>
      </w:pPr>
      <w:r>
        <w:t xml:space="preserve">对，区域风险等级与因子结构可作为差异化产品设计与供应链预警的参考信息。需要说明的是，平台输出的是相对风险与因子结构，不构成保险精算依据。</w:t>
      </w:r>
      <w:r>
        <w:rPr>
          <w:b/>
        </w:rPr>
        <w:t xml:space="preserve">农业保险与粮食供应链</w:t>
      </w:r>
    </w:p>
    <w:p>
      <w:pPr>
        <w:pStyle w:val="Body"/>
        <w:jc w:val="both"/>
        <w:spacing w:before="0" w:after="80" w:line="320" w:lineRule="auto"/>
      </w:pPr>
      <w:r>
        <w:t xml:space="preserve">推广路径分三步推进：先在合作农技推广机构与合作社开展小范围试点，检验方案在真实生产条件下的可用性并据反馈调整模板；随后以软件即服务形式开放多用户使用，配套角色权限与使用统计；最终开放数据与模型接口，供科研与教学场景复用。</w:t>
      </w:r>
    </w:p>
    <w:p>
      <w:pPr>
        <w:pStyle w:val="Heading1"/>
        <w:pageBreakBefore/>
        <w:jc w:val="left"/>
        <w:spacing w:before="0" w:after="100" w:line="320" w:lineRule="auto"/>
      </w:pPr>
      <w:r>
        <w:t xml:space="preserve">九、边界、风险与合规</w:t>
      </w:r>
    </w:p>
    <w:p>
      <w:pPr>
        <w:pStyle w:val="Body"/>
        <w:jc w:val="both"/>
        <w:spacing w:before="0" w:after="80" w:line="320" w:lineRule="auto"/>
      </w:pPr>
      <w:r>
        <w:t xml:space="preserve">省级面板样本不支持跨省外推，平台据此将风险结论限定在区域内相对比较与情景推演，不提供产量绝对值的预测承诺。当用户询问具体产量数字时，平台说明能力边界并给出可用的相对风险信息。</w:t>
      </w:r>
      <w:r>
        <w:rPr>
          <w:b/>
        </w:rPr>
        <w:t xml:space="preserve">模型适用边界。</w:t>
      </w:r>
    </w:p>
    <w:p>
      <w:pPr>
        <w:pStyle w:val="Body"/>
        <w:jc w:val="both"/>
        <w:spacing w:before="0" w:after="80" w:line="320" w:lineRule="auto"/>
      </w:pPr>
      <w:r>
        <w:t xml:space="preserve">涉及农药的建议严格限定在登记信息的适用作物与剂量范围内，同时给出安全间隔期、轮换用药与个人防护要求，并提示以当地植保机构意见为准。超出知识库覆盖范围的问题，平台不生成具体用药方案。</w:t>
      </w:r>
      <w:r>
        <w:rPr>
          <w:b/>
        </w:rPr>
        <w:t xml:space="preserve">农艺建议合规。</w:t>
      </w:r>
    </w:p>
    <w:p>
      <w:pPr>
        <w:pStyle w:val="Body"/>
        <w:jc w:val="both"/>
        <w:spacing w:before="0" w:after="80" w:line="320" w:lineRule="auto"/>
      </w:pPr>
      <w:r>
        <w:t xml:space="preserve">农技知识具有时效性，平台为每条知识标注发布日期，对超过有效期的内容降权，并在答案中显示依据的发布时间，使使用者能够判断结论的新旧程度。</w:t>
      </w:r>
      <w:r>
        <w:rPr>
          <w:b/>
        </w:rPr>
        <w:t xml:space="preserve">知识时效风险。</w:t>
      </w:r>
    </w:p>
    <w:p>
      <w:pPr>
        <w:pStyle w:val="Body"/>
        <w:jc w:val="both"/>
        <w:spacing w:before="0" w:after="80" w:line="320" w:lineRule="auto"/>
      </w:pPr>
      <w:r>
        <w:t xml:space="preserve">所有数据集与知识条目登记来源与授权信息，内部材料与研发文档不进入对外知识库，系统演示与截图不包含团队身份与单位信息。</w:t>
      </w:r>
      <w:r>
        <w:rPr>
          <w:b/>
        </w:rPr>
        <w:t xml:space="preserve">数据合规风险。</w:t>
      </w:r>
    </w:p>
    <w:p>
      <w:pPr>
        <w:pStyle w:val="Body"/>
        <w:jc w:val="both"/>
        <w:spacing w:before="0" w:after="80" w:line="320" w:lineRule="auto"/>
      </w:pPr>
      <w:r>
        <w:t xml:space="preserve">服务端启用请求频率限制与安全响应头，敏感配置通过环境变量管理，模型与知识库变更记录版本，便于回溯与复核。</w:t>
      </w:r>
      <w:r>
        <w:rPr>
          <w:b/>
        </w:rPr>
        <w:t xml:space="preserve">系统安全。</w:t>
      </w:r>
    </w:p>
    <w:p>
      <w:pPr>
        <w:pStyle w:val="Heading1"/>
        <w:pageBreakBefore/>
        <w:jc w:val="left"/>
        <w:spacing w:before="0" w:after="100" w:line="320" w:lineRule="auto"/>
      </w:pPr>
      <w:r>
        <w:t xml:space="preserve">十、参考文献</w:t>
      </w:r>
    </w:p>
    <w:p>
      <w:pPr>
        <w:pStyle w:val="Body"/>
        <w:jc w:val="both"/>
        <w:spacing w:before="0" w:after="40" w:line="320" w:lineRule="auto"/>
      </w:pPr>
      <w:r>
        <w:t xml:space="preserve">[1] IPCC. Climate Change 2022: Impacts, Adaptation and Vulnerability[R]. Cambridge University Press, 2022.</w:t>
      </w:r>
    </w:p>
    <w:p>
      <w:pPr>
        <w:pStyle w:val="Body"/>
        <w:jc w:val="both"/>
        <w:spacing w:before="0" w:after="40" w:line="320" w:lineRule="auto"/>
      </w:pPr>
      <w:r>
        <w:t xml:space="preserve">[2] CHEN T, GUESTRIN C. XGBoost: A Scalable Tree Boosting System[C]//Proceedings of the 22nd ACM SIGKDD International Conference on Knowledge Discovery and Data Mining, 2016: 785-794.</w:t>
      </w:r>
    </w:p>
    <w:p>
      <w:pPr>
        <w:pStyle w:val="Body"/>
        <w:jc w:val="both"/>
        <w:spacing w:before="0" w:after="40" w:line="320" w:lineRule="auto"/>
      </w:pPr>
      <w:r>
        <w:t xml:space="preserve">[3] LUNDBERG S M, LEE S I. A Unified Approach to Interpreting Model Predictions[C]//Advances in Neural Information Processing Systems, 2017, 30: 4765-4774.</w:t>
      </w:r>
    </w:p>
    <w:p>
      <w:pPr>
        <w:pStyle w:val="Body"/>
        <w:jc w:val="both"/>
        <w:spacing w:before="0" w:after="40" w:line="320" w:lineRule="auto"/>
      </w:pPr>
      <w:r>
        <w:t xml:space="preserve">[4] HOCHREITER S, SCHMIDHUBER J. Long Short-term Memory[J]. Neural Computation, 1997, 9(8): 1735-1780.</w:t>
      </w:r>
    </w:p>
    <w:p>
      <w:pPr>
        <w:pStyle w:val="Body"/>
        <w:jc w:val="both"/>
        <w:spacing w:before="0" w:after="40" w:line="320" w:lineRule="auto"/>
      </w:pPr>
      <w:r>
        <w:t xml:space="preserve">[5] LEWIS P, PEREZ E, PIKTUS A, et al. Retrieval-Augmented Generation for Knowledge-Intensive NLP Tasks[C]//Advances in Neural Information Processing Systems, 2020, 33: 9459-9474.</w:t>
      </w:r>
    </w:p>
    <w:p>
      <w:pPr>
        <w:pStyle w:val="Body"/>
        <w:jc w:val="both"/>
        <w:spacing w:before="0" w:after="40" w:line="320" w:lineRule="auto"/>
      </w:pPr>
      <w:r>
        <w:t xml:space="preserve">[6] EDGE D, TRINH H, CHENG N, et al. From Local to Global: A Graph RAG Approach to Query-Focused Summarization[EB/OL]. arXiv:2404.16130, 2024.</w:t>
      </w:r>
    </w:p>
    <w:p>
      <w:pPr>
        <w:pStyle w:val="Body"/>
        <w:jc w:val="both"/>
        <w:spacing w:before="0" w:after="40" w:line="320" w:lineRule="auto"/>
      </w:pPr>
      <w:r>
        <w:t xml:space="preserve">[7] YAO S, ZHAO J, YU D, et al. ReAct: Synergizing Reasoning and Acting in Language Models[C]//International Conference on Learning Representations, 2023.</w:t>
      </w:r>
    </w:p>
    <w:p>
      <w:pPr>
        <w:pStyle w:val="Body"/>
        <w:jc w:val="both"/>
        <w:spacing w:before="0" w:after="40" w:line="320" w:lineRule="auto"/>
      </w:pPr>
      <w:r>
        <w:t xml:space="preserve">[8] 刘彦随, 刘玉, 郭丽英. 气候变化对中国农业生产的影响及应对策略[J]. 中国生态农业学报, 2010, 18(4): 905-910.</w:t>
      </w:r>
    </w:p>
    <w:p>
      <w:pPr>
        <w:pStyle w:val="Body"/>
        <w:jc w:val="both"/>
        <w:spacing w:before="0" w:after="40" w:line="320" w:lineRule="auto"/>
      </w:pPr>
      <w:r>
        <w:t xml:space="preserve">[9] 范振楠, 覃朝晖, 余思明. 极端气温对粮食生产韧性的影响效应研究[J]. 中国生态农业学报(中英文), 2024, 32(5): 896-910.</w:t>
      </w:r>
    </w:p>
    <w:p>
      <w:pPr>
        <w:pStyle w:val="Body"/>
        <w:jc w:val="both"/>
        <w:spacing w:before="0" w:after="40" w:line="320" w:lineRule="auto"/>
      </w:pPr>
      <w:r>
        <w:t xml:space="preserve">[10] 黄睿茜. 基于 LSTM 模型的黄淮海冬小麦春季低温灾害监测预测与风险评估[D]. 中国气象科学研究院, 2025.</w:t>
      </w:r>
    </w:p>
    <w:p>
      <w:pPr>
        <w:pStyle w:val="Body"/>
        <w:jc w:val="both"/>
        <w:spacing w:before="0" w:after="40" w:line="320" w:lineRule="auto"/>
      </w:pPr>
      <w:r>
        <w:t xml:space="preserve">[11] 李嘉乐. 基于深度学习的大豆遥感估产及其归因分析[D]. 浙江大学, 2024.</w:t>
      </w:r>
    </w:p>
    <w:p>
      <w:pPr>
        <w:pStyle w:val="Body"/>
        <w:jc w:val="both"/>
        <w:spacing w:before="0" w:after="40" w:line="320" w:lineRule="auto"/>
      </w:pPr>
      <w:r>
        <w:t xml:space="preserve">[12] 田蓬鹏. 气候变化、农田水利供给对粮食产出的影响研究——以黄河流域为例[D]. 西北农林科技大学, 2025.</w:t>
      </w:r>
    </w:p>
    <w:p>
      <w:pPr>
        <w:pStyle w:val="Heading1"/>
        <w:pageBreakBefore/>
        <w:jc w:val="left"/>
        <w:spacing w:before="0" w:after="100" w:line="320" w:lineRule="auto"/>
      </w:pPr>
      <w:r>
        <w:t xml:space="preserve">附录　核心接口清单</w:t>
      </w:r>
    </w:p>
    <w:p>
      <w:pPr>
        <w:pStyle w:val="Body"/>
        <w:jc w:val="both"/>
        <w:spacing w:before="0" w:after="80" w:line="320" w:lineRule="auto"/>
      </w:pPr>
      <w:r>
        <w:t xml:space="preserve">平台后端以统一响应结构对外提供服务，主要接口如表 9。接口采用版本化路径管理，便于后续扩展与兼容。</w:t>
      </w:r>
    </w:p>
    <w:p>
      <w:pPr>
        <w:pStyle w:val="Caption"/>
        <w:jc w:val="center"/>
        <w:spacing w:before="0" w:after="60" w:line="320" w:lineRule="auto"/>
      </w:pPr>
      <w:r>
        <w:rPr>
          <w:sz w:val="18"/>
          <w:szCs w:val="18"/>
        </w:rPr>
        <w:t xml:space="preserve">表 9　核心接口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200"/>
        <w:gridCol w:w="1317"/>
        <w:gridCol w:w="4894"/>
      </w:tblGrid>
      <w:tr>
        <w:trPr>
          <w:tblHeader/>
        </w:trPr>
        <w:tc>
          <w:tcPr>
            <w:tcW w:w="3200" w:type="dxa"/>
            <w:shd w:val="clear" w:color="auto" w:fill="1F3864"/>
            <w:vAlign w:val="center"/>
          </w:tcPr>
          <w:p>
            <w:pPr>
              <w:jc w:val="center"/>
              <w:spacing w:before="30" w:after="30" w:line="280" w:lineRule="auto"/>
              <w:rPr>
                <w:sz w:val="18"/>
              </w:rPr>
            </w:pPr>
            <w:r>
              <w:rPr>
                <w:color w:val="FFFFFF"/>
                <w:b/>
              </w:rPr>
              <w:t xml:space="preserve">接口</w:t>
            </w:r>
          </w:p>
        </w:tc>
        <w:tc>
          <w:tcPr>
            <w:tcW w:w="1317" w:type="dxa"/>
            <w:shd w:val="clear" w:color="auto" w:fill="1F3864"/>
            <w:vAlign w:val="center"/>
          </w:tcPr>
          <w:p>
            <w:pPr>
              <w:jc w:val="center"/>
              <w:spacing w:before="30" w:after="30" w:line="280" w:lineRule="auto"/>
              <w:rPr>
                <w:sz w:val="18"/>
              </w:rPr>
            </w:pPr>
            <w:r>
              <w:rPr>
                <w:color w:val="FFFFFF"/>
                <w:b/>
              </w:rPr>
              <w:t xml:space="preserve">方法</w:t>
            </w:r>
          </w:p>
        </w:tc>
        <w:tc>
          <w:tcPr>
            <w:tcW w:w="4894" w:type="dxa"/>
            <w:shd w:val="clear" w:color="auto" w:fill="1F3864"/>
            <w:vAlign w:val="center"/>
          </w:tcPr>
          <w:p>
            <w:pPr>
              <w:jc w:val="center"/>
              <w:spacing w:before="30" w:after="30" w:line="280" w:lineRule="auto"/>
              <w:rPr>
                <w:sz w:val="18"/>
              </w:rPr>
            </w:pPr>
            <w:r>
              <w:rPr>
                <w:color w:val="FFFFFF"/>
                <w:b/>
              </w:rPr>
              <w:t xml:space="preserve">功能</w:t>
            </w:r>
          </w:p>
        </w:tc>
      </w:tr>
      <w:tr>
        <w:tc>
          <w:tcPr>
            <w:tcW w:w="3200" w:type="dxa"/>
            <w:shd w:val="clear" w:color="auto" w:fill="F5F7FA"/>
            <w:vAlign w:val="center"/>
          </w:tcPr>
          <w:p>
            <w:pPr>
              <w:jc w:val="both"/>
              <w:spacing w:before="30" w:after="30" w:line="280" w:lineRule="auto"/>
              <w:rPr>
                <w:sz w:val="18"/>
              </w:rPr>
            </w:pPr>
            <w:r>
              <w:t xml:space="preserve">/api/predict</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产量风险推理，返回风险值、因子贡献度与措施建议</w:t>
            </w:r>
          </w:p>
        </w:tc>
      </w:tr>
      <w:tr>
        <w:tc>
          <w:tcPr>
            <w:tcW w:w="3200" w:type="dxa"/>
            <w:shd w:val="clear" w:color="auto" w:fill="FFFFFF"/>
            <w:vAlign w:val="center"/>
          </w:tcPr>
          <w:p>
            <w:pPr>
              <w:jc w:val="both"/>
              <w:spacing w:before="30" w:after="30" w:line="280" w:lineRule="auto"/>
              <w:rPr>
                <w:sz w:val="18"/>
              </w:rPr>
            </w:pPr>
            <w:r>
              <w:t xml:space="preserve">/api/provinces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按年份返回各省风险面板数据</w:t>
            </w:r>
          </w:p>
        </w:tc>
      </w:tr>
      <w:tr>
        <w:tc>
          <w:tcPr>
            <w:tcW w:w="3200" w:type="dxa"/>
            <w:shd w:val="clear" w:color="auto" w:fill="F5F7FA"/>
            <w:vAlign w:val="center"/>
          </w:tcPr>
          <w:p>
            <w:pPr>
              <w:jc w:val="both"/>
              <w:spacing w:before="30" w:after="30" w:line="280" w:lineRule="auto"/>
              <w:rPr>
                <w:sz w:val="18"/>
              </w:rPr>
            </w:pPr>
            <w:r>
              <w:t xml:space="preserve">/api/provinces/&lt;省&gt;/history</w:t>
            </w:r>
          </w:p>
        </w:tc>
        <w:tc>
          <w:tcPr>
            <w:tcW w:w="1317" w:type="dxa"/>
            <w:shd w:val="clear" w:color="auto" w:fill="F5F7FA"/>
            <w:vAlign w:val="center"/>
          </w:tcPr>
          <w:p>
            <w:pPr>
              <w:jc w:val="center"/>
              <w:spacing w:before="30" w:after="30" w:line="280" w:lineRule="auto"/>
              <w:rPr>
                <w:sz w:val="18"/>
              </w:rPr>
            </w:pPr>
            <w:r>
              <w:t xml:space="preserve">GET</w:t>
            </w:r>
          </w:p>
        </w:tc>
        <w:tc>
          <w:tcPr>
            <w:tcW w:w="4894" w:type="dxa"/>
            <w:shd w:val="clear" w:color="auto" w:fill="F5F7FA"/>
            <w:vAlign w:val="center"/>
          </w:tcPr>
          <w:p>
            <w:pPr>
              <w:jc w:val="both"/>
              <w:spacing w:before="30" w:after="30" w:line="280" w:lineRule="auto"/>
              <w:rPr>
                <w:sz w:val="18"/>
              </w:rPr>
            </w:pPr>
            <w:r>
              <w:t xml:space="preserve">返回指定省份的风险时间序列</w:t>
            </w:r>
          </w:p>
        </w:tc>
      </w:tr>
      <w:tr>
        <w:tc>
          <w:tcPr>
            <w:tcW w:w="3200" w:type="dxa"/>
            <w:shd w:val="clear" w:color="auto" w:fill="FFFFFF"/>
            <w:vAlign w:val="center"/>
          </w:tcPr>
          <w:p>
            <w:pPr>
              <w:jc w:val="both"/>
              <w:spacing w:before="30" w:after="30" w:line="280" w:lineRule="auto"/>
              <w:rPr>
                <w:sz w:val="18"/>
              </w:rPr>
            </w:pPr>
            <w:r>
              <w:t xml:space="preserve">/api/shap/subset</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返回指定样本集合的因子贡献度子集</w:t>
            </w:r>
          </w:p>
        </w:tc>
      </w:tr>
      <w:tr>
        <w:tc>
          <w:tcPr>
            <w:tcW w:w="3200" w:type="dxa"/>
            <w:shd w:val="clear" w:color="auto" w:fill="F5F7FA"/>
            <w:vAlign w:val="center"/>
          </w:tcPr>
          <w:p>
            <w:pPr>
              <w:jc w:val="both"/>
              <w:spacing w:before="30" w:after="30" w:line="280" w:lineRule="auto"/>
              <w:rPr>
                <w:sz w:val="18"/>
              </w:rPr>
            </w:pPr>
            <w:r>
              <w:t xml:space="preserve">/api/rag/query</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知识库混合检索问答，返回答案与引用来源</w:t>
            </w:r>
          </w:p>
        </w:tc>
      </w:tr>
      <w:tr>
        <w:tc>
          <w:tcPr>
            <w:tcW w:w="3200" w:type="dxa"/>
            <w:shd w:val="clear" w:color="auto" w:fill="FFFFFF"/>
            <w:vAlign w:val="center"/>
          </w:tcPr>
          <w:p>
            <w:pPr>
              <w:jc w:val="both"/>
              <w:spacing w:before="30" w:after="30" w:line="280" w:lineRule="auto"/>
              <w:rPr>
                <w:sz w:val="18"/>
              </w:rPr>
            </w:pPr>
            <w:r>
              <w:t xml:space="preserve">/api/rag/status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返回向量库统计与索引状态</w:t>
            </w:r>
          </w:p>
        </w:tc>
      </w:tr>
      <w:tr>
        <w:tc>
          <w:tcPr>
            <w:tcW w:w="3200" w:type="dxa"/>
            <w:shd w:val="clear" w:color="auto" w:fill="F5F7FA"/>
            <w:vAlign w:val="center"/>
          </w:tcPr>
          <w:p>
            <w:pPr>
              <w:jc w:val="both"/>
              <w:spacing w:before="30" w:after="30" w:line="280" w:lineRule="auto"/>
              <w:rPr>
                <w:sz w:val="18"/>
              </w:rPr>
            </w:pPr>
            <w:r>
              <w:t xml:space="preserve">/api/graph/query</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图谱增强问答，按问题类型路由检索模式</w:t>
            </w:r>
          </w:p>
        </w:tc>
      </w:tr>
      <w:tr>
        <w:tc>
          <w:tcPr>
            <w:tcW w:w="3200" w:type="dxa"/>
            <w:shd w:val="clear" w:color="auto" w:fill="FFFFFF"/>
            <w:vAlign w:val="center"/>
          </w:tcPr>
          <w:p>
            <w:pPr>
              <w:jc w:val="both"/>
              <w:spacing w:before="30" w:after="30" w:line="280" w:lineRule="auto"/>
              <w:rPr>
                <w:sz w:val="18"/>
              </w:rPr>
            </w:pPr>
            <w:r>
              <w:t xml:space="preserve">/api/graph/status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返回图谱规模与构建状态</w:t>
            </w:r>
          </w:p>
        </w:tc>
      </w:tr>
      <w:tr>
        <w:tc>
          <w:tcPr>
            <w:tcW w:w="3200" w:type="dxa"/>
            <w:shd w:val="clear" w:color="auto" w:fill="F5F7FA"/>
            <w:vAlign w:val="center"/>
          </w:tcPr>
          <w:p>
            <w:pPr>
              <w:jc w:val="both"/>
              <w:spacing w:before="30" w:after="30" w:line="280" w:lineRule="auto"/>
              <w:rPr>
                <w:sz w:val="18"/>
              </w:rPr>
            </w:pPr>
            <w:r>
              <w:t xml:space="preserve">/api/health</w:t>
            </w:r>
          </w:p>
        </w:tc>
        <w:tc>
          <w:tcPr>
            <w:tcW w:w="1317" w:type="dxa"/>
            <w:shd w:val="clear" w:color="auto" w:fill="F5F7FA"/>
            <w:vAlign w:val="center"/>
          </w:tcPr>
          <w:p>
            <w:pPr>
              <w:jc w:val="center"/>
              <w:spacing w:before="30" w:after="30" w:line="280" w:lineRule="auto"/>
              <w:rPr>
                <w:sz w:val="18"/>
              </w:rPr>
            </w:pPr>
            <w:r>
              <w:t xml:space="preserve">GET</w:t>
            </w:r>
          </w:p>
        </w:tc>
        <w:tc>
          <w:tcPr>
            <w:tcW w:w="4894" w:type="dxa"/>
            <w:shd w:val="clear" w:color="auto" w:fill="F5F7FA"/>
            <w:vAlign w:val="center"/>
          </w:tcPr>
          <w:p>
            <w:pPr>
              <w:jc w:val="both"/>
              <w:spacing w:before="30" w:after="30" w:line="280" w:lineRule="auto"/>
              <w:rPr>
                <w:sz w:val="18"/>
              </w:rPr>
            </w:pPr>
            <w:r>
              <w:t xml:space="preserve">服务健康检查</w:t>
            </w:r>
          </w:p>
        </w:tc>
      </w:tr>
    </w:tbl>
    <w:p>
      <w:pPr>
        <w:pStyle w:val="Body"/>
        <w:jc w:val="left"/>
        <w:spacing w:before="0" w:after="40" w:line="320" w:lineRule="auto"/>
      </w:pPr>
    </w:p>
    <w:sectPr>
      <w:pgSz w:w="11906" w:h="16838"/>
      <w:pgMar w:top="1247" w:right="1247" w:bottom="1134" w:left="1247"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spacing w:line="320" w:lineRule="auto"/>
      </w:pPr>
    </w:pPrDefault>
  </w:docDefaults>
  <w:style w:type="paragraph" w:styleId="Title">
    <w:name w:val="标题"/>
    <w:basedOn w:val="Normal"/>
    <w:qFormat/>
    <w:pPr>
      <w:jc w:val="center"/>
      <w:spacing w:before="0" w:after="200" w:line="320" w:lineRule="auto"/>
    </w:pPr>
    <w:rPr>
      <w:rFonts w:ascii="微软雅黑" w:hAnsi="微软雅黑" w:eastAsia="微软雅黑"/>
      <w:b/>
      <w:sz w:val="44"/>
      <w:szCs w:val="44"/>
    </w:rPr>
  </w:style>
  <w:style w:type="paragraph" w:styleId="Heading1">
    <w:name w:val="标题 1"/>
    <w:basedOn w:val="Normal"/>
    <w:qFormat/>
    <w:pPr>
      <w:jc w:val="both"/>
      <w:spacing w:before="240" w:after="140" w:line="320" w:lineRule="auto"/>
    </w:pPr>
    <w:rPr>
      <w:rFonts w:ascii="微软雅黑" w:hAnsi="微软雅黑" w:eastAsia="微软雅黑"/>
      <w:b/>
      <w:sz w:val="30"/>
      <w:szCs w:val="30"/>
    </w:rPr>
  </w:style>
  <w:style w:type="paragraph" w:styleId="Heading2">
    <w:name w:val="标题 2"/>
    <w:basedOn w:val="Normal"/>
    <w:qFormat/>
    <w:pPr>
      <w:jc w:val="both"/>
      <w:spacing w:before="200" w:after="100" w:line="320" w:lineRule="auto"/>
    </w:pPr>
    <w:rPr>
      <w:rFonts w:ascii="微软雅黑" w:hAnsi="微软雅黑" w:eastAsia="微软雅黑"/>
      <w:b/>
      <w:sz w:val="24"/>
      <w:szCs w:val="24"/>
    </w:rPr>
  </w:style>
  <w:style w:type="paragraph" w:styleId="Heading3">
    <w:name w:val="标题 3"/>
    <w:basedOn w:val="Normal"/>
    <w:qFormat/>
    <w:pPr>
      <w:jc w:val="both"/>
      <w:spacing w:before="160" w:after="90" w:line="320" w:lineRule="auto"/>
    </w:pPr>
    <w:rPr>
      <w:rFonts w:ascii="微软雅黑" w:hAnsi="微软雅黑" w:eastAsia="微软雅黑"/>
      <w:b/>
      <w:sz w:val="22"/>
      <w:szCs w:val="22"/>
    </w:rPr>
  </w:style>
  <w:style w:type="paragraph" w:styleId="Body">
    <w:name w:val="正文"/>
    <w:basedOn w:val="Normal"/>
    <w:qFormat/>
    <w:pPr>
      <w:jc w:val="both"/>
      <w:spacing w:before="0" w:after="90" w:line="320" w:lineRule="auto"/>
    </w:pPr>
    <w:rPr>
      <w:rFonts w:ascii="宋体" w:hAnsi="宋体" w:eastAsia="宋体"/>
      <w:sz w:val="21"/>
      <w:szCs w:val="21"/>
    </w:rPr>
  </w:style>
  <w:style w:type="paragraph" w:styleId="Caption">
    <w:name w:val="图注"/>
    <w:basedOn w:val="Normal"/>
    <w:qFormat/>
    <w:pPr>
      <w:jc w:val="center"/>
      <w:spacing w:before="40" w:after="120" w:line="320" w:lineRule="auto"/>
    </w:pPr>
    <w:rPr>
      <w:rFonts w:ascii="微软雅黑" w:hAnsi="微软雅黑" w:eastAsia="微软雅黑"/>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禾衡·农业智能体决策服务平台</dc:title>
  <dc:creator/>
  <cp:lastModifiedBy/>
</cp:coreProperties>
</file>