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7D4ACE" w14:textId="77777777" w:rsidR="004B3261" w:rsidRDefault="00000000">
      <w:pPr>
        <w:spacing w:line="360" w:lineRule="auto"/>
        <w:jc w:val="center"/>
        <w:rPr>
          <w:b/>
          <w:bCs/>
          <w:sz w:val="60"/>
        </w:rPr>
      </w:pPr>
      <w:r>
        <w:rPr>
          <w:rFonts w:hint="eastAsia"/>
          <w:b/>
          <w:bCs/>
          <w:sz w:val="60"/>
        </w:rPr>
        <w:t>论文题目：</w:t>
      </w:r>
    </w:p>
    <w:p w14:paraId="19AB8FBD" w14:textId="77777777" w:rsidR="004B3261" w:rsidRDefault="00000000">
      <w:pPr>
        <w:spacing w:line="360" w:lineRule="auto"/>
        <w:jc w:val="center"/>
        <w:rPr>
          <w:rFonts w:ascii="黑体" w:eastAsia="黑体" w:hAnsi="黑体"/>
          <w:b/>
          <w:bCs/>
          <w:sz w:val="44"/>
          <w:szCs w:val="44"/>
        </w:rPr>
      </w:pPr>
      <w:r>
        <w:rPr>
          <w:rFonts w:ascii="黑体" w:eastAsia="黑体" w:hAnsi="黑体" w:hint="eastAsia"/>
          <w:b/>
          <w:bCs/>
          <w:sz w:val="44"/>
          <w:szCs w:val="44"/>
        </w:rPr>
        <w:t>极端气候下我国粮食生产风险的核心因子识别与韧性提升研究</w:t>
      </w:r>
    </w:p>
    <w:p w14:paraId="65B60366" w14:textId="77777777" w:rsidR="004B3261" w:rsidRDefault="00000000">
      <w:pPr>
        <w:jc w:val="center"/>
        <w:rPr>
          <w:rFonts w:ascii="宋体" w:eastAsia="宋体" w:hAnsi="宋体"/>
          <w:sz w:val="30"/>
          <w:szCs w:val="30"/>
        </w:rPr>
      </w:pPr>
      <w:r>
        <w:rPr>
          <w:rFonts w:ascii="宋体" w:eastAsia="宋体" w:hAnsi="宋体" w:hint="eastAsia"/>
          <w:sz w:val="30"/>
          <w:szCs w:val="30"/>
        </w:rPr>
        <w:t>——基于XGBoost-SHAP与深度学习的双重验证</w:t>
      </w:r>
    </w:p>
    <w:p w14:paraId="12AD53AC" w14:textId="77777777" w:rsidR="004B3261" w:rsidRDefault="004B3261">
      <w:pPr>
        <w:spacing w:line="600" w:lineRule="auto"/>
        <w:jc w:val="right"/>
        <w:rPr>
          <w:rFonts w:ascii="Calibri" w:hAnsi="Calibri" w:cs="Calibri"/>
          <w:sz w:val="36"/>
          <w:szCs w:val="36"/>
        </w:rPr>
      </w:pPr>
    </w:p>
    <w:p w14:paraId="1E6FAB61" w14:textId="77777777" w:rsidR="004B3261" w:rsidRDefault="004B3261">
      <w:pPr>
        <w:spacing w:line="600" w:lineRule="auto"/>
        <w:jc w:val="right"/>
        <w:rPr>
          <w:rFonts w:ascii="Calibri" w:hAnsi="Calibri" w:cs="Calibri"/>
          <w:sz w:val="36"/>
          <w:szCs w:val="36"/>
        </w:rPr>
      </w:pPr>
    </w:p>
    <w:p w14:paraId="3D0E5D10" w14:textId="77777777" w:rsidR="004B3261" w:rsidRDefault="004B3261">
      <w:pPr>
        <w:spacing w:line="600" w:lineRule="auto"/>
        <w:jc w:val="right"/>
        <w:rPr>
          <w:rFonts w:ascii="Calibri" w:hAnsi="Calibri" w:cs="Calibri"/>
          <w:sz w:val="36"/>
          <w:szCs w:val="36"/>
        </w:rPr>
      </w:pPr>
    </w:p>
    <w:p w14:paraId="6B150AD2" w14:textId="77777777" w:rsidR="004B3261" w:rsidRDefault="00000000">
      <w:pPr>
        <w:spacing w:line="600" w:lineRule="auto"/>
        <w:ind w:firstLineChars="800" w:firstLine="2240"/>
        <w:rPr>
          <w:rFonts w:ascii="Calibri" w:eastAsia="宋体" w:hAnsi="Calibri" w:cs="Calibri"/>
          <w:sz w:val="28"/>
          <w:szCs w:val="28"/>
        </w:rPr>
      </w:pPr>
      <w:r>
        <w:rPr>
          <w:rFonts w:ascii="Calibri" w:hAnsi="Calibri" w:cs="Calibri"/>
          <w:sz w:val="28"/>
          <w:szCs w:val="28"/>
        </w:rPr>
        <w:t>学</w:t>
      </w:r>
      <w:r>
        <w:rPr>
          <w:rFonts w:ascii="Calibri" w:hAnsi="Calibri" w:cs="Calibri"/>
          <w:sz w:val="28"/>
          <w:szCs w:val="28"/>
        </w:rPr>
        <w:t xml:space="preserve">    </w:t>
      </w:r>
      <w:r>
        <w:rPr>
          <w:rFonts w:ascii="Calibri" w:hAnsi="Calibri" w:cs="Calibri"/>
          <w:sz w:val="28"/>
          <w:szCs w:val="28"/>
        </w:rPr>
        <w:t>校：</w:t>
      </w:r>
      <w:r>
        <w:rPr>
          <w:rFonts w:ascii="Calibri" w:hAnsi="Calibri" w:cs="Calibri" w:hint="eastAsia"/>
          <w:sz w:val="28"/>
          <w:szCs w:val="28"/>
        </w:rPr>
        <w:t>山西农业大学</w:t>
      </w:r>
    </w:p>
    <w:p w14:paraId="214D1C97" w14:textId="77777777" w:rsidR="004B3261" w:rsidRDefault="00000000">
      <w:pPr>
        <w:spacing w:line="600" w:lineRule="auto"/>
        <w:ind w:firstLineChars="800" w:firstLine="2240"/>
        <w:rPr>
          <w:rFonts w:ascii="Calibri" w:hAnsi="Calibri" w:cs="Calibri"/>
          <w:sz w:val="28"/>
          <w:szCs w:val="28"/>
        </w:rPr>
      </w:pPr>
      <w:r>
        <w:rPr>
          <w:rFonts w:ascii="Calibri" w:hAnsi="Calibri" w:cs="Calibri"/>
          <w:sz w:val="28"/>
          <w:szCs w:val="28"/>
        </w:rPr>
        <w:t>学</w:t>
      </w:r>
      <w:r>
        <w:rPr>
          <w:rFonts w:ascii="Calibri" w:hAnsi="Calibri" w:cs="Calibri"/>
          <w:sz w:val="28"/>
          <w:szCs w:val="28"/>
        </w:rPr>
        <w:t xml:space="preserve">    </w:t>
      </w:r>
      <w:r>
        <w:rPr>
          <w:rFonts w:ascii="Calibri" w:hAnsi="Calibri" w:cs="Calibri"/>
          <w:sz w:val="28"/>
          <w:szCs w:val="28"/>
        </w:rPr>
        <w:t>院：</w:t>
      </w:r>
      <w:r>
        <w:rPr>
          <w:rFonts w:ascii="Calibri" w:hAnsi="Calibri" w:cs="Calibri" w:hint="eastAsia"/>
          <w:sz w:val="28"/>
          <w:szCs w:val="28"/>
        </w:rPr>
        <w:t>信息科学与工程学院</w:t>
      </w:r>
    </w:p>
    <w:p w14:paraId="264EA1E7" w14:textId="77777777" w:rsidR="004B3261" w:rsidRDefault="00000000">
      <w:pPr>
        <w:spacing w:line="600" w:lineRule="auto"/>
        <w:ind w:firstLineChars="800" w:firstLine="2240"/>
        <w:rPr>
          <w:rFonts w:ascii="Calibri" w:eastAsia="宋体" w:hAnsi="Calibri" w:cs="Calibri"/>
          <w:sz w:val="28"/>
          <w:szCs w:val="28"/>
        </w:rPr>
      </w:pPr>
      <w:r>
        <w:rPr>
          <w:rFonts w:ascii="Calibri" w:hAnsi="Calibri" w:cs="Calibri"/>
          <w:sz w:val="28"/>
          <w:szCs w:val="28"/>
        </w:rPr>
        <w:t>参赛队员：</w:t>
      </w:r>
      <w:r>
        <w:rPr>
          <w:rFonts w:ascii="Calibri" w:hAnsi="Calibri" w:cs="Calibri" w:hint="eastAsia"/>
          <w:sz w:val="28"/>
          <w:szCs w:val="28"/>
        </w:rPr>
        <w:t>王天硕</w:t>
      </w:r>
      <w:r>
        <w:rPr>
          <w:rFonts w:ascii="Calibri" w:hAnsi="Calibri" w:cs="Calibri" w:hint="eastAsia"/>
          <w:sz w:val="28"/>
          <w:szCs w:val="28"/>
        </w:rPr>
        <w:t xml:space="preserve"> </w:t>
      </w:r>
      <w:r>
        <w:rPr>
          <w:rFonts w:ascii="Calibri" w:hAnsi="Calibri" w:cs="Calibri" w:hint="eastAsia"/>
          <w:sz w:val="28"/>
          <w:szCs w:val="28"/>
        </w:rPr>
        <w:t>张嘉越</w:t>
      </w:r>
      <w:r>
        <w:rPr>
          <w:rFonts w:ascii="Calibri" w:hAnsi="Calibri" w:cs="Calibri" w:hint="eastAsia"/>
          <w:sz w:val="28"/>
          <w:szCs w:val="28"/>
        </w:rPr>
        <w:t xml:space="preserve"> </w:t>
      </w:r>
      <w:r>
        <w:rPr>
          <w:rFonts w:ascii="Calibri" w:hAnsi="Calibri" w:cs="Calibri" w:hint="eastAsia"/>
          <w:sz w:val="28"/>
          <w:szCs w:val="28"/>
        </w:rPr>
        <w:t>张彬杰</w:t>
      </w:r>
    </w:p>
    <w:p w14:paraId="31A5D49D" w14:textId="77777777" w:rsidR="004B3261" w:rsidRDefault="00000000">
      <w:pPr>
        <w:spacing w:line="600" w:lineRule="auto"/>
        <w:ind w:firstLineChars="800" w:firstLine="2240"/>
        <w:rPr>
          <w:rFonts w:ascii="Calibri" w:eastAsia="宋体" w:hAnsi="Calibri" w:cs="Calibri"/>
          <w:sz w:val="28"/>
          <w:szCs w:val="28"/>
        </w:rPr>
      </w:pPr>
      <w:r>
        <w:rPr>
          <w:rFonts w:ascii="Calibri" w:hAnsi="Calibri" w:cs="Calibri"/>
          <w:sz w:val="28"/>
          <w:szCs w:val="28"/>
        </w:rPr>
        <w:t>指导老师：</w:t>
      </w:r>
      <w:r>
        <w:rPr>
          <w:rFonts w:ascii="Calibri" w:hAnsi="Calibri" w:cs="Calibri" w:hint="eastAsia"/>
          <w:sz w:val="28"/>
          <w:szCs w:val="28"/>
        </w:rPr>
        <w:t>徐苗</w:t>
      </w:r>
    </w:p>
    <w:p w14:paraId="41DA5FA1" w14:textId="77777777" w:rsidR="004B3261" w:rsidRDefault="00000000">
      <w:pPr>
        <w:spacing w:line="600" w:lineRule="auto"/>
        <w:ind w:firstLineChars="800" w:firstLine="2240"/>
        <w:rPr>
          <w:rFonts w:ascii="Calibri" w:eastAsia="宋体" w:hAnsi="Calibri" w:cs="Calibri"/>
          <w:sz w:val="28"/>
          <w:szCs w:val="28"/>
        </w:rPr>
      </w:pPr>
      <w:r>
        <w:rPr>
          <w:rFonts w:ascii="Calibri" w:hAnsi="Calibri" w:cs="Calibri"/>
          <w:sz w:val="28"/>
          <w:szCs w:val="28"/>
        </w:rPr>
        <w:t>联系电话：</w:t>
      </w:r>
      <w:r>
        <w:rPr>
          <w:rFonts w:ascii="Calibri" w:hAnsi="Calibri" w:cs="Calibri" w:hint="eastAsia"/>
          <w:sz w:val="28"/>
          <w:szCs w:val="28"/>
        </w:rPr>
        <w:t>17835406536</w:t>
      </w:r>
    </w:p>
    <w:p w14:paraId="71938019" w14:textId="77777777" w:rsidR="004B3261" w:rsidRDefault="004B3261">
      <w:pPr>
        <w:spacing w:line="360" w:lineRule="auto"/>
        <w:rPr>
          <w:b/>
          <w:bCs/>
          <w:sz w:val="28"/>
          <w:szCs w:val="28"/>
        </w:rPr>
      </w:pPr>
    </w:p>
    <w:p w14:paraId="42A62C67" w14:textId="77777777" w:rsidR="004B3261" w:rsidRDefault="004B3261">
      <w:pPr>
        <w:spacing w:line="360" w:lineRule="auto"/>
        <w:rPr>
          <w:b/>
          <w:bCs/>
          <w:sz w:val="36"/>
          <w:szCs w:val="36"/>
        </w:rPr>
      </w:pPr>
    </w:p>
    <w:p w14:paraId="7C0245DA" w14:textId="77777777" w:rsidR="004B3261" w:rsidRDefault="004B3261">
      <w:pPr>
        <w:spacing w:line="360" w:lineRule="auto"/>
        <w:rPr>
          <w:b/>
          <w:bCs/>
          <w:sz w:val="36"/>
          <w:szCs w:val="36"/>
        </w:rPr>
      </w:pPr>
    </w:p>
    <w:p w14:paraId="7E3EC59C" w14:textId="77777777" w:rsidR="004B3261" w:rsidRDefault="00000000">
      <w:pPr>
        <w:spacing w:line="360" w:lineRule="auto"/>
        <w:rPr>
          <w:rFonts w:eastAsia="宋体"/>
          <w:sz w:val="32"/>
        </w:rPr>
      </w:pPr>
      <w:r>
        <w:rPr>
          <w:rFonts w:hint="eastAsia"/>
          <w:b/>
          <w:bCs/>
          <w:sz w:val="32"/>
        </w:rPr>
        <w:t xml:space="preserve">                              </w:t>
      </w:r>
      <w:r>
        <w:rPr>
          <w:rFonts w:hint="eastAsia"/>
          <w:sz w:val="32"/>
        </w:rPr>
        <w:t xml:space="preserve">  2026</w:t>
      </w:r>
      <w:r>
        <w:rPr>
          <w:rFonts w:hint="eastAsia"/>
          <w:sz w:val="32"/>
        </w:rPr>
        <w:t>年</w:t>
      </w:r>
      <w:r>
        <w:rPr>
          <w:rFonts w:hint="eastAsia"/>
          <w:sz w:val="32"/>
        </w:rPr>
        <w:t>4</w:t>
      </w:r>
      <w:r>
        <w:rPr>
          <w:rFonts w:hint="eastAsia"/>
          <w:sz w:val="32"/>
        </w:rPr>
        <w:t>月</w:t>
      </w:r>
      <w:r>
        <w:rPr>
          <w:rFonts w:hint="eastAsia"/>
          <w:sz w:val="32"/>
        </w:rPr>
        <w:t>18</w:t>
      </w:r>
      <w:r>
        <w:rPr>
          <w:rFonts w:hint="eastAsia"/>
          <w:sz w:val="32"/>
        </w:rPr>
        <w:t>日</w:t>
      </w:r>
    </w:p>
    <w:p w14:paraId="492FF6F8" w14:textId="77777777" w:rsidR="004B3261" w:rsidRDefault="004B3261"/>
    <w:p w14:paraId="50226754" w14:textId="77777777" w:rsidR="004B3261" w:rsidRDefault="004B3261"/>
    <w:p w14:paraId="52E2D62F" w14:textId="77777777" w:rsidR="004B3261" w:rsidRDefault="004B3261"/>
    <w:p w14:paraId="633FACA7" w14:textId="77777777" w:rsidR="004B3261" w:rsidRDefault="004B3261"/>
    <w:p w14:paraId="1CCF6BDF" w14:textId="77777777" w:rsidR="004B3261" w:rsidRDefault="004B3261"/>
    <w:p w14:paraId="5C69FE63" w14:textId="77777777" w:rsidR="004B3261" w:rsidRDefault="004B3261"/>
    <w:p w14:paraId="6950F487" w14:textId="77777777" w:rsidR="004B3261" w:rsidRDefault="004B3261"/>
    <w:p w14:paraId="61C1D3B4" w14:textId="77777777" w:rsidR="004B3261" w:rsidRDefault="00000000">
      <w:pPr>
        <w:pStyle w:val="a6"/>
        <w:pageBreakBefore/>
        <w:spacing w:before="156" w:after="156"/>
      </w:pPr>
      <w:r>
        <w:lastRenderedPageBreak/>
        <w:t>极端气候下我国粮食生产风险的核心因子识别与韧性提升研究</w:t>
      </w:r>
    </w:p>
    <w:p w14:paraId="63E39979" w14:textId="77777777" w:rsidR="004B3261" w:rsidRDefault="00000000">
      <w:pPr>
        <w:pStyle w:val="a4"/>
        <w:spacing w:before="156" w:after="156"/>
      </w:pPr>
      <w:r>
        <w:t>——</w:t>
      </w:r>
      <w:r>
        <w:t>基于</w:t>
      </w:r>
      <w:r>
        <w:t>XGBoost-SHAP</w:t>
      </w:r>
      <w:r>
        <w:t>与深度学习的双重验证</w:t>
      </w:r>
    </w:p>
    <w:p w14:paraId="2D83A52E" w14:textId="77777777" w:rsidR="004B3261" w:rsidRDefault="004B3261">
      <w:pPr>
        <w:pStyle w:val="a8"/>
        <w:keepNext/>
        <w:spacing w:before="156" w:after="312"/>
        <w:outlineLvl w:val="9"/>
      </w:pPr>
    </w:p>
    <w:p w14:paraId="2E64909B" w14:textId="77777777" w:rsidR="004B3261" w:rsidRDefault="004B3261">
      <w:pPr>
        <w:pStyle w:val="a8"/>
        <w:keepNext/>
        <w:spacing w:before="156" w:after="312"/>
        <w:jc w:val="both"/>
        <w:outlineLvl w:val="9"/>
      </w:pPr>
    </w:p>
    <w:p w14:paraId="630C5B4E" w14:textId="77777777" w:rsidR="004B3261" w:rsidRDefault="00000000">
      <w:pPr>
        <w:pStyle w:val="a8"/>
        <w:keepNext/>
        <w:spacing w:before="156" w:after="312"/>
        <w:outlineLvl w:val="9"/>
      </w:pPr>
      <w:r>
        <w:rPr>
          <w:rFonts w:hint="eastAsia"/>
        </w:rPr>
        <w:t>摘</w:t>
      </w:r>
      <w:r>
        <w:rPr>
          <w:rFonts w:hint="eastAsia"/>
        </w:rPr>
        <w:t xml:space="preserve">  </w:t>
      </w:r>
      <w:r>
        <w:rPr>
          <w:rFonts w:hint="eastAsia"/>
        </w:rPr>
        <w:t>要</w:t>
      </w:r>
    </w:p>
    <w:p w14:paraId="6C17A6BC" w14:textId="77777777" w:rsidR="004B3261" w:rsidRDefault="00000000">
      <w:pPr>
        <w:ind w:firstLineChars="200" w:firstLine="420"/>
      </w:pPr>
      <w:r>
        <w:rPr>
          <w:rFonts w:hint="eastAsia"/>
        </w:rPr>
        <w:t>在当前全球气候变化的大背景下，极端天气频繁发生以及叠加影响极大地增加了我国粮食生产系统的风险和不稳定性，且具有多因子联动及非线性的特点，而传统的研究对于因子选择、模型阐释等方面均存在着不足之处，本文选取了</w:t>
      </w:r>
      <w:r>
        <w:rPr>
          <w:rFonts w:hint="eastAsia"/>
        </w:rPr>
        <w:t>2011-2023</w:t>
      </w:r>
      <w:r>
        <w:rPr>
          <w:rFonts w:hint="eastAsia"/>
        </w:rPr>
        <w:t>年中国</w:t>
      </w:r>
      <w:r>
        <w:rPr>
          <w:rFonts w:hint="eastAsia"/>
        </w:rPr>
        <w:t>31</w:t>
      </w:r>
      <w:r>
        <w:rPr>
          <w:rFonts w:hint="eastAsia"/>
        </w:rPr>
        <w:t>个省份相关指标的面板数据，首次提出</w:t>
      </w:r>
      <w:r>
        <w:rPr>
          <w:rFonts w:hint="eastAsia"/>
        </w:rPr>
        <w:t>XGboost-SHAP</w:t>
      </w:r>
      <w:r>
        <w:rPr>
          <w:rFonts w:hint="eastAsia"/>
        </w:rPr>
        <w:t>以及</w:t>
      </w:r>
      <w:r>
        <w:rPr>
          <w:rFonts w:hint="eastAsia"/>
        </w:rPr>
        <w:t>LSTM</w:t>
      </w:r>
      <w:r>
        <w:rPr>
          <w:rFonts w:hint="eastAsia"/>
        </w:rPr>
        <w:t>双重验证相结合的双层闭环的研究思路，对粮食单产风险进行建模和检验。</w:t>
      </w:r>
    </w:p>
    <w:p w14:paraId="62646D9C" w14:textId="77777777" w:rsidR="004B3261" w:rsidRDefault="00000000">
      <w:pPr>
        <w:ind w:firstLineChars="200" w:firstLine="420"/>
      </w:pPr>
      <w:r>
        <w:rPr>
          <w:rFonts w:hint="eastAsia"/>
        </w:rPr>
        <w:t>第一，利用</w:t>
      </w:r>
      <w:r>
        <w:rPr>
          <w:rFonts w:hint="eastAsia"/>
        </w:rPr>
        <w:t>XGboost</w:t>
      </w:r>
      <w:r>
        <w:rPr>
          <w:rFonts w:hint="eastAsia"/>
        </w:rPr>
        <w:t>模型建立气候及生产要素对于粮食单产风险的非线性映射关系，并且用</w:t>
      </w:r>
      <w:r>
        <w:rPr>
          <w:rFonts w:hint="eastAsia"/>
        </w:rPr>
        <w:t>SHAP</w:t>
      </w:r>
      <w:r>
        <w:rPr>
          <w:rFonts w:hint="eastAsia"/>
        </w:rPr>
        <w:t>方法进行特征贡献率分解和交互效应分析；第二，建立</w:t>
      </w:r>
      <w:r>
        <w:rPr>
          <w:rFonts w:hint="eastAsia"/>
        </w:rPr>
        <w:t>LSTM</w:t>
      </w:r>
      <w:r>
        <w:rPr>
          <w:rFonts w:hint="eastAsia"/>
        </w:rPr>
        <w:t>模型来拟合风险时序变化情况，从而进行稳健性检验。从实证结果来看，</w:t>
      </w:r>
      <w:r>
        <w:rPr>
          <w:rFonts w:hint="eastAsia"/>
        </w:rPr>
        <w:t>XGboost</w:t>
      </w:r>
      <w:r>
        <w:rPr>
          <w:rFonts w:hint="eastAsia"/>
        </w:rPr>
        <w:t>模型</w:t>
      </w:r>
      <w:r>
        <w:rPr>
          <w:rFonts w:hint="eastAsia"/>
        </w:rPr>
        <w:t>R</w:t>
      </w:r>
      <w:r>
        <w:rPr>
          <w:rFonts w:hint="eastAsia"/>
          <w:vertAlign w:val="superscript"/>
        </w:rPr>
        <w:t>2</w:t>
      </w:r>
      <w:r>
        <w:rPr>
          <w:rFonts w:hint="eastAsia"/>
        </w:rPr>
        <w:t>为</w:t>
      </w:r>
      <w:r>
        <w:rPr>
          <w:rFonts w:hint="eastAsia"/>
        </w:rPr>
        <w:t>0.6293</w:t>
      </w:r>
      <w:r>
        <w:rPr>
          <w:rFonts w:hint="eastAsia"/>
        </w:rPr>
        <w:t>、</w:t>
      </w:r>
      <w:r>
        <w:rPr>
          <w:rFonts w:hint="eastAsia"/>
        </w:rPr>
        <w:t>RMSE</w:t>
      </w:r>
      <w:r>
        <w:rPr>
          <w:rFonts w:hint="eastAsia"/>
        </w:rPr>
        <w:t>为</w:t>
      </w:r>
      <w:r>
        <w:rPr>
          <w:rFonts w:hint="eastAsia"/>
        </w:rPr>
        <w:t>0.0051</w:t>
      </w:r>
      <w:r>
        <w:rPr>
          <w:rFonts w:hint="eastAsia"/>
        </w:rPr>
        <w:t>，</w:t>
      </w:r>
      <w:r>
        <w:rPr>
          <w:rFonts w:hint="eastAsia"/>
        </w:rPr>
        <w:t>LSTM</w:t>
      </w:r>
      <w:r>
        <w:rPr>
          <w:rFonts w:hint="eastAsia"/>
        </w:rPr>
        <w:t>模型</w:t>
      </w:r>
      <w:r>
        <w:rPr>
          <w:rFonts w:hint="eastAsia"/>
        </w:rPr>
        <w:t>R</w:t>
      </w:r>
      <w:r>
        <w:rPr>
          <w:rFonts w:hint="eastAsia"/>
          <w:vertAlign w:val="superscript"/>
        </w:rPr>
        <w:t>2</w:t>
      </w:r>
      <w:r>
        <w:rPr>
          <w:rFonts w:hint="eastAsia"/>
        </w:rPr>
        <w:t>提高到了</w:t>
      </w:r>
      <w:r>
        <w:rPr>
          <w:rFonts w:hint="eastAsia"/>
        </w:rPr>
        <w:t>0.6619</w:t>
      </w:r>
      <w:r>
        <w:rPr>
          <w:rFonts w:hint="eastAsia"/>
        </w:rPr>
        <w:t>、</w:t>
      </w:r>
      <w:r>
        <w:rPr>
          <w:rFonts w:hint="eastAsia"/>
        </w:rPr>
        <w:t>RMSE</w:t>
      </w:r>
      <w:r>
        <w:rPr>
          <w:rFonts w:hint="eastAsia"/>
        </w:rPr>
        <w:t>降到了</w:t>
      </w:r>
      <w:r>
        <w:rPr>
          <w:rFonts w:hint="eastAsia"/>
        </w:rPr>
        <w:t>0.0046</w:t>
      </w:r>
      <w:r>
        <w:rPr>
          <w:rFonts w:hint="eastAsia"/>
        </w:rPr>
        <w:t>，两个模型都具有较高的预测准确率；根据实证结果可知：灌溉率、洪涝面积占比和日照时长是影响粮食生产风险的主要因素，其中灌溉率能够抵御生产风险，而洪涝和光照变化加剧了风险；同时，不同的因素之间也存在明显的非线性相互影响关系；在双重检验下得到如下结果：主要影响因素在不同的模型中排名顺序及作用方向上具有高度一致性，验证了结论的稳健性和有效性。</w:t>
      </w:r>
    </w:p>
    <w:p w14:paraId="41CDE87E" w14:textId="77777777" w:rsidR="004B3261" w:rsidRDefault="00000000">
      <w:pPr>
        <w:ind w:firstLineChars="200" w:firstLine="420"/>
      </w:pPr>
      <w:r>
        <w:rPr>
          <w:rFonts w:hint="eastAsia"/>
        </w:rPr>
        <w:t>因此，在此基础上，我们提出了加强水利基础设施建设、建立多因素协同控制体系以及完善气象灾害预警体系等一系列措施，做到了风险诊断、机理分析及模型验证的一体化，对相关单位起到了技术及政策上的帮助，也为粮食安全提供了量化的数据支撑，更好地服务于广大人民群众。</w:t>
      </w:r>
    </w:p>
    <w:p w14:paraId="135CF60E" w14:textId="77777777" w:rsidR="004B3261" w:rsidRDefault="004B3261">
      <w:pPr>
        <w:ind w:firstLineChars="200" w:firstLine="420"/>
      </w:pPr>
    </w:p>
    <w:p w14:paraId="7058271D" w14:textId="77777777" w:rsidR="004B3261" w:rsidRDefault="004B3261">
      <w:pPr>
        <w:pStyle w:val="a3"/>
        <w:ind w:firstLineChars="0" w:firstLine="0"/>
        <w:rPr>
          <w:rStyle w:val="a9"/>
        </w:rPr>
      </w:pPr>
    </w:p>
    <w:p w14:paraId="00E16DF0" w14:textId="77777777" w:rsidR="004B3261" w:rsidRDefault="00000000">
      <w:pPr>
        <w:pStyle w:val="a3"/>
        <w:ind w:firstLineChars="0" w:firstLine="0"/>
      </w:pPr>
      <w:r>
        <w:rPr>
          <w:rStyle w:val="a9"/>
        </w:rPr>
        <w:t>关键词：</w:t>
      </w:r>
      <w:r>
        <w:t>极端气候；粮食生产风险；</w:t>
      </w:r>
      <w:r>
        <w:t>XGBoost-SHAP</w:t>
      </w:r>
      <w:r>
        <w:t>；</w:t>
      </w:r>
      <w:r>
        <w:t>LSTM</w:t>
      </w:r>
      <w:r>
        <w:t>；韧性</w:t>
      </w:r>
      <w:r>
        <w:rPr>
          <w:rFonts w:hint="eastAsia"/>
        </w:rPr>
        <w:t>提升</w:t>
      </w:r>
    </w:p>
    <w:p w14:paraId="634340F7" w14:textId="77777777" w:rsidR="004B3261" w:rsidRDefault="004B3261"/>
    <w:p w14:paraId="26202717" w14:textId="77777777" w:rsidR="004B3261" w:rsidRDefault="004B3261"/>
    <w:p w14:paraId="3A8856C0" w14:textId="77777777" w:rsidR="004B3261" w:rsidRDefault="004B3261"/>
    <w:p w14:paraId="1B74E2D6" w14:textId="77777777" w:rsidR="004B3261" w:rsidRDefault="004B3261"/>
    <w:p w14:paraId="6E2EF279" w14:textId="77777777" w:rsidR="004B3261" w:rsidRDefault="004B3261"/>
    <w:p w14:paraId="1A18F7C8" w14:textId="77777777" w:rsidR="004B3261" w:rsidRDefault="004B3261"/>
    <w:p w14:paraId="4AE675D1" w14:textId="77777777" w:rsidR="004B3261" w:rsidRDefault="004B3261"/>
    <w:p w14:paraId="0642BBAE" w14:textId="77777777" w:rsidR="004B3261" w:rsidRDefault="004B3261"/>
    <w:p w14:paraId="4926B324" w14:textId="77777777" w:rsidR="004B3261" w:rsidRDefault="004B3261"/>
    <w:p w14:paraId="6CB33701" w14:textId="77777777" w:rsidR="004B3261" w:rsidRDefault="004B3261"/>
    <w:p w14:paraId="325213C8" w14:textId="77777777" w:rsidR="004B3261" w:rsidRDefault="004B3261"/>
    <w:p w14:paraId="11CDA139" w14:textId="77777777" w:rsidR="004B3261" w:rsidRDefault="004B3261"/>
    <w:p w14:paraId="18AEB8B6" w14:textId="77777777" w:rsidR="004B3261" w:rsidRDefault="004B3261"/>
    <w:p w14:paraId="01F0F005" w14:textId="77777777" w:rsidR="004B3261" w:rsidRDefault="004B3261"/>
    <w:p w14:paraId="13349163" w14:textId="77777777" w:rsidR="004B3261" w:rsidRDefault="004B3261"/>
    <w:p w14:paraId="62BA44D4" w14:textId="77777777" w:rsidR="004B3261" w:rsidRDefault="00000000">
      <w:pPr>
        <w:numPr>
          <w:ilvl w:val="0"/>
          <w:numId w:val="1"/>
        </w:numPr>
        <w:rPr>
          <w:rFonts w:ascii="黑体" w:eastAsia="黑体" w:hAnsi="黑体" w:cs="黑体"/>
          <w:b/>
          <w:bCs/>
          <w:sz w:val="32"/>
          <w:szCs w:val="32"/>
        </w:rPr>
      </w:pPr>
      <w:bookmarkStart w:id="0" w:name="_Toc8898"/>
      <w:r>
        <w:rPr>
          <w:rFonts w:ascii="黑体" w:eastAsia="黑体" w:hAnsi="黑体" w:cs="黑体" w:hint="eastAsia"/>
          <w:b/>
          <w:bCs/>
          <w:sz w:val="32"/>
          <w:szCs w:val="32"/>
        </w:rPr>
        <w:t>引言</w:t>
      </w:r>
      <w:bookmarkEnd w:id="0"/>
    </w:p>
    <w:p w14:paraId="1EEF5CE6" w14:textId="77777777" w:rsidR="004B3261" w:rsidRDefault="00000000">
      <w:pPr>
        <w:pStyle w:val="2"/>
        <w:keepNext/>
        <w:spacing w:before="156" w:after="156"/>
        <w:rPr>
          <w:rFonts w:ascii="黑体" w:hAnsi="黑体" w:cs="黑体"/>
        </w:rPr>
      </w:pPr>
      <w:r>
        <w:rPr>
          <w:rFonts w:hint="eastAsia"/>
        </w:rPr>
        <w:t>（一）</w:t>
      </w:r>
      <w:r>
        <w:t>研究背景与意义</w:t>
      </w:r>
    </w:p>
    <w:p w14:paraId="5FCB9BE6" w14:textId="77777777" w:rsidR="004B3261" w:rsidRDefault="00000000">
      <w:pPr>
        <w:ind w:firstLineChars="200" w:firstLine="420"/>
      </w:pPr>
      <w:r>
        <w:rPr>
          <w:rFonts w:hint="eastAsia"/>
        </w:rPr>
        <w:t>全球变暖引起各种极端天气事件频繁发生，影响范围大，程度深，频率高，直接威胁着我国的粮食生产安全，也影响着农民的生活及社会的稳定。</w:t>
      </w:r>
      <w:r>
        <w:rPr>
          <w:rFonts w:hint="eastAsia"/>
        </w:rPr>
        <w:t>IPCC</w:t>
      </w:r>
      <w:r>
        <w:rPr>
          <w:rFonts w:hint="eastAsia"/>
        </w:rPr>
        <w:t>《</w:t>
      </w:r>
      <w:r>
        <w:rPr>
          <w:rFonts w:hint="eastAsia"/>
        </w:rPr>
        <w:t>Climate Change 2022: Impacts, Adaptation and Vulnerability</w:t>
      </w:r>
      <w:r>
        <w:rPr>
          <w:rFonts w:hint="eastAsia"/>
        </w:rPr>
        <w:t>》报告指出，气候变化正加剧全球农业系统的脆弱性，极端天气给粮食生产带来的不利影响已经成为全球粮食安全治理的重中之重</w:t>
      </w:r>
      <w:r>
        <w:rPr>
          <w:rFonts w:hint="eastAsia"/>
          <w:vertAlign w:val="superscript"/>
        </w:rPr>
        <w:t>[1]</w:t>
      </w:r>
      <w:r>
        <w:rPr>
          <w:rFonts w:hint="eastAsia"/>
        </w:rPr>
        <w:t>。近年来，受全球变暖、厄尔尼诺现象影响，北半球各地均出现持续高温热浪的现象，在我国东北、华北等地也有暴雨天气不断发生，极端天气难以预料。比如，在</w:t>
      </w:r>
      <w:r>
        <w:rPr>
          <w:rFonts w:hint="eastAsia"/>
        </w:rPr>
        <w:t>2023</w:t>
      </w:r>
      <w:r>
        <w:rPr>
          <w:rFonts w:hint="eastAsia"/>
        </w:rPr>
        <w:t>年台风“杜苏芮”引发河北省特大暴雨，造成河北省</w:t>
      </w:r>
      <w:r>
        <w:rPr>
          <w:rFonts w:hint="eastAsia"/>
        </w:rPr>
        <w:t>9</w:t>
      </w:r>
      <w:r>
        <w:rPr>
          <w:rFonts w:hint="eastAsia"/>
        </w:rPr>
        <w:t>个市辖区及雄安新区发生洪涝灾害，致使</w:t>
      </w:r>
      <w:r>
        <w:rPr>
          <w:rFonts w:hint="eastAsia"/>
        </w:rPr>
        <w:t>87</w:t>
      </w:r>
      <w:r>
        <w:rPr>
          <w:rFonts w:hint="eastAsia"/>
        </w:rPr>
        <w:t>个县、</w:t>
      </w:r>
      <w:r>
        <w:rPr>
          <w:rFonts w:hint="eastAsia"/>
        </w:rPr>
        <w:t>54</w:t>
      </w:r>
      <w:r>
        <w:rPr>
          <w:rFonts w:hint="eastAsia"/>
        </w:rPr>
        <w:t>万人受灾，大量农田被淹没，小麦、玉米、水稻的产量大幅度降低，其中约</w:t>
      </w:r>
      <w:r>
        <w:rPr>
          <w:rFonts w:hint="eastAsia"/>
        </w:rPr>
        <w:t>400</w:t>
      </w:r>
      <w:r>
        <w:rPr>
          <w:rFonts w:hint="eastAsia"/>
        </w:rPr>
        <w:t>～</w:t>
      </w:r>
      <w:r>
        <w:rPr>
          <w:rFonts w:hint="eastAsia"/>
        </w:rPr>
        <w:t>500</w:t>
      </w:r>
      <w:r>
        <w:rPr>
          <w:rFonts w:hint="eastAsia"/>
        </w:rPr>
        <w:t>万玉米（占全国全年产量的</w:t>
      </w:r>
      <w:r>
        <w:rPr>
          <w:rFonts w:hint="eastAsia"/>
        </w:rPr>
        <w:t>2%</w:t>
      </w:r>
      <w:r>
        <w:rPr>
          <w:rFonts w:hint="eastAsia"/>
        </w:rPr>
        <w:t>）受灾，今年夏粮产量也较去年下降</w:t>
      </w:r>
      <w:r>
        <w:rPr>
          <w:rFonts w:hint="eastAsia"/>
        </w:rPr>
        <w:t>127</w:t>
      </w:r>
      <w:r>
        <w:rPr>
          <w:rFonts w:hint="eastAsia"/>
        </w:rPr>
        <w:t>万吨。通过政府及时发放救灾款，恢复生产，做好粮食供需平衡等工作也让我们看到了极端天气下保障国家粮食安全的重要性。“十四五”以来，党的二十大报告、“十四五”规划纲要以及每年中央一号文件都提出要筑牢粮食安全根基，加强产能基础。《中华人民共和国国务院新闻办公室</w:t>
      </w:r>
      <w:r>
        <w:rPr>
          <w:rFonts w:hint="eastAsia"/>
        </w:rPr>
        <w:t xml:space="preserve">. </w:t>
      </w:r>
      <w:r>
        <w:rPr>
          <w:rFonts w:hint="eastAsia"/>
        </w:rPr>
        <w:t>中国的粮食安全</w:t>
      </w:r>
      <w:r>
        <w:rPr>
          <w:rFonts w:hint="eastAsia"/>
        </w:rPr>
        <w:t>[R]</w:t>
      </w:r>
      <w:r>
        <w:rPr>
          <w:rFonts w:hint="eastAsia"/>
        </w:rPr>
        <w:t>》也指出，保证粮食安全是国家稳定的基本要求</w:t>
      </w:r>
      <w:r>
        <w:rPr>
          <w:rFonts w:hint="eastAsia"/>
          <w:vertAlign w:val="superscript"/>
        </w:rPr>
        <w:t>[2]</w:t>
      </w:r>
      <w:r>
        <w:rPr>
          <w:rFonts w:hint="eastAsia"/>
        </w:rPr>
        <w:t>。但是目前的研究大多从温度、降水等单一气候因子对粮食产量的影响进行探讨，而对于多种气候因素及农业生产要素之间的非线性关系刻画以及复杂的相互作用关系的认识仍然不够。虽然机器学习的方法逐渐在农业预测中得到应用，但是目前的研究大多注重预测的准确性，而忽略了对于模型结果的解释性分析，无法对于农业风险控制起到很好的作用。</w:t>
      </w:r>
    </w:p>
    <w:p w14:paraId="2128B72D" w14:textId="77777777" w:rsidR="004B3261" w:rsidRDefault="00000000">
      <w:pPr>
        <w:ind w:firstLineChars="200" w:firstLine="420"/>
      </w:pPr>
      <w:r>
        <w:rPr>
          <w:rFonts w:hint="eastAsia"/>
        </w:rPr>
        <w:t>基于以上背景，本文选取了全国</w:t>
      </w:r>
      <w:r>
        <w:rPr>
          <w:rFonts w:hint="eastAsia"/>
        </w:rPr>
        <w:t>31</w:t>
      </w:r>
      <w:r>
        <w:rPr>
          <w:rFonts w:hint="eastAsia"/>
        </w:rPr>
        <w:t>个省市地区</w:t>
      </w:r>
      <w:r>
        <w:rPr>
          <w:rFonts w:hint="eastAsia"/>
        </w:rPr>
        <w:t>2011-2023</w:t>
      </w:r>
      <w:r>
        <w:rPr>
          <w:rFonts w:hint="eastAsia"/>
        </w:rPr>
        <w:t>年面板数据，沿着“风险检测</w:t>
      </w:r>
      <w:r>
        <w:rPr>
          <w:rFonts w:hint="eastAsia"/>
        </w:rPr>
        <w:t>-</w:t>
      </w:r>
      <w:r>
        <w:rPr>
          <w:rFonts w:hint="eastAsia"/>
        </w:rPr>
        <w:t>机制解析</w:t>
      </w:r>
      <w:r>
        <w:rPr>
          <w:rFonts w:hint="eastAsia"/>
        </w:rPr>
        <w:t>-</w:t>
      </w:r>
      <w:r>
        <w:rPr>
          <w:rFonts w:hint="eastAsia"/>
        </w:rPr>
        <w:t>双重模型稳健性验证”的技术路线，首次提出集成可解释性机器学习以及深度学习的研究方案：一方面采用</w:t>
      </w:r>
      <w:r>
        <w:rPr>
          <w:rFonts w:hint="eastAsia"/>
        </w:rPr>
        <w:t>XGboost</w:t>
      </w:r>
      <w:r>
        <w:rPr>
          <w:rFonts w:hint="eastAsia"/>
        </w:rPr>
        <w:t>模型对极端气候与粮食生产风险之间的复杂非线性关系进行建模</w:t>
      </w:r>
      <w:r>
        <w:rPr>
          <w:rFonts w:hint="eastAsia"/>
          <w:vertAlign w:val="superscript"/>
        </w:rPr>
        <w:t>[3]</w:t>
      </w:r>
      <w:r>
        <w:rPr>
          <w:rFonts w:hint="eastAsia"/>
        </w:rPr>
        <w:t>，运用</w:t>
      </w:r>
      <w:r>
        <w:rPr>
          <w:rFonts w:hint="eastAsia"/>
        </w:rPr>
        <w:t>SHAP</w:t>
      </w:r>
      <w:r>
        <w:rPr>
          <w:rFonts w:hint="eastAsia"/>
        </w:rPr>
        <w:t>方法进行关键驱动因子的可解释拆分</w:t>
      </w:r>
      <w:r>
        <w:rPr>
          <w:rFonts w:hint="eastAsia"/>
          <w:vertAlign w:val="superscript"/>
        </w:rPr>
        <w:t>[4]</w:t>
      </w:r>
      <w:r>
        <w:rPr>
          <w:rFonts w:hint="eastAsia"/>
        </w:rPr>
        <w:t>；另一方面采用</w:t>
      </w:r>
      <w:r>
        <w:rPr>
          <w:rFonts w:hint="eastAsia"/>
        </w:rPr>
        <w:t>LSTM</w:t>
      </w:r>
      <w:r>
        <w:rPr>
          <w:rFonts w:hint="eastAsia"/>
        </w:rPr>
        <w:t>模型描述风险的时序变化特征并加以验证</w:t>
      </w:r>
      <w:r>
        <w:rPr>
          <w:rFonts w:hint="eastAsia"/>
          <w:vertAlign w:val="superscript"/>
        </w:rPr>
        <w:t>[5]</w:t>
      </w:r>
      <w:r>
        <w:rPr>
          <w:rFonts w:hint="eastAsia"/>
        </w:rPr>
        <w:t>，从而完成模型结果的跨方法一致性检验。本文的研究在理论上有助于加深对于极端气候下粮食生产风险成因的理解，扩大可解释性机器学习应用于农业领域的范围；在实践中可以为我国粮食生产风险的精确预警以及区域差异化管理提供数据支持和决策参考，对提高农业系统抗逆性有重要的现实意义。</w:t>
      </w:r>
    </w:p>
    <w:p w14:paraId="3207ED0D" w14:textId="77777777" w:rsidR="004B3261" w:rsidRDefault="004B3261">
      <w:pPr>
        <w:ind w:firstLineChars="200" w:firstLine="420"/>
      </w:pPr>
    </w:p>
    <w:p w14:paraId="751DCBEF" w14:textId="77777777" w:rsidR="004B3261" w:rsidRDefault="00000000">
      <w:pPr>
        <w:ind w:firstLineChars="200" w:firstLine="420"/>
        <w:jc w:val="left"/>
      </w:pPr>
      <w:r>
        <w:rPr>
          <w:noProof/>
        </w:rPr>
        <w:lastRenderedPageBreak/>
        <w:drawing>
          <wp:inline distT="0" distB="0" distL="114300" distR="114300" wp14:anchorId="5B883CC8" wp14:editId="14909C07">
            <wp:extent cx="4782185" cy="2604770"/>
            <wp:effectExtent l="0" t="0" r="5715" b="11430"/>
            <wp:docPr id="3" name="图片 3" descr="d070a6d0d0a070cddc4cfcc3ea12bf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070a6d0d0a070cddc4cfcc3ea12bfdb"/>
                    <pic:cNvPicPr>
                      <a:picLocks noChangeAspect="1"/>
                    </pic:cNvPicPr>
                  </pic:nvPicPr>
                  <pic:blipFill>
                    <a:blip r:embed="rId5"/>
                    <a:stretch>
                      <a:fillRect/>
                    </a:stretch>
                  </pic:blipFill>
                  <pic:spPr>
                    <a:xfrm>
                      <a:off x="0" y="0"/>
                      <a:ext cx="4782185" cy="2604770"/>
                    </a:xfrm>
                    <a:prstGeom prst="rect">
                      <a:avLst/>
                    </a:prstGeom>
                  </pic:spPr>
                </pic:pic>
              </a:graphicData>
            </a:graphic>
          </wp:inline>
        </w:drawing>
      </w:r>
    </w:p>
    <w:p w14:paraId="13258338" w14:textId="77777777" w:rsidR="004B3261" w:rsidRDefault="00000000">
      <w:pPr>
        <w:pStyle w:val="aa"/>
      </w:pPr>
      <w:r>
        <w:t>图</w:t>
      </w:r>
      <w:r>
        <w:t xml:space="preserve">1 </w:t>
      </w:r>
      <w:r>
        <w:t>极端气候下生产风险相关核心要素词云图</w:t>
      </w:r>
    </w:p>
    <w:p w14:paraId="2127A455" w14:textId="77777777" w:rsidR="004B3261" w:rsidRDefault="00000000">
      <w:pPr>
        <w:pStyle w:val="2"/>
        <w:keepNext/>
        <w:spacing w:before="156" w:after="156"/>
        <w:rPr>
          <w:rFonts w:ascii="黑体" w:hAnsi="黑体" w:cs="黑体"/>
          <w:bCs/>
          <w:sz w:val="32"/>
        </w:rPr>
      </w:pPr>
      <w:r>
        <w:rPr>
          <w:rFonts w:ascii="黑体" w:hAnsi="黑体" w:cs="黑体" w:hint="eastAsia"/>
          <w:bCs/>
          <w:sz w:val="32"/>
        </w:rPr>
        <w:t>（二）研究内容与研究路线</w:t>
      </w:r>
    </w:p>
    <w:p w14:paraId="08D81212" w14:textId="77777777" w:rsidR="004B3261" w:rsidRDefault="00000000">
      <w:pPr>
        <w:ind w:firstLineChars="200" w:firstLine="420"/>
        <w:rPr>
          <w:rFonts w:ascii="宋体" w:eastAsia="宋体" w:hAnsi="宋体" w:cs="宋体"/>
          <w:color w:val="000000" w:themeColor="text1"/>
          <w:szCs w:val="21"/>
          <w:shd w:val="clear" w:color="auto" w:fill="FFFFFF"/>
        </w:rPr>
      </w:pPr>
      <w:r>
        <w:rPr>
          <w:rFonts w:ascii="宋体" w:eastAsia="宋体" w:hAnsi="宋体" w:cs="宋体" w:hint="eastAsia"/>
          <w:color w:val="000000" w:themeColor="text1"/>
          <w:szCs w:val="21"/>
          <w:shd w:val="clear" w:color="auto" w:fill="FFFFFF"/>
        </w:rPr>
        <w:t>本文主要针对上述问题进行XGBoost-SHAP可解释机器学习及LSTM深度学习模型双重验证：XGBoost作为可扩展的树提升系统，为非线性风险建模奠定了基础；SHAP框架用统一的方法解释模型，解决了传统的机器学习的“黑箱”问题；LSTM长短期记忆网络为时序的鲁棒性检验提供了深度学习支撑。本文使用SHAP值可视化展示出风险因素的影响程度及作用方向，准确找到极端气候下影响我国粮食产量的致灾因子，从而提出相应的韧性提升措施。</w:t>
      </w:r>
    </w:p>
    <w:p w14:paraId="6439F110" w14:textId="77777777" w:rsidR="004B3261" w:rsidRDefault="004B3261">
      <w:pPr>
        <w:rPr>
          <w:rFonts w:ascii="宋体" w:eastAsia="宋体" w:hAnsi="宋体" w:cs="宋体"/>
          <w:color w:val="000000" w:themeColor="text1"/>
          <w:szCs w:val="21"/>
          <w:shd w:val="clear" w:color="auto" w:fill="FFFFFF"/>
        </w:rPr>
      </w:pPr>
    </w:p>
    <w:p w14:paraId="1DE1D951" w14:textId="77777777" w:rsidR="004B3261" w:rsidRDefault="00000000">
      <w:pPr>
        <w:rPr>
          <w:rFonts w:ascii="Times New Roman" w:eastAsia="宋体" w:hAnsi="Calibri" w:cs="Times New Roman"/>
        </w:rPr>
      </w:pPr>
      <w:r>
        <w:rPr>
          <w:rFonts w:ascii="Times New Roman" w:eastAsia="宋体" w:hAnsi="Calibri" w:cs="Times New Roman" w:hint="eastAsia"/>
          <w:noProof/>
        </w:rPr>
        <w:drawing>
          <wp:inline distT="0" distB="0" distL="114300" distR="114300" wp14:anchorId="0ABE6414" wp14:editId="45121B32">
            <wp:extent cx="5267325" cy="2456180"/>
            <wp:effectExtent l="0" t="0" r="3175" b="7620"/>
            <wp:docPr id="4" name="图片 4" descr="bea6ca9f250c4503e5b8a7f94b970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ea6ca9f250c4503e5b8a7f94b970301"/>
                    <pic:cNvPicPr>
                      <a:picLocks noChangeAspect="1"/>
                    </pic:cNvPicPr>
                  </pic:nvPicPr>
                  <pic:blipFill>
                    <a:blip r:embed="rId6"/>
                    <a:stretch>
                      <a:fillRect/>
                    </a:stretch>
                  </pic:blipFill>
                  <pic:spPr>
                    <a:xfrm>
                      <a:off x="0" y="0"/>
                      <a:ext cx="5267325" cy="2456180"/>
                    </a:xfrm>
                    <a:prstGeom prst="rect">
                      <a:avLst/>
                    </a:prstGeom>
                  </pic:spPr>
                </pic:pic>
              </a:graphicData>
            </a:graphic>
          </wp:inline>
        </w:drawing>
      </w:r>
    </w:p>
    <w:p w14:paraId="7C5ABE7B" w14:textId="77777777" w:rsidR="004B3261" w:rsidRDefault="00000000">
      <w:pPr>
        <w:pStyle w:val="a3"/>
        <w:ind w:firstLineChars="0" w:firstLine="0"/>
        <w:jc w:val="center"/>
      </w:pPr>
      <w:r>
        <w:rPr>
          <w:color w:val="000000" w:themeColor="text1"/>
        </w:rPr>
        <w:t>图</w:t>
      </w:r>
      <w:r>
        <w:rPr>
          <w:rFonts w:hint="eastAsia"/>
          <w:color w:val="000000" w:themeColor="text1"/>
        </w:rPr>
        <w:t>3</w:t>
      </w:r>
      <w:r>
        <w:rPr>
          <w:color w:val="000000" w:themeColor="text1"/>
        </w:rPr>
        <w:t xml:space="preserve"> </w:t>
      </w:r>
      <w:r>
        <w:rPr>
          <w:rFonts w:hint="eastAsia"/>
          <w:color w:val="000000" w:themeColor="text1"/>
        </w:rPr>
        <w:t>本文研究核心要素词云图</w:t>
      </w:r>
    </w:p>
    <w:p w14:paraId="404A6E84" w14:textId="77777777" w:rsidR="004B3261" w:rsidRDefault="00000000">
      <w:pPr>
        <w:ind w:firstLineChars="200" w:firstLine="420"/>
        <w:rPr>
          <w:rFonts w:ascii="宋体" w:eastAsia="宋体" w:hAnsi="宋体" w:cs="宋体"/>
          <w:color w:val="000000" w:themeColor="text1"/>
          <w:szCs w:val="21"/>
          <w:shd w:val="clear" w:color="auto" w:fill="FFFFFF"/>
        </w:rPr>
      </w:pPr>
      <w:r>
        <w:rPr>
          <w:rFonts w:ascii="宋体" w:eastAsia="宋体" w:hAnsi="宋体" w:cs="宋体" w:hint="eastAsia"/>
          <w:color w:val="000000" w:themeColor="text1"/>
          <w:szCs w:val="21"/>
          <w:shd w:val="clear" w:color="auto" w:fill="FFFFFF"/>
        </w:rPr>
        <w:t>以下是基于极端气候条件下我国粮食生产风险主要影响因素的辨识与韧性增强的研究工作的主要三大部分内容：</w:t>
      </w:r>
    </w:p>
    <w:p w14:paraId="027EA549" w14:textId="77777777" w:rsidR="004B3261" w:rsidRDefault="00000000">
      <w:pPr>
        <w:pStyle w:val="a5"/>
        <w:widowControl/>
        <w:spacing w:beforeAutospacing="0" w:afterAutospacing="0"/>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①核心因子识别：本文基于2011-2023年全国31个省市的省级面板数据，选取粮食单产的波动来衡量风险大小，经过一系列的描述性统计和相关性研究后找出了对粮食生产风险有较大影响的几个重要指标，进一步掌握各个因素的空间分布情况及其之间的关系。</w:t>
      </w:r>
    </w:p>
    <w:p w14:paraId="4F978123" w14:textId="77777777" w:rsidR="004B3261" w:rsidRDefault="00000000">
      <w:pPr>
        <w:pStyle w:val="a5"/>
        <w:widowControl/>
        <w:spacing w:beforeAutospacing="0" w:afterAutospacing="0"/>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lastRenderedPageBreak/>
        <w:t>②双模型构建与实证分析：本文使用XGboost-SHAP以及LSTM两个模型的组合对结果进行双重验证，一个方面用XGboost挑选重要因素并计算各自的重要程度，通过SHAP可以得到各个因素的影响方向和相互影响关系；另一个方面用LSTM获取风险的时序特征，以此来验证这些重要因素的作用强度是否稳定，从而得出“非线性建模+时序验证”的有效分析方法。</w:t>
      </w:r>
    </w:p>
    <w:p w14:paraId="02420E96" w14:textId="77777777" w:rsidR="004B3261" w:rsidRDefault="00000000">
      <w:pPr>
        <w:pStyle w:val="a5"/>
        <w:widowControl/>
        <w:spacing w:beforeAutospacing="0" w:afterAutospacing="0"/>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③韧性提升路径优化：针对最后核心因素进行分析总结，从灾害防治、基础设施建设、政策保障等方面提出了相应的对策建议，在极端气候条件下保障国家粮食安全提供有力支持。</w:t>
      </w:r>
    </w:p>
    <w:p w14:paraId="3B364611" w14:textId="77777777" w:rsidR="004B3261" w:rsidRDefault="00000000">
      <w:pPr>
        <w:rPr>
          <w:rFonts w:ascii="Times New Roman Regular" w:eastAsia="宋体" w:hAnsi="Times New Roman Regular" w:cs="Times New Roman Regular"/>
          <w:color w:val="000000" w:themeColor="text1"/>
          <w:kern w:val="0"/>
          <w:sz w:val="24"/>
          <w:szCs w:val="24"/>
          <w:lang w:bidi="ar"/>
        </w:rPr>
      </w:pPr>
      <w:r>
        <w:rPr>
          <w:rFonts w:ascii="Times New Roman Regular" w:eastAsia="宋体" w:hAnsi="Times New Roman Regular" w:cs="Times New Roman Regular" w:hint="eastAsia"/>
          <w:color w:val="000000" w:themeColor="text1"/>
          <w:kern w:val="0"/>
          <w:sz w:val="24"/>
          <w:szCs w:val="24"/>
          <w:lang w:bidi="ar"/>
        </w:rPr>
        <w:t>研究路线如下图</w:t>
      </w:r>
      <w:r>
        <w:rPr>
          <w:rFonts w:ascii="Times New Roman Regular" w:eastAsia="宋体" w:hAnsi="Times New Roman Regular" w:cs="Times New Roman Regular" w:hint="eastAsia"/>
          <w:color w:val="000000" w:themeColor="text1"/>
          <w:kern w:val="0"/>
          <w:sz w:val="24"/>
          <w:szCs w:val="24"/>
          <w:lang w:bidi="ar"/>
        </w:rPr>
        <w:t>2</w:t>
      </w:r>
      <w:r>
        <w:rPr>
          <w:rFonts w:ascii="Times New Roman Regular" w:eastAsia="宋体" w:hAnsi="Times New Roman Regular" w:cs="Times New Roman Regular" w:hint="eastAsia"/>
          <w:color w:val="000000" w:themeColor="text1"/>
          <w:kern w:val="0"/>
          <w:sz w:val="24"/>
          <w:szCs w:val="24"/>
          <w:lang w:bidi="ar"/>
        </w:rPr>
        <w:t>所示：</w:t>
      </w:r>
    </w:p>
    <w:p w14:paraId="2C2ACF26" w14:textId="77777777" w:rsidR="004B3261" w:rsidRDefault="004B3261">
      <w:pPr>
        <w:ind w:firstLineChars="200" w:firstLine="420"/>
        <w:rPr>
          <w:rFonts w:ascii="Times New Roman" w:eastAsia="宋体" w:hAnsi="Calibri" w:cs="Times New Roman"/>
        </w:rPr>
      </w:pPr>
    </w:p>
    <w:p w14:paraId="0159AE8A" w14:textId="77777777" w:rsidR="004B3261" w:rsidRDefault="00000000">
      <w:pPr>
        <w:rPr>
          <w:rFonts w:ascii="Times New Roman Regular" w:eastAsia="宋体" w:hAnsi="Times New Roman Regular" w:cs="Times New Roman Regular"/>
          <w:color w:val="000000" w:themeColor="text1"/>
          <w:kern w:val="0"/>
          <w:sz w:val="24"/>
          <w:szCs w:val="24"/>
          <w:lang w:bidi="ar"/>
        </w:rPr>
      </w:pPr>
      <w:r>
        <w:rPr>
          <w:noProof/>
        </w:rPr>
        <w:drawing>
          <wp:inline distT="0" distB="0" distL="114300" distR="114300" wp14:anchorId="62AA3563" wp14:editId="36CF0A35">
            <wp:extent cx="5267325" cy="6307455"/>
            <wp:effectExtent l="0" t="0" r="3175" b="444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5267325" cy="6307455"/>
                    </a:xfrm>
                    <a:prstGeom prst="rect">
                      <a:avLst/>
                    </a:prstGeom>
                    <a:noFill/>
                    <a:ln>
                      <a:noFill/>
                    </a:ln>
                  </pic:spPr>
                </pic:pic>
              </a:graphicData>
            </a:graphic>
          </wp:inline>
        </w:drawing>
      </w:r>
    </w:p>
    <w:p w14:paraId="68898D6B" w14:textId="77777777" w:rsidR="004B3261" w:rsidRDefault="00000000">
      <w:pPr>
        <w:jc w:val="center"/>
      </w:pPr>
      <w:r>
        <w:rPr>
          <w:color w:val="000000" w:themeColor="text1"/>
        </w:rPr>
        <w:t>图</w:t>
      </w:r>
      <w:r>
        <w:rPr>
          <w:color w:val="000000" w:themeColor="text1"/>
        </w:rPr>
        <w:t xml:space="preserve">2 </w:t>
      </w:r>
      <w:r>
        <w:rPr>
          <w:color w:val="000000" w:themeColor="text1"/>
        </w:rPr>
        <w:t>研究框架</w:t>
      </w:r>
    </w:p>
    <w:p w14:paraId="00031EF0" w14:textId="77777777" w:rsidR="004B3261" w:rsidRDefault="004B3261">
      <w:pPr>
        <w:rPr>
          <w:rFonts w:ascii="黑体" w:eastAsia="黑体" w:hAnsi="黑体" w:cs="黑体"/>
          <w:b/>
          <w:bCs/>
          <w:sz w:val="32"/>
          <w:szCs w:val="32"/>
        </w:rPr>
      </w:pPr>
      <w:bookmarkStart w:id="1" w:name="_Toc6205"/>
      <w:bookmarkStart w:id="2" w:name="_Toc13812"/>
      <w:bookmarkStart w:id="3" w:name="_Toc28860"/>
    </w:p>
    <w:p w14:paraId="12C68CB2" w14:textId="77777777" w:rsidR="004B3261" w:rsidRDefault="004B3261">
      <w:pPr>
        <w:rPr>
          <w:rFonts w:ascii="黑体" w:eastAsia="黑体" w:hAnsi="黑体" w:cs="黑体"/>
          <w:b/>
          <w:bCs/>
          <w:sz w:val="32"/>
          <w:szCs w:val="32"/>
        </w:rPr>
      </w:pPr>
    </w:p>
    <w:p w14:paraId="66104249" w14:textId="77777777" w:rsidR="004B3261" w:rsidRDefault="00000000">
      <w:r>
        <w:rPr>
          <w:rFonts w:ascii="黑体" w:eastAsia="黑体" w:hAnsi="黑体" w:cs="黑体" w:hint="eastAsia"/>
          <w:b/>
          <w:bCs/>
          <w:sz w:val="32"/>
          <w:szCs w:val="32"/>
        </w:rPr>
        <w:lastRenderedPageBreak/>
        <w:t>（三）本文创新点</w:t>
      </w:r>
      <w:bookmarkEnd w:id="1"/>
      <w:bookmarkEnd w:id="2"/>
      <w:bookmarkEnd w:id="3"/>
    </w:p>
    <w:p w14:paraId="18CBC5F9" w14:textId="77777777" w:rsidR="004B3261" w:rsidRDefault="00000000">
      <w:pPr>
        <w:pStyle w:val="a3"/>
        <w:ind w:firstLineChars="0"/>
      </w:pPr>
      <w:r>
        <w:t>与传统研究方法相比，本文主要做出了以下三点创新：</w:t>
      </w:r>
    </w:p>
    <w:p w14:paraId="5C769C59" w14:textId="77777777" w:rsidR="004B3261" w:rsidRDefault="00000000">
      <w:pPr>
        <w:pStyle w:val="a5"/>
        <w:widowControl/>
        <w:spacing w:beforeAutospacing="0" w:afterAutospacing="0"/>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①在研究角度及研究思路上：传统的研究往往只是对单一的气候灾害影响评估，而忽视了极端气候多方面因素的综合作用机理，本文在前人研究基础上结合多种极端气候进行了综合研究，填补了对全国31个省份区域性风险识别以及韧性增强的研究空白；其次，本文跳出了传统的“线性假设”的限制，由“被动防御极端气候风险”到“主动预测因素，提高韧性”，为本文的研究提供了思路与方法。</w:t>
      </w:r>
    </w:p>
    <w:p w14:paraId="4D58F9B1" w14:textId="77777777" w:rsidR="004B3261" w:rsidRDefault="00000000">
      <w:pPr>
        <w:pStyle w:val="a5"/>
        <w:widowControl/>
        <w:spacing w:beforeAutospacing="0" w:afterAutospacing="0"/>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②在模型方法以及技术体系的创新上：一方面本文没有使用传统性的计量模型，而是采用XGboost-SHAP相结合的高精度预测及透明归因的二元模型结构，可以更好地发现极端气候以及粮食生产因素之间的非线性复杂关系；另一方面本文包含了“预测模型+可解释性框架”的结合，不但解决了传统机器学习模型存在的缺点，即模型内部的决策过程和计算过程不能被清晰地呈现出来，同时也增加了研究的可信度和可实现性，在对未来极端气候导致的风险做出预测方面以及更好服务农业上有实际应用意义。</w:t>
      </w:r>
    </w:p>
    <w:p w14:paraId="696FE2B3" w14:textId="77777777" w:rsidR="004B3261" w:rsidRDefault="00000000">
      <w:pPr>
        <w:pStyle w:val="a5"/>
        <w:widowControl/>
        <w:spacing w:beforeAutospacing="0" w:afterAutospacing="0"/>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③在应用价值和实践意义的创新研究中：本文以对粮食生产风险的定量评估为基础，提出了一套可以扩展和应用的极端气候下粮食生产风险预警分析模型；为相关地区的农业政策制定以及应对措施提供参考建议，在实际工作中起到一定的指导作用。</w:t>
      </w:r>
    </w:p>
    <w:p w14:paraId="0458E059" w14:textId="77777777" w:rsidR="004B3261" w:rsidRDefault="00000000">
      <w:pPr>
        <w:numPr>
          <w:ilvl w:val="0"/>
          <w:numId w:val="1"/>
        </w:numPr>
        <w:rPr>
          <w:rFonts w:ascii="黑体" w:eastAsia="黑体" w:hAnsi="黑体" w:cs="黑体"/>
          <w:b/>
          <w:bCs/>
          <w:sz w:val="32"/>
          <w:szCs w:val="32"/>
        </w:rPr>
      </w:pPr>
      <w:r>
        <w:rPr>
          <w:rFonts w:ascii="黑体" w:eastAsia="黑体" w:hAnsi="黑体" w:cs="黑体" w:hint="eastAsia"/>
          <w:b/>
          <w:bCs/>
          <w:sz w:val="32"/>
          <w:szCs w:val="32"/>
        </w:rPr>
        <w:t>国内外研究现状及综述</w:t>
      </w:r>
    </w:p>
    <w:p w14:paraId="60A35859" w14:textId="77777777" w:rsidR="004B3261" w:rsidRDefault="00000000">
      <w:pPr>
        <w:ind w:firstLineChars="200" w:firstLine="420"/>
      </w:pPr>
      <w:r>
        <w:rPr>
          <w:rFonts w:hint="eastAsia"/>
        </w:rPr>
        <w:t>在极端气候及粮食生产风险研究脉络方面，国内外学者的研究均已出现从“单一气候因子影响”到“多极端事件综合风险”的趋势转变。其中，国外学者较早对气候变化对粮食生产影响的问题进行了研究，早期的研究主要集中在降水、温度、光照等一些单一的气候因素，大多利用线性回归简单证明农作物缺少一种单一的气候条件的情况下会出现一些现象，比如作物生长周期改变、光合作用的效率下降、作物减产等一系列问题，随着极端天气事件的日益增多，学者们开始将目光从单一的气候因子转向多种极端气候（洪涝、干旱、高温等）的联合作用，研究得出多极端事件对作物的危害远远高于一种单一气候因子对作物的影响，特别是在一些低经济收入、气候脆弱的国家和地区更加明显</w:t>
      </w:r>
      <w:r>
        <w:rPr>
          <w:rFonts w:hint="eastAsia"/>
          <w:vertAlign w:val="superscript"/>
        </w:rPr>
        <w:t>[7]</w:t>
      </w:r>
      <w:r>
        <w:rPr>
          <w:rFonts w:hint="eastAsia"/>
        </w:rPr>
        <w:t>。相比之下，我国的研究起步较晚但是发展较快，研究人员根据国家战略的需要，逐步形成了“风险评估—影响机理—预警防范”的研究思路，最后得出我国的粮食生产气候风险具有区域性、季节性的不同特点</w:t>
      </w:r>
      <w:r>
        <w:rPr>
          <w:rFonts w:hint="eastAsia"/>
          <w:vertAlign w:val="superscript"/>
        </w:rPr>
        <w:t>[8]</w:t>
      </w:r>
      <w:r>
        <w:rPr>
          <w:rFonts w:hint="eastAsia"/>
        </w:rPr>
        <w:t>。</w:t>
      </w:r>
    </w:p>
    <w:p w14:paraId="75813A00" w14:textId="77777777" w:rsidR="004B3261" w:rsidRDefault="00000000">
      <w:pPr>
        <w:ind w:firstLineChars="200" w:firstLine="420"/>
      </w:pPr>
      <w:r>
        <w:rPr>
          <w:rFonts w:hint="eastAsia"/>
        </w:rPr>
        <w:t>在粮食生产风险评估方法上，国内外的研究总体来看是由传统的统计方法到机器学习、深度学习等方法的过渡。国外的研究较早脱离了传统的线性回归模型，开始应用一些新的算法，如随机森林、</w:t>
      </w:r>
      <w:r>
        <w:rPr>
          <w:rFonts w:hint="eastAsia"/>
        </w:rPr>
        <w:t>XGboost</w:t>
      </w:r>
      <w:r>
        <w:rPr>
          <w:rFonts w:hint="eastAsia"/>
        </w:rPr>
        <w:t>等，来反映气候和粮食产量之间的非线性复杂关系，大大提高了预测的精度</w:t>
      </w:r>
      <w:r>
        <w:rPr>
          <w:rFonts w:hint="eastAsia"/>
          <w:vertAlign w:val="superscript"/>
        </w:rPr>
        <w:t>[3]</w:t>
      </w:r>
      <w:r>
        <w:rPr>
          <w:rFonts w:hint="eastAsia"/>
        </w:rPr>
        <w:t>；同时，一些学者加入了深度学习的技术对粮食生产系统的时间序列进行建模，以捕捉极端气候灾害下的动态变化情况</w:t>
      </w:r>
      <w:r>
        <w:rPr>
          <w:rFonts w:hint="eastAsia"/>
          <w:vertAlign w:val="superscript"/>
        </w:rPr>
        <w:t>[5]</w:t>
      </w:r>
      <w:r>
        <w:rPr>
          <w:rFonts w:hint="eastAsia"/>
        </w:rPr>
        <w:t>。国内也有一些学者采用机器学习的方法如</w:t>
      </w:r>
      <w:r>
        <w:rPr>
          <w:rFonts w:hint="eastAsia"/>
        </w:rPr>
        <w:t>XGboost</w:t>
      </w:r>
      <w:r>
        <w:rPr>
          <w:rFonts w:hint="eastAsia"/>
        </w:rPr>
        <w:t>等进行非线性建模，虽然可以提高对产量的预测效果，但是不能明确地知道某一种极端气候因素的影响途径及作用大小，并且大多是基于某一地区或者省份的气候变化影响研究，没有涵盖到我国</w:t>
      </w:r>
      <w:r>
        <w:rPr>
          <w:rFonts w:hint="eastAsia"/>
        </w:rPr>
        <w:t>31</w:t>
      </w:r>
      <w:r>
        <w:rPr>
          <w:rFonts w:hint="eastAsia"/>
        </w:rPr>
        <w:t>个省的总体风险差异比较</w:t>
      </w:r>
      <w:r>
        <w:rPr>
          <w:rFonts w:hint="eastAsia"/>
          <w:vertAlign w:val="superscript"/>
        </w:rPr>
        <w:t>[9]</w:t>
      </w:r>
      <w:r>
        <w:rPr>
          <w:rFonts w:hint="eastAsia"/>
        </w:rPr>
        <w:t>。当前我国已经在粮食生产、储备、流通等方面取得了很好的成绩，粮食安全保障能力也在不断加强，但是目前对于极端气候与粮食生产风险的研究仍然处于传统的研究方法当中，一方面，对于农户适应行为、农业经济损失的研究大多关注于微观层面或者单一灾种，缺乏一个多源数据融合的整体风险诊断框架；另一方面，传统的产量预测研究虽然运用了机器学习的方法，但是由于模型的“黑盒化”造成的不可解释性的问题还没有得到很好的解决，不能准确找到主要的风险因素以及精确的表述各个因素之间的非线性关系，从而不能使农业抗灾韧性建设得到很好的指导</w:t>
      </w:r>
      <w:r>
        <w:rPr>
          <w:rFonts w:hint="eastAsia"/>
          <w:vertAlign w:val="superscript"/>
        </w:rPr>
        <w:t>[10-12]</w:t>
      </w:r>
      <w:r>
        <w:rPr>
          <w:rFonts w:hint="eastAsia"/>
        </w:rPr>
        <w:t>。</w:t>
      </w:r>
    </w:p>
    <w:p w14:paraId="799B12E0" w14:textId="77777777" w:rsidR="004B3261" w:rsidRDefault="00000000">
      <w:pPr>
        <w:ind w:firstLineChars="200" w:firstLine="420"/>
      </w:pPr>
      <w:r>
        <w:rPr>
          <w:rFonts w:hint="eastAsia"/>
        </w:rPr>
        <w:t>在粮食生产韧性与适应对策的研究方面，国内外的研究主要针对农业系统在面对外部的</w:t>
      </w:r>
      <w:r>
        <w:rPr>
          <w:rFonts w:hint="eastAsia"/>
        </w:rPr>
        <w:lastRenderedPageBreak/>
        <w:t>气候条件下能够表现出抵御性，适应性和恢复能力的程度，逐渐形成了以提高韧性为主要目的的研究方向，但是都处于静态评估的阶段，对韧性的动态变化的分析研究较少。其中，国外的研究主要针对农业在遇到来自外部气候因素的冲击时的稳定性和恢复能力。一些研究认为研发抗旱品种、升级灌溉方式等，结合多种政策措施综合治理，有效提高气候关键韧性</w:t>
      </w:r>
      <w:r>
        <w:rPr>
          <w:rFonts w:hint="eastAsia"/>
          <w:vertAlign w:val="superscript"/>
        </w:rPr>
        <w:t>[13]</w:t>
      </w:r>
      <w:r>
        <w:rPr>
          <w:rFonts w:hint="eastAsia"/>
        </w:rPr>
        <w:t>。但是存在的不足之处也比较明显，如一些学者们基于发达国家的农业状况进行的研究结果不能很好的符合发展中国家以“小农”为主的农业生产模式，也出现了很大的地区差异问题。总之，我国对于粮食生产韧性的研究起步较晚，但是近几年已经成为研究重点，相关的研究体系也在逐步的建立</w:t>
      </w:r>
      <w:r>
        <w:rPr>
          <w:rFonts w:hint="eastAsia"/>
          <w:vertAlign w:val="superscript"/>
        </w:rPr>
        <w:t>[14-15]</w:t>
      </w:r>
      <w:r>
        <w:rPr>
          <w:rFonts w:hint="eastAsia"/>
        </w:rPr>
        <w:t>。目前大多数都是基于指标体系法建立韧性评价指标体系，缺少“风险识别</w:t>
      </w:r>
      <w:r>
        <w:rPr>
          <w:rFonts w:hint="eastAsia"/>
        </w:rPr>
        <w:t>-</w:t>
      </w:r>
      <w:r>
        <w:rPr>
          <w:rFonts w:hint="eastAsia"/>
        </w:rPr>
        <w:t>韧性评估</w:t>
      </w:r>
      <w:r>
        <w:rPr>
          <w:rFonts w:hint="eastAsia"/>
        </w:rPr>
        <w:t>-</w:t>
      </w:r>
      <w:r>
        <w:rPr>
          <w:rFonts w:hint="eastAsia"/>
        </w:rPr>
        <w:t>路径优化”的全链条的研究，很难把气候变化因素同韧性提升途径联系在一起，在这方面运用机器学习、深度学习双向验证的方式也比较少</w:t>
      </w:r>
      <w:r>
        <w:rPr>
          <w:rFonts w:hint="eastAsia"/>
          <w:vertAlign w:val="superscript"/>
        </w:rPr>
        <w:t>[16-17]</w:t>
      </w:r>
      <w:r>
        <w:rPr>
          <w:rFonts w:hint="eastAsia"/>
        </w:rPr>
        <w:t>。</w:t>
      </w:r>
    </w:p>
    <w:p w14:paraId="4D300566" w14:textId="77777777" w:rsidR="004B3261" w:rsidRDefault="00000000">
      <w:pPr>
        <w:ind w:firstLineChars="200" w:firstLine="420"/>
      </w:pPr>
      <w:r>
        <w:rPr>
          <w:rFonts w:hint="eastAsia"/>
        </w:rPr>
        <w:t>从目前国内外研究进展来看，目前已有的研究成果对极端气候因素和粮食生产风险之间的联系进行了探讨，并且使用了机器学习的方法增强韧性理论的研究水平，但还有以下几点不足之处：</w:t>
      </w:r>
    </w:p>
    <w:p w14:paraId="464BF4CB" w14:textId="77777777" w:rsidR="004B3261" w:rsidRDefault="00000000">
      <w:r>
        <w:rPr>
          <w:rFonts w:hint="eastAsia"/>
        </w:rPr>
        <w:t xml:space="preserve">1. </w:t>
      </w:r>
      <w:r>
        <w:rPr>
          <w:rFonts w:hint="eastAsia"/>
        </w:rPr>
        <w:t>目前大多数学者的研究只是针对单一气候因子或者局部地区进行分析，缺乏对多个极端事件联合作用的分析及全国范围内的系统分析，致使对气候因子影响路径和贡献率的准确判断不足</w:t>
      </w:r>
      <w:r>
        <w:rPr>
          <w:rFonts w:hint="eastAsia"/>
          <w:vertAlign w:val="superscript"/>
        </w:rPr>
        <w:t>[8,18]</w:t>
      </w:r>
      <w:r>
        <w:rPr>
          <w:rFonts w:hint="eastAsia"/>
        </w:rPr>
        <w:t>。</w:t>
      </w:r>
    </w:p>
    <w:p w14:paraId="6AFAE84F" w14:textId="77777777" w:rsidR="004B3261" w:rsidRDefault="00000000">
      <w:r>
        <w:rPr>
          <w:rFonts w:hint="eastAsia"/>
        </w:rPr>
        <w:t xml:space="preserve">2. </w:t>
      </w:r>
      <w:r>
        <w:rPr>
          <w:rFonts w:hint="eastAsia"/>
        </w:rPr>
        <w:t>目前相关研究主要集中在静态韧性评估上，对粮食生产系统韧性的变化情况了解较少，不利于建立具有针对性的韧性策略</w:t>
      </w:r>
      <w:r>
        <w:rPr>
          <w:rFonts w:hint="eastAsia"/>
          <w:vertAlign w:val="superscript"/>
        </w:rPr>
        <w:t>[19-21]</w:t>
      </w:r>
      <w:r>
        <w:rPr>
          <w:rFonts w:hint="eastAsia"/>
        </w:rPr>
        <w:t>。</w:t>
      </w:r>
    </w:p>
    <w:p w14:paraId="36AF135D" w14:textId="77777777" w:rsidR="004B3261" w:rsidRDefault="00000000">
      <w:pPr>
        <w:pStyle w:val="a3"/>
        <w:ind w:firstLineChars="0" w:firstLine="0"/>
      </w:pPr>
      <w:r>
        <w:rPr>
          <w:rFonts w:hint="eastAsia"/>
        </w:rPr>
        <w:t xml:space="preserve">3. </w:t>
      </w:r>
      <w:r>
        <w:rPr>
          <w:rFonts w:hint="eastAsia"/>
        </w:rPr>
        <w:t>国内外学者都将机器学习、深度学习等多种方法引入到粮食生产风险评估的研究当中，但是大部分都是单一的模型应用，双重检验或者多模型融合的研究较少，所以在对于极端气候以及粮食系统之间的非线性关系的刻画程度上还需要提高</w:t>
      </w:r>
      <w:r>
        <w:rPr>
          <w:rFonts w:hint="eastAsia"/>
          <w:vertAlign w:val="superscript"/>
        </w:rPr>
        <w:t>[3-5]</w:t>
      </w:r>
      <w:r>
        <w:rPr>
          <w:rFonts w:hint="eastAsia"/>
        </w:rPr>
        <w:t>。</w:t>
      </w:r>
    </w:p>
    <w:p w14:paraId="7586A994" w14:textId="77777777" w:rsidR="004B3261" w:rsidRDefault="00000000">
      <w:pPr>
        <w:pStyle w:val="a3"/>
      </w:pPr>
      <w:r>
        <w:t>综上所述，</w:t>
      </w:r>
      <w:r>
        <w:rPr>
          <w:rFonts w:hint="eastAsia"/>
        </w:rPr>
        <w:t>有必要在提升模型预测精度的同时引入可解释性分析方法，并构建统一的多模型融合框架，对粮食生产风险进行系统性研究。因此</w:t>
      </w:r>
      <w:r>
        <w:t>本文以全国</w:t>
      </w:r>
      <w:r>
        <w:t>31</w:t>
      </w:r>
      <w:r>
        <w:t>个省份为研究对象，通过搜集多源数据并整合，最后构建起</w:t>
      </w:r>
      <w:r>
        <w:t>“</w:t>
      </w:r>
      <w:r>
        <w:t>风险评估</w:t>
      </w:r>
      <w:r>
        <w:t>-</w:t>
      </w:r>
      <w:r>
        <w:t>韧性评估</w:t>
      </w:r>
      <w:r>
        <w:t>-</w:t>
      </w:r>
      <w:r>
        <w:t>路径优化</w:t>
      </w:r>
      <w:r>
        <w:t>”</w:t>
      </w:r>
      <w:r>
        <w:t>的全链条分析框架，采用双模型识别极端气候下粮食生产风险的核心因子，并开展韧性评估，最终达到政策制定的目的，弥补了现有研究</w:t>
      </w:r>
      <w:r>
        <w:rPr>
          <w:rFonts w:hint="eastAsia"/>
        </w:rPr>
        <w:t>视角与范围局限、方法体系短板、研究链条断层</w:t>
      </w:r>
      <w:r>
        <w:t>的不足</w:t>
      </w:r>
      <w:r>
        <w:rPr>
          <w:vertAlign w:val="superscript"/>
        </w:rPr>
        <w:fldChar w:fldCharType="begin"/>
      </w:r>
      <w:r>
        <w:instrText xml:space="preserve"> REF _Ref19319 \r \h  \* MERGEFORMAT</w:instrText>
      </w:r>
      <w:r>
        <w:rPr>
          <w:vertAlign w:val="superscript"/>
        </w:rPr>
      </w:r>
      <w:r>
        <w:rPr>
          <w:vertAlign w:val="superscript"/>
        </w:rPr>
        <w:fldChar w:fldCharType="separate"/>
      </w:r>
      <w:r>
        <w:rPr>
          <w:vertAlign w:val="superscript"/>
        </w:rPr>
        <w:t>[22</w:t>
      </w:r>
      <w:r>
        <w:rPr>
          <w:vertAlign w:val="superscript"/>
        </w:rPr>
        <w:fldChar w:fldCharType="end"/>
      </w:r>
      <w:r>
        <w:rPr>
          <w:vertAlign w:val="superscript"/>
        </w:rPr>
        <w:fldChar w:fldCharType="begin"/>
      </w:r>
      <w:r>
        <w:instrText xml:space="preserve"> REF _Ref19332 \r \h  \* MERGEFORMAT</w:instrText>
      </w:r>
      <w:r>
        <w:rPr>
          <w:vertAlign w:val="superscript"/>
        </w:rPr>
      </w:r>
      <w:r>
        <w:rPr>
          <w:vertAlign w:val="superscript"/>
        </w:rPr>
        <w:fldChar w:fldCharType="separate"/>
      </w:r>
      <w:r>
        <w:rPr>
          <w:rFonts w:hint="eastAsia"/>
          <w:vertAlign w:val="superscript"/>
        </w:rPr>
        <w:t>-</w:t>
      </w:r>
      <w:r>
        <w:rPr>
          <w:vertAlign w:val="superscript"/>
        </w:rPr>
        <w:t>27]</w:t>
      </w:r>
      <w:r>
        <w:rPr>
          <w:vertAlign w:val="superscript"/>
        </w:rPr>
        <w:fldChar w:fldCharType="end"/>
      </w:r>
      <w:r>
        <w:t>。</w:t>
      </w:r>
    </w:p>
    <w:p w14:paraId="4A2487F4" w14:textId="77777777" w:rsidR="004B3261" w:rsidRDefault="004B3261">
      <w:pPr>
        <w:pStyle w:val="a3"/>
        <w:ind w:firstLineChars="0" w:firstLine="0"/>
      </w:pPr>
    </w:p>
    <w:p w14:paraId="768078C6" w14:textId="77777777" w:rsidR="004B3261" w:rsidRDefault="00000000">
      <w:pPr>
        <w:pStyle w:val="1"/>
        <w:keepNext/>
        <w:pageBreakBefore/>
        <w:spacing w:before="156" w:after="156"/>
        <w:rPr>
          <w:rFonts w:ascii="黑体" w:hAnsi="黑体" w:cs="黑体"/>
        </w:rPr>
      </w:pPr>
      <w:r>
        <w:rPr>
          <w:rFonts w:hint="eastAsia"/>
        </w:rPr>
        <w:lastRenderedPageBreak/>
        <w:t>三、数据预处理与建模方法</w:t>
      </w:r>
    </w:p>
    <w:p w14:paraId="39A63BAA" w14:textId="77777777" w:rsidR="004B3261" w:rsidRDefault="00000000">
      <w:pPr>
        <w:pStyle w:val="2"/>
        <w:keepNext/>
        <w:spacing w:before="156" w:after="156"/>
        <w:rPr>
          <w:color w:val="FF0000"/>
        </w:rPr>
      </w:pPr>
      <w:bookmarkStart w:id="4" w:name="_Toc106"/>
      <w:bookmarkStart w:id="5" w:name="_Toc19170"/>
      <w:bookmarkStart w:id="6" w:name="_Toc10547"/>
      <w:r>
        <w:rPr>
          <w:rFonts w:hint="eastAsia"/>
        </w:rPr>
        <w:t>（一）</w:t>
      </w:r>
      <w:r>
        <w:rPr>
          <w:rFonts w:hint="eastAsia"/>
        </w:rPr>
        <w:t xml:space="preserve"> </w:t>
      </w:r>
      <w:bookmarkEnd w:id="4"/>
      <w:bookmarkEnd w:id="5"/>
      <w:bookmarkEnd w:id="6"/>
      <w:r>
        <w:rPr>
          <w:rFonts w:hint="eastAsia"/>
        </w:rPr>
        <w:t>数据来源与预处理</w:t>
      </w:r>
    </w:p>
    <w:p w14:paraId="394BCCCA" w14:textId="77777777" w:rsidR="004B3261" w:rsidRDefault="00000000">
      <w:pPr>
        <w:pStyle w:val="3"/>
        <w:spacing w:before="156" w:after="156"/>
      </w:pPr>
      <w:bookmarkStart w:id="7" w:name="_Toc2799"/>
      <w:bookmarkStart w:id="8" w:name="_Toc27394"/>
      <w:bookmarkStart w:id="9" w:name="_Toc22208"/>
      <w:r>
        <w:rPr>
          <w:rFonts w:hint="eastAsia"/>
        </w:rPr>
        <w:t>1.</w:t>
      </w:r>
      <w:bookmarkEnd w:id="7"/>
      <w:bookmarkEnd w:id="8"/>
      <w:bookmarkEnd w:id="9"/>
      <w:r>
        <w:rPr>
          <w:rFonts w:hint="eastAsia"/>
        </w:rPr>
        <w:t>基础数据来源</w:t>
      </w:r>
    </w:p>
    <w:p w14:paraId="2BFC27AB" w14:textId="77777777" w:rsidR="004B3261" w:rsidRDefault="00000000">
      <w:pPr>
        <w:pStyle w:val="a3"/>
        <w:ind w:firstLineChars="0"/>
      </w:pPr>
      <w:r>
        <w:rPr>
          <w:rFonts w:hint="eastAsia"/>
        </w:rPr>
        <w:t>本研究所用数据主要来自以下三个渠道：</w:t>
      </w:r>
    </w:p>
    <w:p w14:paraId="038A8D23" w14:textId="77777777" w:rsidR="004B3261" w:rsidRDefault="00000000">
      <w:pPr>
        <w:pStyle w:val="a3"/>
        <w:ind w:firstLineChars="0"/>
        <w:rPr>
          <w:rFonts w:ascii="宋体" w:hAnsi="宋体" w:cs="宋体"/>
          <w:szCs w:val="21"/>
        </w:rPr>
      </w:pPr>
      <w:r>
        <w:rPr>
          <w:rFonts w:ascii="宋体" w:hAnsi="宋体" w:cs="宋体"/>
          <w:szCs w:val="21"/>
        </w:rPr>
        <w:t>农业生产数据取自历年《中国统计年鉴》《中国农村统计年鉴》及各省统计公报，涉及粮食单产、农机总动力、化肥施用量和有效灌溉面积等指标。</w:t>
      </w:r>
    </w:p>
    <w:p w14:paraId="75552C29" w14:textId="77777777" w:rsidR="004B3261" w:rsidRDefault="00000000">
      <w:pPr>
        <w:pStyle w:val="a3"/>
        <w:ind w:firstLineChars="0"/>
        <w:rPr>
          <w:rFonts w:ascii="宋体" w:hAnsi="宋体" w:cs="宋体"/>
          <w:szCs w:val="21"/>
        </w:rPr>
      </w:pPr>
      <w:r>
        <w:rPr>
          <w:rFonts w:ascii="宋体" w:hAnsi="宋体" w:cs="宋体"/>
          <w:szCs w:val="21"/>
        </w:rPr>
        <w:t>气象监测数据方面，平均气温、累积降水量、日照时数和干旱指数（SPEI）均根据中国气象数据网（CMDC）提供的省域逐日监测数据计算得到。</w:t>
      </w:r>
    </w:p>
    <w:p w14:paraId="5F8C26CA" w14:textId="77777777" w:rsidR="004B3261" w:rsidRDefault="00000000">
      <w:pPr>
        <w:pStyle w:val="a3"/>
        <w:ind w:firstLineChars="0"/>
        <w:rPr>
          <w:rFonts w:ascii="宋体" w:hAnsi="宋体" w:cs="宋体"/>
          <w:szCs w:val="21"/>
        </w:rPr>
      </w:pPr>
      <w:r>
        <w:rPr>
          <w:rFonts w:ascii="宋体" w:hAnsi="宋体" w:cs="宋体"/>
          <w:szCs w:val="21"/>
        </w:rPr>
        <w:t>致灾因子数据则出自历年《中国水旱灾害公报》，主要包括洪涝灾害占比和受灾面积等</w:t>
      </w:r>
      <w:r>
        <w:rPr>
          <w:rFonts w:ascii="宋体" w:hAnsi="宋体" w:cs="宋体" w:hint="eastAsia"/>
          <w:szCs w:val="21"/>
        </w:rPr>
        <w:t>。</w:t>
      </w:r>
    </w:p>
    <w:p w14:paraId="1EB90401" w14:textId="77777777" w:rsidR="004B3261" w:rsidRDefault="00000000">
      <w:pPr>
        <w:pStyle w:val="3"/>
        <w:spacing w:before="156" w:after="156"/>
      </w:pPr>
      <w:r>
        <w:rPr>
          <w:rFonts w:hint="eastAsia"/>
        </w:rPr>
        <w:t>2.</w:t>
      </w:r>
      <w:r>
        <w:rPr>
          <w:rFonts w:hint="eastAsia"/>
        </w:rPr>
        <w:t>数据预处理</w:t>
      </w:r>
    </w:p>
    <w:p w14:paraId="3ADB4E10" w14:textId="77777777" w:rsidR="004B3261" w:rsidRDefault="00000000">
      <w:pPr>
        <w:pStyle w:val="a3"/>
        <w:ind w:firstLineChars="0"/>
      </w:pPr>
      <w:r>
        <w:t>原始统计资料通常带有噪声，各指标量纲不一致</w:t>
      </w:r>
      <w:r>
        <w:rPr>
          <w:rFonts w:hint="eastAsia"/>
        </w:rPr>
        <w:t>的特点</w:t>
      </w:r>
      <w:r>
        <w:t>，有些序列还存在非平稳特征，直接建模会影响效果。为此，在建模前我们对数据做了三步预处理：</w:t>
      </w:r>
    </w:p>
    <w:p w14:paraId="0A4EA265" w14:textId="77777777" w:rsidR="004B3261" w:rsidRDefault="00000000">
      <w:pPr>
        <w:pStyle w:val="a3"/>
        <w:ind w:firstLineChars="0"/>
      </w:pPr>
      <w:r>
        <w:t>①</w:t>
      </w:r>
      <w:r>
        <w:t>数据清洗与缺失值补全</w:t>
      </w:r>
    </w:p>
    <w:p w14:paraId="05B8A35C" w14:textId="77777777" w:rsidR="004B3261" w:rsidRDefault="00000000">
      <w:pPr>
        <w:pStyle w:val="a3"/>
        <w:ind w:firstLineChars="0"/>
      </w:pPr>
      <w:r>
        <w:t>在整理全国</w:t>
      </w:r>
      <w:r>
        <w:t>31</w:t>
      </w:r>
      <w:r>
        <w:t>个省份面板数据时，个别年份出现了缺失。对这些偶发性的缺漏，</w:t>
      </w:r>
      <w:r>
        <w:rPr>
          <w:rFonts w:hint="eastAsia"/>
        </w:rPr>
        <w:t>我们</w:t>
      </w:r>
      <w:r>
        <w:t>采用线性插值的方法进行平滑回填，这样能尽量保证时空观测样本的连续性，为后面的长时序深度学习提供比较可靠的数据基础。</w:t>
      </w:r>
    </w:p>
    <w:p w14:paraId="175FA969" w14:textId="77777777" w:rsidR="004B3261" w:rsidRDefault="00000000">
      <w:pPr>
        <w:pStyle w:val="a3"/>
        <w:ind w:firstLineChars="0"/>
      </w:pPr>
      <w:r>
        <w:t>②</w:t>
      </w:r>
      <w:r>
        <w:t>粮食单产去趋势化与降噪处理</w:t>
      </w:r>
    </w:p>
    <w:p w14:paraId="4BF2E255" w14:textId="77777777" w:rsidR="004B3261" w:rsidRDefault="00000000">
      <w:pPr>
        <w:pStyle w:val="a3"/>
        <w:ind w:firstLineChars="0"/>
      </w:pPr>
      <w:r>
        <w:t>粮食单产受技术进步的影响，长期来看呈上升趋势。如果直接用原始数据建模，很难把极端气候造成的</w:t>
      </w:r>
      <w:r>
        <w:t>“</w:t>
      </w:r>
      <w:r>
        <w:t>随机风险</w:t>
      </w:r>
      <w:r>
        <w:t>”</w:t>
      </w:r>
      <w:r>
        <w:t>单独分离出来。解决思路是利用</w:t>
      </w:r>
      <w:r>
        <w:t>Butterworth</w:t>
      </w:r>
      <w:r>
        <w:t>低通滤波器对单产序列进行分解，设定合适的截止频率，把代表技术进步的长期趋势分量过滤掉，提取残差部分作为衡量气候波动风险的指标</w:t>
      </w:r>
      <w:r>
        <w:t>Y</w:t>
      </w:r>
      <w:r>
        <w:t>。在这之后，再对残差序列做一次二阶低通滤波平滑，目的是去掉随机采集误差，同时保留风险演化中主要的震荡特征。这样处理后，模型对突发性极端情形的识别能力明显提高。</w:t>
      </w:r>
    </w:p>
    <w:p w14:paraId="3FE1B1C4" w14:textId="77777777" w:rsidR="004B3261" w:rsidRDefault="00000000">
      <w:pPr>
        <w:pStyle w:val="a3"/>
        <w:ind w:firstLineChars="0"/>
      </w:pPr>
      <w:r>
        <w:t>③</w:t>
      </w:r>
      <w:r>
        <w:t>特征量纲标准化</w:t>
      </w:r>
    </w:p>
    <w:p w14:paraId="506D92B4" w14:textId="77777777" w:rsidR="004B3261" w:rsidRDefault="00000000">
      <w:pPr>
        <w:ind w:firstLineChars="200" w:firstLine="420"/>
        <w:rPr>
          <w:rFonts w:ascii="Times New Roman" w:eastAsia="宋体" w:hAnsi="Calibri" w:cs="Times New Roman"/>
          <w:kern w:val="0"/>
          <w:szCs w:val="20"/>
        </w:rPr>
      </w:pPr>
      <w:r>
        <w:rPr>
          <w:rFonts w:ascii="Times New Roman" w:eastAsia="宋体" w:hAnsi="Calibri" w:cs="Times New Roman"/>
          <w:kern w:val="0"/>
          <w:szCs w:val="20"/>
        </w:rPr>
        <w:t>气象、致灾和社会经济因子的量纲差别太大，直接输入到模型中不但会减缓收敛速度，还会导致分析结果出现偏差。因此所有的解释变量都被进行了</w:t>
      </w:r>
      <w:r>
        <w:rPr>
          <w:rFonts w:ascii="Times New Roman" w:eastAsia="宋体" w:hAnsi="Calibri" w:cs="Times New Roman"/>
          <w:kern w:val="0"/>
          <w:szCs w:val="20"/>
        </w:rPr>
        <w:t>Z-score</w:t>
      </w:r>
      <w:r>
        <w:rPr>
          <w:rFonts w:ascii="Times New Roman" w:eastAsia="宋体" w:hAnsi="Calibri" w:cs="Times New Roman"/>
          <w:kern w:val="0"/>
          <w:szCs w:val="20"/>
        </w:rPr>
        <w:t>标准化处理，即每一个变量的均值都为</w:t>
      </w:r>
      <w:r>
        <w:rPr>
          <w:rFonts w:ascii="Times New Roman" w:eastAsia="宋体" w:hAnsi="Calibri" w:cs="Times New Roman"/>
          <w:kern w:val="0"/>
          <w:szCs w:val="20"/>
        </w:rPr>
        <w:t>0</w:t>
      </w:r>
      <w:r>
        <w:rPr>
          <w:rFonts w:ascii="Times New Roman" w:eastAsia="宋体" w:hAnsi="Calibri" w:cs="Times New Roman"/>
          <w:kern w:val="0"/>
          <w:szCs w:val="20"/>
        </w:rPr>
        <w:t>，标准差都为</w:t>
      </w:r>
      <w:r>
        <w:rPr>
          <w:rFonts w:ascii="Times New Roman" w:eastAsia="宋体" w:hAnsi="Calibri" w:cs="Times New Roman"/>
          <w:kern w:val="0"/>
          <w:szCs w:val="20"/>
        </w:rPr>
        <w:t>1</w:t>
      </w:r>
      <w:r>
        <w:rPr>
          <w:rFonts w:ascii="Times New Roman" w:eastAsia="宋体" w:hAnsi="Calibri" w:cs="Times New Roman"/>
          <w:kern w:val="0"/>
          <w:szCs w:val="20"/>
        </w:rPr>
        <w:t>。</w:t>
      </w:r>
    </w:p>
    <w:p w14:paraId="16A1EFD1" w14:textId="77777777" w:rsidR="004B3261" w:rsidRDefault="00000000">
      <w:pPr>
        <w:ind w:firstLineChars="200" w:firstLine="420"/>
        <w:rPr>
          <w:rFonts w:ascii="Times New Roman" w:eastAsia="宋体" w:hAnsi="Calibri" w:cs="Times New Roman"/>
          <w:kern w:val="0"/>
          <w:szCs w:val="20"/>
        </w:rPr>
      </w:pPr>
      <w:r>
        <w:rPr>
          <w:rFonts w:ascii="Times New Roman" w:eastAsia="宋体" w:hAnsi="Calibri" w:cs="Times New Roman"/>
          <w:kern w:val="0"/>
          <w:szCs w:val="20"/>
        </w:rPr>
        <w:t>计算公式如下：</w:t>
      </w:r>
    </w:p>
    <w:p w14:paraId="5D79D208" w14:textId="77777777" w:rsidR="004B3261" w:rsidRDefault="00000000">
      <w:pPr>
        <w:pStyle w:val="a3"/>
        <w:ind w:firstLineChars="0"/>
        <w:jc w:val="center"/>
      </w:pPr>
      <w:r>
        <w:rPr>
          <w:noProof/>
        </w:rPr>
        <w:drawing>
          <wp:inline distT="0" distB="0" distL="114300" distR="114300" wp14:anchorId="3FC754AB" wp14:editId="5D07ED8D">
            <wp:extent cx="619125" cy="390525"/>
            <wp:effectExtent l="0" t="0" r="317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8"/>
                    <a:stretch>
                      <a:fillRect/>
                    </a:stretch>
                  </pic:blipFill>
                  <pic:spPr>
                    <a:xfrm>
                      <a:off x="0" y="0"/>
                      <a:ext cx="619125" cy="390525"/>
                    </a:xfrm>
                    <a:prstGeom prst="rect">
                      <a:avLst/>
                    </a:prstGeom>
                    <a:noFill/>
                    <a:ln>
                      <a:noFill/>
                    </a:ln>
                  </pic:spPr>
                </pic:pic>
              </a:graphicData>
            </a:graphic>
          </wp:inline>
        </w:drawing>
      </w:r>
    </w:p>
    <w:p w14:paraId="257B6416" w14:textId="77777777" w:rsidR="004B3261" w:rsidRDefault="00000000">
      <w:pPr>
        <w:pStyle w:val="a3"/>
      </w:pPr>
      <w:r>
        <w:t>其中，</w:t>
      </w:r>
      <w:r>
        <w:t>x</w:t>
      </w:r>
      <w:r>
        <w:rPr>
          <w:rFonts w:hint="eastAsia"/>
        </w:rPr>
        <w:t>为</w:t>
      </w:r>
      <w:r>
        <w:t>原始观测值，</w:t>
      </w:r>
      <w:r>
        <w:t>μ</w:t>
      </w:r>
      <w:r>
        <w:t>为该变量的样本均值，</w:t>
      </w:r>
      <w:r>
        <w:t>σ</w:t>
      </w:r>
      <w:r>
        <w:t>为样本标准差。经过这三步预处理，数据在平稳性和一致性上达到了建模要求，可以用于后续的因子识别和风险预测。</w:t>
      </w:r>
    </w:p>
    <w:p w14:paraId="09BB580B" w14:textId="77777777" w:rsidR="004B3261" w:rsidRDefault="00000000">
      <w:pPr>
        <w:pStyle w:val="2"/>
        <w:keepNext/>
        <w:spacing w:before="156" w:after="156"/>
      </w:pPr>
      <w:r>
        <w:rPr>
          <w:rFonts w:hint="eastAsia"/>
        </w:rPr>
        <w:lastRenderedPageBreak/>
        <w:t>（二）指标体系构建与描述性统计</w:t>
      </w:r>
    </w:p>
    <w:p w14:paraId="732D4C60" w14:textId="77777777" w:rsidR="004B3261" w:rsidRDefault="00000000">
      <w:pPr>
        <w:pStyle w:val="3"/>
        <w:spacing w:before="156" w:after="156"/>
      </w:pPr>
      <w:r>
        <w:rPr>
          <w:rFonts w:hint="eastAsia"/>
        </w:rPr>
        <w:t>1.</w:t>
      </w:r>
      <w:r>
        <w:rPr>
          <w:rFonts w:hint="eastAsia"/>
        </w:rPr>
        <w:t>评价指标体系构建</w:t>
      </w:r>
    </w:p>
    <w:p w14:paraId="2BD7E96D" w14:textId="77777777" w:rsidR="004B3261" w:rsidRDefault="00000000">
      <w:pPr>
        <w:ind w:firstLineChars="200" w:firstLine="420"/>
        <w:rPr>
          <w:rFonts w:ascii="宋体" w:eastAsia="宋体" w:hAnsi="宋体" w:cs="宋体"/>
          <w:szCs w:val="21"/>
        </w:rPr>
      </w:pPr>
      <w:bookmarkStart w:id="10" w:name="_Toc12637"/>
      <w:bookmarkStart w:id="11" w:name="_Toc20395"/>
      <w:bookmarkStart w:id="12" w:name="_Toc29754"/>
      <w:r>
        <w:rPr>
          <w:rFonts w:ascii="宋体" w:eastAsia="宋体" w:hAnsi="宋体" w:cs="宋体"/>
          <w:szCs w:val="21"/>
        </w:rPr>
        <w:t>粮食生产系统风险波动并不是单一气象因子可以解释的，是外部自然冲击和系统自身物理韧性相互博弈的结果。为了把复杂的对冲机制理清楚，本文建立了一个包含“致灾”和“韧性”两个方面的评价体系（见表3-1）：</w:t>
      </w:r>
    </w:p>
    <w:p w14:paraId="1522B977" w14:textId="77777777" w:rsidR="004B3261" w:rsidRDefault="00000000">
      <w:pPr>
        <w:rPr>
          <w:rFonts w:ascii="宋体" w:eastAsia="宋体" w:hAnsi="宋体" w:cs="宋体"/>
          <w:szCs w:val="21"/>
        </w:rPr>
      </w:pPr>
      <w:r>
        <w:rPr>
          <w:rFonts w:ascii="宋体" w:eastAsia="宋体" w:hAnsi="宋体" w:cs="宋体"/>
          <w:szCs w:val="21"/>
        </w:rPr>
        <w:t>（1）致灾维度（风险诱发源）。该维度包含了降水、气温、光照、干旱指数（SPEI）、洪涝占比这些指标，它们体现的是自然界对于农业产出造成的大范围随机破坏的能力，是引起单产急剧变化的主要外部因素。</w:t>
      </w:r>
    </w:p>
    <w:p w14:paraId="7031CCEA" w14:textId="77777777" w:rsidR="004B3261" w:rsidRDefault="00000000">
      <w:pPr>
        <w:pStyle w:val="a3"/>
        <w:ind w:firstLineChars="0" w:firstLine="0"/>
        <w:rPr>
          <w:rFonts w:ascii="宋体" w:hAnsi="宋体" w:cs="宋体"/>
          <w:szCs w:val="21"/>
        </w:rPr>
      </w:pPr>
      <w:r>
        <w:rPr>
          <w:rFonts w:ascii="宋体" w:hAnsi="宋体" w:cs="宋体"/>
          <w:szCs w:val="21"/>
        </w:rPr>
        <w:t>（2）韧性维度（风险对冲力）。该维度选择了农田灌溉率、农机总动力、化肥施用量等主要指标来反映农业系统在受到冲击的时候的防御能力以及恢复的可能性。覆盖广泛的灌溉网络可以有效地缓解由于降水突然减少所造成的旱灾，体现了系统底层物理抗逆性能。</w:t>
      </w:r>
    </w:p>
    <w:p w14:paraId="418F202C" w14:textId="77777777" w:rsidR="004B3261" w:rsidRDefault="00000000">
      <w:pPr>
        <w:pStyle w:val="a3"/>
        <w:rPr>
          <w:rFonts w:ascii="宋体" w:hAnsi="宋体" w:cs="宋体"/>
          <w:szCs w:val="21"/>
        </w:rPr>
      </w:pPr>
      <w:r>
        <w:rPr>
          <w:rFonts w:ascii="宋体" w:hAnsi="宋体" w:cs="宋体"/>
          <w:szCs w:val="21"/>
        </w:rPr>
        <w:t>本文希望通过建立这样的双维度体系，在后续的特征归因分析中可以定量区分出哪些风险属于不可控的气候冲击，哪些是可以人为干预提高防御韧性的，从而为制定更有针对性的减损政策提供依据。</w:t>
      </w:r>
    </w:p>
    <w:p w14:paraId="2AD218DE" w14:textId="77777777" w:rsidR="004B3261" w:rsidRDefault="004B3261">
      <w:pPr>
        <w:pStyle w:val="a3"/>
        <w:ind w:firstLineChars="0"/>
      </w:pPr>
    </w:p>
    <w:p w14:paraId="5910D12B" w14:textId="77777777" w:rsidR="004B3261" w:rsidRDefault="00000000">
      <w:pPr>
        <w:pStyle w:val="ab"/>
      </w:pPr>
      <w:r>
        <w:t>表</w:t>
      </w:r>
      <w:r>
        <w:rPr>
          <w:rFonts w:hint="eastAsia"/>
        </w:rPr>
        <w:t>3</w:t>
      </w:r>
      <w:r>
        <w:t>-1</w:t>
      </w:r>
      <w:r>
        <w:t>主要变量定义与指标体系</w:t>
      </w:r>
    </w:p>
    <w:tbl>
      <w:tblPr>
        <w:tblStyle w:val="a7"/>
        <w:tblW w:w="8522" w:type="dxa"/>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1558"/>
        <w:gridCol w:w="1699"/>
        <w:gridCol w:w="1011"/>
        <w:gridCol w:w="787"/>
        <w:gridCol w:w="3467"/>
      </w:tblGrid>
      <w:tr w:rsidR="004B3261" w14:paraId="7B8B9FA1" w14:textId="77777777">
        <w:trPr>
          <w:tblHeader/>
          <w:jc w:val="center"/>
        </w:trPr>
        <w:tc>
          <w:tcPr>
            <w:tcW w:w="1558" w:type="dxa"/>
            <w:tcBorders>
              <w:top w:val="single" w:sz="12" w:space="0" w:color="auto"/>
              <w:left w:val="nil"/>
              <w:bottom w:val="nil"/>
              <w:right w:val="nil"/>
            </w:tcBorders>
            <w:tcMar>
              <w:top w:w="-1" w:type="dxa"/>
              <w:left w:w="-1" w:type="dxa"/>
              <w:bottom w:w="-1" w:type="dxa"/>
              <w:right w:w="-1" w:type="dxa"/>
            </w:tcMar>
            <w:vAlign w:val="center"/>
          </w:tcPr>
          <w:p w14:paraId="75353443" w14:textId="77777777" w:rsidR="004B3261" w:rsidRDefault="00000000">
            <w:pPr>
              <w:widowControl/>
              <w:snapToGrid w:val="0"/>
              <w:jc w:val="center"/>
              <w:textAlignment w:val="bottom"/>
              <w:rPr>
                <w:rFonts w:ascii="宋体" w:eastAsia="宋体"/>
                <w:b/>
                <w:sz w:val="22"/>
              </w:rPr>
            </w:pPr>
            <w:r>
              <w:rPr>
                <w:rFonts w:ascii="宋体" w:eastAsia="宋体" w:hAnsi="宋体" w:cs="宋体" w:hint="eastAsia"/>
                <w:b/>
                <w:color w:val="000000"/>
                <w:kern w:val="0"/>
                <w:sz w:val="22"/>
                <w:lang w:bidi="ar"/>
              </w:rPr>
              <w:t>变量类别</w:t>
            </w:r>
          </w:p>
        </w:tc>
        <w:tc>
          <w:tcPr>
            <w:tcW w:w="1699" w:type="dxa"/>
            <w:tcBorders>
              <w:top w:val="single" w:sz="12" w:space="0" w:color="auto"/>
              <w:left w:val="nil"/>
              <w:bottom w:val="nil"/>
              <w:right w:val="nil"/>
            </w:tcBorders>
            <w:tcMar>
              <w:top w:w="-1" w:type="dxa"/>
              <w:left w:w="-1" w:type="dxa"/>
              <w:bottom w:w="-1" w:type="dxa"/>
              <w:right w:w="-1" w:type="dxa"/>
            </w:tcMar>
            <w:vAlign w:val="center"/>
          </w:tcPr>
          <w:p w14:paraId="1522DFC9" w14:textId="77777777" w:rsidR="004B3261" w:rsidRDefault="00000000">
            <w:pPr>
              <w:widowControl/>
              <w:snapToGrid w:val="0"/>
              <w:jc w:val="center"/>
              <w:textAlignment w:val="bottom"/>
              <w:rPr>
                <w:rFonts w:ascii="宋体" w:eastAsia="宋体"/>
                <w:b/>
                <w:sz w:val="22"/>
              </w:rPr>
            </w:pPr>
            <w:r>
              <w:rPr>
                <w:rFonts w:ascii="宋体" w:eastAsia="宋体" w:hAnsi="宋体" w:cs="宋体" w:hint="eastAsia"/>
                <w:b/>
                <w:color w:val="000000"/>
                <w:kern w:val="0"/>
                <w:sz w:val="22"/>
                <w:lang w:bidi="ar"/>
              </w:rPr>
              <w:t>变量名称</w:t>
            </w:r>
          </w:p>
        </w:tc>
        <w:tc>
          <w:tcPr>
            <w:tcW w:w="0" w:type="auto"/>
            <w:tcBorders>
              <w:top w:val="single" w:sz="12" w:space="0" w:color="auto"/>
              <w:left w:val="nil"/>
              <w:bottom w:val="nil"/>
              <w:right w:val="nil"/>
            </w:tcBorders>
            <w:tcMar>
              <w:top w:w="-1" w:type="dxa"/>
              <w:left w:w="-1" w:type="dxa"/>
              <w:bottom w:w="-1" w:type="dxa"/>
              <w:right w:w="-1" w:type="dxa"/>
            </w:tcMar>
            <w:vAlign w:val="center"/>
          </w:tcPr>
          <w:p w14:paraId="75EFD5CB" w14:textId="77777777" w:rsidR="004B3261" w:rsidRDefault="00000000">
            <w:pPr>
              <w:widowControl/>
              <w:snapToGrid w:val="0"/>
              <w:jc w:val="center"/>
              <w:textAlignment w:val="bottom"/>
              <w:rPr>
                <w:rFonts w:ascii="宋体" w:eastAsia="宋体"/>
                <w:b/>
                <w:sz w:val="22"/>
              </w:rPr>
            </w:pPr>
            <w:r>
              <w:rPr>
                <w:rFonts w:ascii="宋体" w:eastAsia="宋体" w:hAnsi="宋体" w:cs="宋体" w:hint="eastAsia"/>
                <w:b/>
                <w:color w:val="000000"/>
                <w:kern w:val="0"/>
                <w:sz w:val="22"/>
                <w:lang w:bidi="ar"/>
              </w:rPr>
              <w:t>符号</w:t>
            </w:r>
          </w:p>
        </w:tc>
        <w:tc>
          <w:tcPr>
            <w:tcW w:w="0" w:type="auto"/>
            <w:tcBorders>
              <w:top w:val="single" w:sz="12" w:space="0" w:color="auto"/>
              <w:left w:val="nil"/>
              <w:bottom w:val="nil"/>
              <w:right w:val="nil"/>
            </w:tcBorders>
            <w:tcMar>
              <w:top w:w="-1" w:type="dxa"/>
              <w:left w:w="-1" w:type="dxa"/>
              <w:bottom w:w="-1" w:type="dxa"/>
              <w:right w:w="-1" w:type="dxa"/>
            </w:tcMar>
            <w:vAlign w:val="center"/>
          </w:tcPr>
          <w:p w14:paraId="0CE9BA4B" w14:textId="77777777" w:rsidR="004B3261" w:rsidRDefault="00000000">
            <w:pPr>
              <w:widowControl/>
              <w:snapToGrid w:val="0"/>
              <w:jc w:val="center"/>
              <w:textAlignment w:val="bottom"/>
              <w:rPr>
                <w:rFonts w:ascii="宋体" w:eastAsia="宋体"/>
                <w:b/>
                <w:sz w:val="22"/>
              </w:rPr>
            </w:pPr>
            <w:r>
              <w:rPr>
                <w:rFonts w:ascii="宋体" w:eastAsia="宋体" w:hAnsi="宋体" w:cs="宋体" w:hint="eastAsia"/>
                <w:b/>
                <w:color w:val="000000"/>
                <w:kern w:val="0"/>
                <w:sz w:val="22"/>
                <w:lang w:bidi="ar"/>
              </w:rPr>
              <w:t>单位</w:t>
            </w:r>
          </w:p>
        </w:tc>
        <w:tc>
          <w:tcPr>
            <w:tcW w:w="3467" w:type="dxa"/>
            <w:tcBorders>
              <w:top w:val="single" w:sz="12" w:space="0" w:color="auto"/>
              <w:left w:val="nil"/>
              <w:bottom w:val="nil"/>
              <w:right w:val="nil"/>
            </w:tcBorders>
            <w:tcMar>
              <w:top w:w="-1" w:type="dxa"/>
              <w:left w:w="-1" w:type="dxa"/>
              <w:bottom w:w="-1" w:type="dxa"/>
              <w:right w:w="-1" w:type="dxa"/>
            </w:tcMar>
            <w:vAlign w:val="center"/>
          </w:tcPr>
          <w:p w14:paraId="7D9C984C" w14:textId="77777777" w:rsidR="004B3261" w:rsidRDefault="00000000">
            <w:pPr>
              <w:widowControl/>
              <w:snapToGrid w:val="0"/>
              <w:jc w:val="center"/>
              <w:textAlignment w:val="bottom"/>
              <w:rPr>
                <w:rFonts w:ascii="宋体" w:eastAsia="宋体"/>
                <w:b/>
                <w:sz w:val="22"/>
              </w:rPr>
            </w:pPr>
            <w:r>
              <w:rPr>
                <w:rFonts w:ascii="宋体" w:eastAsia="宋体" w:hAnsi="宋体" w:cs="宋体" w:hint="eastAsia"/>
                <w:b/>
                <w:color w:val="000000"/>
                <w:kern w:val="0"/>
                <w:sz w:val="22"/>
                <w:lang w:bidi="ar"/>
              </w:rPr>
              <w:t>计算/定义说明</w:t>
            </w:r>
          </w:p>
        </w:tc>
      </w:tr>
      <w:tr w:rsidR="004B3261" w14:paraId="7AADFB9E" w14:textId="77777777">
        <w:trPr>
          <w:jc w:val="center"/>
        </w:trPr>
        <w:tc>
          <w:tcPr>
            <w:tcW w:w="1558" w:type="dxa"/>
            <w:tcBorders>
              <w:top w:val="single" w:sz="4" w:space="0" w:color="auto"/>
              <w:left w:val="nil"/>
              <w:bottom w:val="nil"/>
              <w:right w:val="nil"/>
            </w:tcBorders>
            <w:tcMar>
              <w:top w:w="-1" w:type="dxa"/>
              <w:left w:w="-1" w:type="dxa"/>
              <w:bottom w:w="-1" w:type="dxa"/>
              <w:right w:w="-1" w:type="dxa"/>
            </w:tcMar>
            <w:vAlign w:val="center"/>
          </w:tcPr>
          <w:p w14:paraId="3677E5CA"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被解释变量</w:t>
            </w:r>
          </w:p>
        </w:tc>
        <w:tc>
          <w:tcPr>
            <w:tcW w:w="1699" w:type="dxa"/>
            <w:tcBorders>
              <w:top w:val="single" w:sz="4" w:space="0" w:color="auto"/>
              <w:left w:val="nil"/>
              <w:bottom w:val="nil"/>
              <w:right w:val="nil"/>
            </w:tcBorders>
            <w:tcMar>
              <w:top w:w="-1" w:type="dxa"/>
              <w:left w:w="-1" w:type="dxa"/>
              <w:bottom w:w="-1" w:type="dxa"/>
              <w:right w:w="-1" w:type="dxa"/>
            </w:tcMar>
            <w:vAlign w:val="center"/>
          </w:tcPr>
          <w:p w14:paraId="30B74B6D"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粮食单产风险</w:t>
            </w:r>
          </w:p>
        </w:tc>
        <w:tc>
          <w:tcPr>
            <w:tcW w:w="0" w:type="auto"/>
            <w:tcBorders>
              <w:top w:val="single" w:sz="4" w:space="0" w:color="auto"/>
              <w:left w:val="nil"/>
              <w:bottom w:val="nil"/>
              <w:right w:val="nil"/>
            </w:tcBorders>
            <w:tcMar>
              <w:top w:w="-1" w:type="dxa"/>
              <w:left w:w="-1" w:type="dxa"/>
              <w:bottom w:w="-1" w:type="dxa"/>
              <w:right w:w="-1" w:type="dxa"/>
            </w:tcMar>
            <w:vAlign w:val="center"/>
          </w:tcPr>
          <w:p w14:paraId="02D574A9"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Y</w:t>
            </w:r>
          </w:p>
        </w:tc>
        <w:tc>
          <w:tcPr>
            <w:tcW w:w="0" w:type="auto"/>
            <w:tcBorders>
              <w:top w:val="single" w:sz="4" w:space="0" w:color="auto"/>
              <w:left w:val="nil"/>
              <w:bottom w:val="nil"/>
              <w:right w:val="nil"/>
            </w:tcBorders>
            <w:tcMar>
              <w:top w:w="-1" w:type="dxa"/>
              <w:left w:w="-1" w:type="dxa"/>
              <w:bottom w:w="-1" w:type="dxa"/>
              <w:right w:w="-1" w:type="dxa"/>
            </w:tcMar>
            <w:vAlign w:val="center"/>
          </w:tcPr>
          <w:p w14:paraId="51E925A0"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w:t>
            </w:r>
          </w:p>
        </w:tc>
        <w:tc>
          <w:tcPr>
            <w:tcW w:w="3467" w:type="dxa"/>
            <w:tcBorders>
              <w:top w:val="single" w:sz="4" w:space="0" w:color="auto"/>
              <w:left w:val="nil"/>
              <w:bottom w:val="nil"/>
              <w:right w:val="nil"/>
            </w:tcBorders>
            <w:tcMar>
              <w:top w:w="-1" w:type="dxa"/>
              <w:left w:w="-1" w:type="dxa"/>
              <w:bottom w:w="-1" w:type="dxa"/>
              <w:right w:w="-1" w:type="dxa"/>
            </w:tcMar>
            <w:vAlign w:val="center"/>
          </w:tcPr>
          <w:p w14:paraId="785547BC"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经过Butterworth低通滤波分离后的单产波动项</w:t>
            </w:r>
          </w:p>
        </w:tc>
      </w:tr>
      <w:tr w:rsidR="004B3261" w14:paraId="0FDD9385" w14:textId="77777777">
        <w:trPr>
          <w:jc w:val="center"/>
        </w:trPr>
        <w:tc>
          <w:tcPr>
            <w:tcW w:w="1558" w:type="dxa"/>
            <w:vMerge w:val="restart"/>
            <w:tcBorders>
              <w:top w:val="nil"/>
              <w:left w:val="nil"/>
              <w:bottom w:val="nil"/>
              <w:right w:val="nil"/>
            </w:tcBorders>
            <w:tcMar>
              <w:top w:w="-1" w:type="dxa"/>
              <w:left w:w="-1" w:type="dxa"/>
              <w:bottom w:w="-1" w:type="dxa"/>
              <w:right w:w="-1" w:type="dxa"/>
            </w:tcMar>
            <w:vAlign w:val="center"/>
          </w:tcPr>
          <w:p w14:paraId="7F9AD435"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解释变量：气候因子</w:t>
            </w:r>
          </w:p>
        </w:tc>
        <w:tc>
          <w:tcPr>
            <w:tcW w:w="1699" w:type="dxa"/>
            <w:tcBorders>
              <w:top w:val="nil"/>
              <w:left w:val="nil"/>
              <w:bottom w:val="nil"/>
              <w:right w:val="nil"/>
            </w:tcBorders>
            <w:tcMar>
              <w:top w:w="-1" w:type="dxa"/>
              <w:left w:w="-1" w:type="dxa"/>
              <w:bottom w:w="-1" w:type="dxa"/>
              <w:right w:w="-1" w:type="dxa"/>
            </w:tcMar>
            <w:vAlign w:val="center"/>
          </w:tcPr>
          <w:p w14:paraId="71CBE02D"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平均气温</w:t>
            </w:r>
          </w:p>
        </w:tc>
        <w:tc>
          <w:tcPr>
            <w:tcW w:w="0" w:type="auto"/>
            <w:tcBorders>
              <w:top w:val="nil"/>
              <w:left w:val="nil"/>
              <w:bottom w:val="nil"/>
              <w:right w:val="nil"/>
            </w:tcBorders>
            <w:tcMar>
              <w:top w:w="-1" w:type="dxa"/>
              <w:left w:w="-1" w:type="dxa"/>
              <w:bottom w:w="-1" w:type="dxa"/>
              <w:right w:w="-1" w:type="dxa"/>
            </w:tcMar>
            <w:vAlign w:val="center"/>
          </w:tcPr>
          <w:p w14:paraId="3563FFFB"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Temp</w:t>
            </w:r>
          </w:p>
        </w:tc>
        <w:tc>
          <w:tcPr>
            <w:tcW w:w="0" w:type="auto"/>
            <w:tcBorders>
              <w:top w:val="nil"/>
              <w:left w:val="nil"/>
              <w:bottom w:val="nil"/>
              <w:right w:val="nil"/>
            </w:tcBorders>
            <w:tcMar>
              <w:top w:w="-1" w:type="dxa"/>
              <w:left w:w="-1" w:type="dxa"/>
              <w:bottom w:w="-1" w:type="dxa"/>
              <w:right w:w="-1" w:type="dxa"/>
            </w:tcMar>
            <w:vAlign w:val="center"/>
          </w:tcPr>
          <w:p w14:paraId="58600DBC" w14:textId="77777777" w:rsidR="004B3261" w:rsidRDefault="00000000">
            <w:pPr>
              <w:widowControl/>
              <w:snapToGrid w:val="0"/>
              <w:jc w:val="center"/>
              <w:textAlignment w:val="bottom"/>
              <w:rPr>
                <w:rFonts w:ascii="宋体" w:eastAsia="宋体"/>
                <w:sz w:val="22"/>
              </w:rPr>
            </w:pPr>
            <w:r>
              <w:rPr>
                <w:rFonts w:ascii="宋体" w:eastAsia="宋体" w:hint="eastAsia"/>
                <w:sz w:val="22"/>
              </w:rPr>
              <w:t>℃</w:t>
            </w:r>
          </w:p>
        </w:tc>
        <w:tc>
          <w:tcPr>
            <w:tcW w:w="3467" w:type="dxa"/>
            <w:tcBorders>
              <w:top w:val="nil"/>
              <w:left w:val="nil"/>
              <w:bottom w:val="nil"/>
              <w:right w:val="nil"/>
            </w:tcBorders>
            <w:tcMar>
              <w:top w:w="-1" w:type="dxa"/>
              <w:left w:w="-1" w:type="dxa"/>
              <w:bottom w:w="-1" w:type="dxa"/>
              <w:right w:w="-1" w:type="dxa"/>
            </w:tcMar>
            <w:vAlign w:val="center"/>
          </w:tcPr>
          <w:p w14:paraId="77FBBF0F"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年度省域平均气温</w:t>
            </w:r>
          </w:p>
        </w:tc>
      </w:tr>
      <w:tr w:rsidR="004B3261" w14:paraId="0B693E44" w14:textId="77777777">
        <w:trPr>
          <w:jc w:val="center"/>
        </w:trPr>
        <w:tc>
          <w:tcPr>
            <w:tcW w:w="1558" w:type="dxa"/>
            <w:vMerge/>
            <w:tcBorders>
              <w:top w:val="nil"/>
              <w:left w:val="nil"/>
              <w:bottom w:val="nil"/>
              <w:right w:val="nil"/>
            </w:tcBorders>
            <w:tcMar>
              <w:top w:w="-1" w:type="dxa"/>
              <w:left w:w="-1" w:type="dxa"/>
              <w:bottom w:w="-1" w:type="dxa"/>
              <w:right w:w="-1" w:type="dxa"/>
            </w:tcMar>
            <w:vAlign w:val="center"/>
          </w:tcPr>
          <w:p w14:paraId="42710C8A" w14:textId="77777777" w:rsidR="004B3261" w:rsidRDefault="004B3261">
            <w:pPr>
              <w:widowControl/>
              <w:snapToGrid w:val="0"/>
              <w:jc w:val="center"/>
              <w:textAlignment w:val="bottom"/>
              <w:rPr>
                <w:rFonts w:ascii="宋体" w:eastAsia="宋体"/>
                <w:sz w:val="22"/>
              </w:rPr>
            </w:pPr>
          </w:p>
        </w:tc>
        <w:tc>
          <w:tcPr>
            <w:tcW w:w="1699" w:type="dxa"/>
            <w:tcBorders>
              <w:top w:val="nil"/>
              <w:left w:val="nil"/>
              <w:bottom w:val="nil"/>
              <w:right w:val="nil"/>
            </w:tcBorders>
            <w:tcMar>
              <w:top w:w="-1" w:type="dxa"/>
              <w:left w:w="-1" w:type="dxa"/>
              <w:bottom w:w="-1" w:type="dxa"/>
              <w:right w:w="-1" w:type="dxa"/>
            </w:tcMar>
            <w:vAlign w:val="center"/>
          </w:tcPr>
          <w:p w14:paraId="05FADEF5"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干旱指数</w:t>
            </w:r>
          </w:p>
        </w:tc>
        <w:tc>
          <w:tcPr>
            <w:tcW w:w="0" w:type="auto"/>
            <w:tcBorders>
              <w:top w:val="nil"/>
              <w:left w:val="nil"/>
              <w:bottom w:val="nil"/>
              <w:right w:val="nil"/>
            </w:tcBorders>
            <w:tcMar>
              <w:top w:w="-1" w:type="dxa"/>
              <w:left w:w="-1" w:type="dxa"/>
              <w:bottom w:w="-1" w:type="dxa"/>
              <w:right w:w="-1" w:type="dxa"/>
            </w:tcMar>
            <w:vAlign w:val="center"/>
          </w:tcPr>
          <w:p w14:paraId="044801CC"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SPEI</w:t>
            </w:r>
          </w:p>
        </w:tc>
        <w:tc>
          <w:tcPr>
            <w:tcW w:w="0" w:type="auto"/>
            <w:tcBorders>
              <w:top w:val="nil"/>
              <w:left w:val="nil"/>
              <w:bottom w:val="nil"/>
              <w:right w:val="nil"/>
            </w:tcBorders>
            <w:tcMar>
              <w:top w:w="-1" w:type="dxa"/>
              <w:left w:w="-1" w:type="dxa"/>
              <w:bottom w:w="-1" w:type="dxa"/>
              <w:right w:w="-1" w:type="dxa"/>
            </w:tcMar>
            <w:vAlign w:val="center"/>
          </w:tcPr>
          <w:p w14:paraId="5979A9B4"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w:t>
            </w:r>
          </w:p>
        </w:tc>
        <w:tc>
          <w:tcPr>
            <w:tcW w:w="3467" w:type="dxa"/>
            <w:tcBorders>
              <w:top w:val="nil"/>
              <w:left w:val="nil"/>
              <w:bottom w:val="nil"/>
              <w:right w:val="nil"/>
            </w:tcBorders>
            <w:tcMar>
              <w:top w:w="-1" w:type="dxa"/>
              <w:left w:w="-1" w:type="dxa"/>
              <w:bottom w:w="-1" w:type="dxa"/>
              <w:right w:w="-1" w:type="dxa"/>
            </w:tcMar>
            <w:vAlign w:val="center"/>
          </w:tcPr>
          <w:p w14:paraId="2B7039E1"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标准化降水蒸散指数（月均值）</w:t>
            </w:r>
          </w:p>
        </w:tc>
      </w:tr>
      <w:tr w:rsidR="004B3261" w14:paraId="0F57DB8F" w14:textId="77777777">
        <w:trPr>
          <w:jc w:val="center"/>
        </w:trPr>
        <w:tc>
          <w:tcPr>
            <w:tcW w:w="1558" w:type="dxa"/>
            <w:vMerge/>
            <w:tcBorders>
              <w:top w:val="nil"/>
              <w:left w:val="nil"/>
              <w:bottom w:val="nil"/>
              <w:right w:val="nil"/>
            </w:tcBorders>
            <w:tcMar>
              <w:top w:w="-1" w:type="dxa"/>
              <w:left w:w="-1" w:type="dxa"/>
              <w:bottom w:w="-1" w:type="dxa"/>
              <w:right w:w="-1" w:type="dxa"/>
            </w:tcMar>
            <w:vAlign w:val="center"/>
          </w:tcPr>
          <w:p w14:paraId="5F865BCB" w14:textId="77777777" w:rsidR="004B3261" w:rsidRDefault="004B3261">
            <w:pPr>
              <w:widowControl/>
              <w:snapToGrid w:val="0"/>
              <w:jc w:val="center"/>
              <w:textAlignment w:val="bottom"/>
              <w:rPr>
                <w:rFonts w:ascii="宋体" w:eastAsia="宋体"/>
                <w:sz w:val="22"/>
              </w:rPr>
            </w:pPr>
          </w:p>
        </w:tc>
        <w:tc>
          <w:tcPr>
            <w:tcW w:w="1699" w:type="dxa"/>
            <w:tcBorders>
              <w:top w:val="nil"/>
              <w:left w:val="nil"/>
              <w:bottom w:val="nil"/>
              <w:right w:val="nil"/>
            </w:tcBorders>
            <w:tcMar>
              <w:top w:w="-1" w:type="dxa"/>
              <w:left w:w="-1" w:type="dxa"/>
              <w:bottom w:w="-1" w:type="dxa"/>
              <w:right w:w="-1" w:type="dxa"/>
            </w:tcMar>
            <w:vAlign w:val="center"/>
          </w:tcPr>
          <w:p w14:paraId="407C5137"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降水量</w:t>
            </w:r>
          </w:p>
        </w:tc>
        <w:tc>
          <w:tcPr>
            <w:tcW w:w="0" w:type="auto"/>
            <w:tcBorders>
              <w:top w:val="nil"/>
              <w:left w:val="nil"/>
              <w:bottom w:val="nil"/>
              <w:right w:val="nil"/>
            </w:tcBorders>
            <w:tcMar>
              <w:top w:w="-1" w:type="dxa"/>
              <w:left w:w="-1" w:type="dxa"/>
              <w:bottom w:w="-1" w:type="dxa"/>
              <w:right w:w="-1" w:type="dxa"/>
            </w:tcMar>
            <w:vAlign w:val="center"/>
          </w:tcPr>
          <w:p w14:paraId="7C4475FB"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Prec</w:t>
            </w:r>
          </w:p>
        </w:tc>
        <w:tc>
          <w:tcPr>
            <w:tcW w:w="0" w:type="auto"/>
            <w:tcBorders>
              <w:top w:val="nil"/>
              <w:left w:val="nil"/>
              <w:bottom w:val="nil"/>
              <w:right w:val="nil"/>
            </w:tcBorders>
            <w:tcMar>
              <w:top w:w="-1" w:type="dxa"/>
              <w:left w:w="-1" w:type="dxa"/>
              <w:bottom w:w="-1" w:type="dxa"/>
              <w:right w:w="-1" w:type="dxa"/>
            </w:tcMar>
            <w:vAlign w:val="center"/>
          </w:tcPr>
          <w:p w14:paraId="696F1791"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mm</w:t>
            </w:r>
          </w:p>
        </w:tc>
        <w:tc>
          <w:tcPr>
            <w:tcW w:w="3467" w:type="dxa"/>
            <w:tcBorders>
              <w:top w:val="nil"/>
              <w:left w:val="nil"/>
              <w:bottom w:val="nil"/>
              <w:right w:val="nil"/>
            </w:tcBorders>
            <w:tcMar>
              <w:top w:w="-1" w:type="dxa"/>
              <w:left w:w="-1" w:type="dxa"/>
              <w:bottom w:w="-1" w:type="dxa"/>
              <w:right w:w="-1" w:type="dxa"/>
            </w:tcMar>
            <w:vAlign w:val="center"/>
          </w:tcPr>
          <w:p w14:paraId="65E7F967"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年度累计降水量</w:t>
            </w:r>
          </w:p>
        </w:tc>
      </w:tr>
      <w:tr w:rsidR="004B3261" w14:paraId="62F5B915" w14:textId="77777777">
        <w:trPr>
          <w:jc w:val="center"/>
        </w:trPr>
        <w:tc>
          <w:tcPr>
            <w:tcW w:w="1558" w:type="dxa"/>
            <w:vMerge/>
            <w:tcBorders>
              <w:top w:val="nil"/>
              <w:left w:val="nil"/>
              <w:bottom w:val="nil"/>
              <w:right w:val="nil"/>
            </w:tcBorders>
            <w:tcMar>
              <w:top w:w="-1" w:type="dxa"/>
              <w:left w:w="-1" w:type="dxa"/>
              <w:bottom w:w="-1" w:type="dxa"/>
              <w:right w:w="-1" w:type="dxa"/>
            </w:tcMar>
            <w:vAlign w:val="center"/>
          </w:tcPr>
          <w:p w14:paraId="388EA915" w14:textId="77777777" w:rsidR="004B3261" w:rsidRDefault="004B3261">
            <w:pPr>
              <w:widowControl/>
              <w:snapToGrid w:val="0"/>
              <w:jc w:val="center"/>
              <w:textAlignment w:val="bottom"/>
              <w:rPr>
                <w:rFonts w:ascii="宋体" w:eastAsia="宋体"/>
                <w:sz w:val="22"/>
              </w:rPr>
            </w:pPr>
          </w:p>
        </w:tc>
        <w:tc>
          <w:tcPr>
            <w:tcW w:w="1699" w:type="dxa"/>
            <w:tcBorders>
              <w:top w:val="nil"/>
              <w:left w:val="nil"/>
              <w:bottom w:val="nil"/>
              <w:right w:val="nil"/>
            </w:tcBorders>
            <w:tcMar>
              <w:top w:w="-1" w:type="dxa"/>
              <w:left w:w="-1" w:type="dxa"/>
              <w:bottom w:w="-1" w:type="dxa"/>
              <w:right w:w="-1" w:type="dxa"/>
            </w:tcMar>
            <w:vAlign w:val="center"/>
          </w:tcPr>
          <w:p w14:paraId="53F963F1"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日照时数</w:t>
            </w:r>
          </w:p>
        </w:tc>
        <w:tc>
          <w:tcPr>
            <w:tcW w:w="0" w:type="auto"/>
            <w:tcBorders>
              <w:top w:val="nil"/>
              <w:left w:val="nil"/>
              <w:bottom w:val="nil"/>
              <w:right w:val="nil"/>
            </w:tcBorders>
            <w:tcMar>
              <w:top w:w="-1" w:type="dxa"/>
              <w:left w:w="-1" w:type="dxa"/>
              <w:bottom w:w="-1" w:type="dxa"/>
              <w:right w:w="-1" w:type="dxa"/>
            </w:tcMar>
            <w:vAlign w:val="center"/>
          </w:tcPr>
          <w:p w14:paraId="217C022C"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Sun</w:t>
            </w:r>
          </w:p>
        </w:tc>
        <w:tc>
          <w:tcPr>
            <w:tcW w:w="0" w:type="auto"/>
            <w:tcBorders>
              <w:top w:val="nil"/>
              <w:left w:val="nil"/>
              <w:bottom w:val="nil"/>
              <w:right w:val="nil"/>
            </w:tcBorders>
            <w:tcMar>
              <w:top w:w="-1" w:type="dxa"/>
              <w:left w:w="-1" w:type="dxa"/>
              <w:bottom w:w="-1" w:type="dxa"/>
              <w:right w:w="-1" w:type="dxa"/>
            </w:tcMar>
            <w:vAlign w:val="center"/>
          </w:tcPr>
          <w:p w14:paraId="2D6C21DC"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h</w:t>
            </w:r>
          </w:p>
        </w:tc>
        <w:tc>
          <w:tcPr>
            <w:tcW w:w="3467" w:type="dxa"/>
            <w:tcBorders>
              <w:top w:val="nil"/>
              <w:left w:val="nil"/>
              <w:bottom w:val="nil"/>
              <w:right w:val="nil"/>
            </w:tcBorders>
            <w:tcMar>
              <w:top w:w="-1" w:type="dxa"/>
              <w:left w:w="-1" w:type="dxa"/>
              <w:bottom w:w="-1" w:type="dxa"/>
              <w:right w:w="-1" w:type="dxa"/>
            </w:tcMar>
            <w:vAlign w:val="center"/>
          </w:tcPr>
          <w:p w14:paraId="285BC087"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年度累计日照总时长</w:t>
            </w:r>
          </w:p>
        </w:tc>
      </w:tr>
      <w:tr w:rsidR="004B3261" w14:paraId="536A62E7" w14:textId="77777777">
        <w:trPr>
          <w:jc w:val="center"/>
        </w:trPr>
        <w:tc>
          <w:tcPr>
            <w:tcW w:w="1558" w:type="dxa"/>
            <w:vMerge w:val="restart"/>
            <w:tcBorders>
              <w:top w:val="nil"/>
              <w:left w:val="nil"/>
              <w:bottom w:val="nil"/>
              <w:right w:val="nil"/>
            </w:tcBorders>
            <w:tcMar>
              <w:top w:w="-1" w:type="dxa"/>
              <w:left w:w="-1" w:type="dxa"/>
              <w:bottom w:w="-1" w:type="dxa"/>
              <w:right w:w="-1" w:type="dxa"/>
            </w:tcMar>
            <w:vAlign w:val="center"/>
          </w:tcPr>
          <w:p w14:paraId="07CA43C2"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解释变量：致灾因子</w:t>
            </w:r>
          </w:p>
        </w:tc>
        <w:tc>
          <w:tcPr>
            <w:tcW w:w="1699" w:type="dxa"/>
            <w:tcBorders>
              <w:top w:val="nil"/>
              <w:left w:val="nil"/>
              <w:bottom w:val="nil"/>
              <w:right w:val="nil"/>
            </w:tcBorders>
            <w:tcMar>
              <w:top w:w="-1" w:type="dxa"/>
              <w:left w:w="-1" w:type="dxa"/>
              <w:bottom w:w="-1" w:type="dxa"/>
              <w:right w:w="-1" w:type="dxa"/>
            </w:tcMar>
            <w:vAlign w:val="center"/>
          </w:tcPr>
          <w:p w14:paraId="759616E1"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洪涝占比</w:t>
            </w:r>
          </w:p>
        </w:tc>
        <w:tc>
          <w:tcPr>
            <w:tcW w:w="0" w:type="auto"/>
            <w:tcBorders>
              <w:top w:val="nil"/>
              <w:left w:val="nil"/>
              <w:bottom w:val="nil"/>
              <w:right w:val="nil"/>
            </w:tcBorders>
            <w:tcMar>
              <w:top w:w="-1" w:type="dxa"/>
              <w:left w:w="-1" w:type="dxa"/>
              <w:bottom w:w="-1" w:type="dxa"/>
              <w:right w:w="-1" w:type="dxa"/>
            </w:tcMar>
            <w:vAlign w:val="center"/>
          </w:tcPr>
          <w:p w14:paraId="19F8B8CA"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Flood_R</w:t>
            </w:r>
          </w:p>
        </w:tc>
        <w:tc>
          <w:tcPr>
            <w:tcW w:w="0" w:type="auto"/>
            <w:tcBorders>
              <w:top w:val="nil"/>
              <w:left w:val="nil"/>
              <w:bottom w:val="nil"/>
              <w:right w:val="nil"/>
            </w:tcBorders>
            <w:tcMar>
              <w:top w:w="-1" w:type="dxa"/>
              <w:left w:w="-1" w:type="dxa"/>
              <w:bottom w:w="-1" w:type="dxa"/>
              <w:right w:w="-1" w:type="dxa"/>
            </w:tcMar>
            <w:vAlign w:val="center"/>
          </w:tcPr>
          <w:p w14:paraId="75D5EB61"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w:t>
            </w:r>
          </w:p>
        </w:tc>
        <w:tc>
          <w:tcPr>
            <w:tcW w:w="3467" w:type="dxa"/>
            <w:tcBorders>
              <w:top w:val="nil"/>
              <w:left w:val="nil"/>
              <w:bottom w:val="nil"/>
              <w:right w:val="nil"/>
            </w:tcBorders>
            <w:tcMar>
              <w:top w:w="-1" w:type="dxa"/>
              <w:left w:w="-1" w:type="dxa"/>
              <w:bottom w:w="-1" w:type="dxa"/>
              <w:right w:w="-1" w:type="dxa"/>
            </w:tcMar>
            <w:vAlign w:val="center"/>
          </w:tcPr>
          <w:p w14:paraId="2AB3EBD0"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洪涝受灾面积占总受灾面积比重</w:t>
            </w:r>
          </w:p>
        </w:tc>
      </w:tr>
      <w:tr w:rsidR="004B3261" w14:paraId="62AE835D" w14:textId="77777777">
        <w:trPr>
          <w:jc w:val="center"/>
        </w:trPr>
        <w:tc>
          <w:tcPr>
            <w:tcW w:w="1558" w:type="dxa"/>
            <w:vMerge/>
            <w:tcBorders>
              <w:top w:val="nil"/>
              <w:left w:val="nil"/>
              <w:bottom w:val="nil"/>
              <w:right w:val="nil"/>
            </w:tcBorders>
            <w:tcMar>
              <w:top w:w="-1" w:type="dxa"/>
              <w:left w:w="-1" w:type="dxa"/>
              <w:bottom w:w="-1" w:type="dxa"/>
              <w:right w:w="-1" w:type="dxa"/>
            </w:tcMar>
            <w:vAlign w:val="center"/>
          </w:tcPr>
          <w:p w14:paraId="336117AD" w14:textId="77777777" w:rsidR="004B3261" w:rsidRDefault="004B3261">
            <w:pPr>
              <w:widowControl/>
              <w:snapToGrid w:val="0"/>
              <w:jc w:val="center"/>
              <w:textAlignment w:val="bottom"/>
              <w:rPr>
                <w:rFonts w:ascii="宋体" w:eastAsia="宋体"/>
                <w:sz w:val="22"/>
              </w:rPr>
            </w:pPr>
          </w:p>
        </w:tc>
        <w:tc>
          <w:tcPr>
            <w:tcW w:w="1699" w:type="dxa"/>
            <w:tcBorders>
              <w:top w:val="nil"/>
              <w:left w:val="nil"/>
              <w:bottom w:val="nil"/>
              <w:right w:val="nil"/>
            </w:tcBorders>
            <w:tcMar>
              <w:top w:w="-1" w:type="dxa"/>
              <w:left w:w="-1" w:type="dxa"/>
              <w:bottom w:w="-1" w:type="dxa"/>
              <w:right w:w="-1" w:type="dxa"/>
            </w:tcMar>
            <w:vAlign w:val="center"/>
          </w:tcPr>
          <w:p w14:paraId="2ED626EF"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旱/水灾面积</w:t>
            </w:r>
          </w:p>
        </w:tc>
        <w:tc>
          <w:tcPr>
            <w:tcW w:w="0" w:type="auto"/>
            <w:tcBorders>
              <w:top w:val="nil"/>
              <w:left w:val="nil"/>
              <w:bottom w:val="nil"/>
              <w:right w:val="nil"/>
            </w:tcBorders>
            <w:tcMar>
              <w:top w:w="-1" w:type="dxa"/>
              <w:left w:w="-1" w:type="dxa"/>
              <w:bottom w:w="-1" w:type="dxa"/>
              <w:right w:w="-1" w:type="dxa"/>
            </w:tcMar>
            <w:vAlign w:val="center"/>
          </w:tcPr>
          <w:p w14:paraId="68A0658E"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Area</w:t>
            </w:r>
          </w:p>
        </w:tc>
        <w:tc>
          <w:tcPr>
            <w:tcW w:w="0" w:type="auto"/>
            <w:tcBorders>
              <w:top w:val="nil"/>
              <w:left w:val="nil"/>
              <w:bottom w:val="nil"/>
              <w:right w:val="nil"/>
            </w:tcBorders>
            <w:tcMar>
              <w:top w:w="-1" w:type="dxa"/>
              <w:left w:w="-1" w:type="dxa"/>
              <w:bottom w:w="-1" w:type="dxa"/>
              <w:right w:w="-1" w:type="dxa"/>
            </w:tcMar>
            <w:vAlign w:val="center"/>
          </w:tcPr>
          <w:p w14:paraId="6C64E468"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khm^2</w:t>
            </w:r>
          </w:p>
        </w:tc>
        <w:tc>
          <w:tcPr>
            <w:tcW w:w="3467" w:type="dxa"/>
            <w:tcBorders>
              <w:top w:val="nil"/>
              <w:left w:val="nil"/>
              <w:bottom w:val="nil"/>
              <w:right w:val="nil"/>
            </w:tcBorders>
            <w:tcMar>
              <w:top w:w="-1" w:type="dxa"/>
              <w:left w:w="-1" w:type="dxa"/>
              <w:bottom w:w="-1" w:type="dxa"/>
              <w:right w:w="-1" w:type="dxa"/>
            </w:tcMar>
            <w:vAlign w:val="center"/>
          </w:tcPr>
          <w:p w14:paraId="759B523A"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实际受灾、成灾面积统计值</w:t>
            </w:r>
          </w:p>
        </w:tc>
      </w:tr>
      <w:tr w:rsidR="004B3261" w14:paraId="09D1AF90" w14:textId="77777777">
        <w:trPr>
          <w:jc w:val="center"/>
        </w:trPr>
        <w:tc>
          <w:tcPr>
            <w:tcW w:w="1558" w:type="dxa"/>
            <w:vMerge w:val="restart"/>
            <w:tcBorders>
              <w:top w:val="nil"/>
              <w:left w:val="nil"/>
              <w:bottom w:val="nil"/>
              <w:right w:val="nil"/>
            </w:tcBorders>
            <w:tcMar>
              <w:top w:w="-1" w:type="dxa"/>
              <w:left w:w="-1" w:type="dxa"/>
              <w:bottom w:w="-1" w:type="dxa"/>
              <w:right w:w="-1" w:type="dxa"/>
            </w:tcMar>
            <w:vAlign w:val="center"/>
          </w:tcPr>
          <w:p w14:paraId="5BF27035"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解释变量：生产韧性</w:t>
            </w:r>
          </w:p>
        </w:tc>
        <w:tc>
          <w:tcPr>
            <w:tcW w:w="1699" w:type="dxa"/>
            <w:tcBorders>
              <w:top w:val="nil"/>
              <w:left w:val="nil"/>
              <w:bottom w:val="nil"/>
              <w:right w:val="nil"/>
            </w:tcBorders>
            <w:tcMar>
              <w:top w:w="-1" w:type="dxa"/>
              <w:left w:w="-1" w:type="dxa"/>
              <w:bottom w:w="-1" w:type="dxa"/>
              <w:right w:w="-1" w:type="dxa"/>
            </w:tcMar>
            <w:vAlign w:val="center"/>
          </w:tcPr>
          <w:p w14:paraId="7EC790E5"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灌溉率</w:t>
            </w:r>
          </w:p>
        </w:tc>
        <w:tc>
          <w:tcPr>
            <w:tcW w:w="0" w:type="auto"/>
            <w:tcBorders>
              <w:top w:val="nil"/>
              <w:left w:val="nil"/>
              <w:bottom w:val="nil"/>
              <w:right w:val="nil"/>
            </w:tcBorders>
            <w:tcMar>
              <w:top w:w="-1" w:type="dxa"/>
              <w:left w:w="-1" w:type="dxa"/>
              <w:bottom w:w="-1" w:type="dxa"/>
              <w:right w:w="-1" w:type="dxa"/>
            </w:tcMar>
            <w:vAlign w:val="center"/>
          </w:tcPr>
          <w:p w14:paraId="490E93C2"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Irr</w:t>
            </w:r>
          </w:p>
        </w:tc>
        <w:tc>
          <w:tcPr>
            <w:tcW w:w="0" w:type="auto"/>
            <w:tcBorders>
              <w:top w:val="nil"/>
              <w:left w:val="nil"/>
              <w:bottom w:val="nil"/>
              <w:right w:val="nil"/>
            </w:tcBorders>
            <w:tcMar>
              <w:top w:w="-1" w:type="dxa"/>
              <w:left w:w="-1" w:type="dxa"/>
              <w:bottom w:w="-1" w:type="dxa"/>
              <w:right w:w="-1" w:type="dxa"/>
            </w:tcMar>
            <w:vAlign w:val="center"/>
          </w:tcPr>
          <w:p w14:paraId="4F4748FA"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w:t>
            </w:r>
          </w:p>
        </w:tc>
        <w:tc>
          <w:tcPr>
            <w:tcW w:w="3467" w:type="dxa"/>
            <w:tcBorders>
              <w:top w:val="nil"/>
              <w:left w:val="nil"/>
              <w:bottom w:val="nil"/>
              <w:right w:val="nil"/>
            </w:tcBorders>
            <w:tcMar>
              <w:top w:w="-1" w:type="dxa"/>
              <w:left w:w="-1" w:type="dxa"/>
              <w:bottom w:w="-1" w:type="dxa"/>
              <w:right w:w="-1" w:type="dxa"/>
            </w:tcMar>
            <w:vAlign w:val="center"/>
          </w:tcPr>
          <w:p w14:paraId="7CC76DF1"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有效灌溉面积占耕地面积比重</w:t>
            </w:r>
          </w:p>
        </w:tc>
      </w:tr>
      <w:tr w:rsidR="004B3261" w14:paraId="64ADE52B" w14:textId="77777777">
        <w:trPr>
          <w:jc w:val="center"/>
        </w:trPr>
        <w:tc>
          <w:tcPr>
            <w:tcW w:w="1558" w:type="dxa"/>
            <w:vMerge/>
            <w:tcBorders>
              <w:top w:val="nil"/>
              <w:left w:val="nil"/>
              <w:bottom w:val="nil"/>
              <w:right w:val="nil"/>
            </w:tcBorders>
            <w:tcMar>
              <w:top w:w="-1" w:type="dxa"/>
              <w:left w:w="-1" w:type="dxa"/>
              <w:bottom w:w="-1" w:type="dxa"/>
              <w:right w:w="-1" w:type="dxa"/>
            </w:tcMar>
            <w:vAlign w:val="center"/>
          </w:tcPr>
          <w:p w14:paraId="4C48E846" w14:textId="77777777" w:rsidR="004B3261" w:rsidRDefault="004B3261">
            <w:pPr>
              <w:widowControl/>
              <w:snapToGrid w:val="0"/>
              <w:jc w:val="center"/>
              <w:textAlignment w:val="bottom"/>
              <w:rPr>
                <w:rFonts w:ascii="宋体" w:eastAsia="宋体"/>
                <w:sz w:val="22"/>
              </w:rPr>
            </w:pPr>
          </w:p>
        </w:tc>
        <w:tc>
          <w:tcPr>
            <w:tcW w:w="1699" w:type="dxa"/>
            <w:tcBorders>
              <w:top w:val="nil"/>
              <w:left w:val="nil"/>
              <w:bottom w:val="nil"/>
              <w:right w:val="nil"/>
            </w:tcBorders>
            <w:tcMar>
              <w:top w:w="-1" w:type="dxa"/>
              <w:left w:w="-1" w:type="dxa"/>
              <w:bottom w:w="-1" w:type="dxa"/>
              <w:right w:w="-1" w:type="dxa"/>
            </w:tcMar>
            <w:vAlign w:val="center"/>
          </w:tcPr>
          <w:p w14:paraId="2403B1C7"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农机总动力</w:t>
            </w:r>
          </w:p>
        </w:tc>
        <w:tc>
          <w:tcPr>
            <w:tcW w:w="0" w:type="auto"/>
            <w:tcBorders>
              <w:top w:val="nil"/>
              <w:left w:val="nil"/>
              <w:bottom w:val="nil"/>
              <w:right w:val="nil"/>
            </w:tcBorders>
            <w:tcMar>
              <w:top w:w="-1" w:type="dxa"/>
              <w:left w:w="-1" w:type="dxa"/>
              <w:bottom w:w="-1" w:type="dxa"/>
              <w:right w:w="-1" w:type="dxa"/>
            </w:tcMar>
            <w:vAlign w:val="center"/>
          </w:tcPr>
          <w:p w14:paraId="3CC7EBCC"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Mech</w:t>
            </w:r>
          </w:p>
        </w:tc>
        <w:tc>
          <w:tcPr>
            <w:tcW w:w="0" w:type="auto"/>
            <w:tcBorders>
              <w:top w:val="nil"/>
              <w:left w:val="nil"/>
              <w:bottom w:val="nil"/>
              <w:right w:val="nil"/>
            </w:tcBorders>
            <w:tcMar>
              <w:top w:w="-1" w:type="dxa"/>
              <w:left w:w="-1" w:type="dxa"/>
              <w:bottom w:w="-1" w:type="dxa"/>
              <w:right w:w="-1" w:type="dxa"/>
            </w:tcMar>
            <w:vAlign w:val="center"/>
          </w:tcPr>
          <w:p w14:paraId="5CADB60B"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kW</w:t>
            </w:r>
          </w:p>
        </w:tc>
        <w:tc>
          <w:tcPr>
            <w:tcW w:w="3467" w:type="dxa"/>
            <w:tcBorders>
              <w:top w:val="nil"/>
              <w:left w:val="nil"/>
              <w:bottom w:val="nil"/>
              <w:right w:val="nil"/>
            </w:tcBorders>
            <w:tcMar>
              <w:top w:w="-1" w:type="dxa"/>
              <w:left w:w="-1" w:type="dxa"/>
              <w:bottom w:w="-1" w:type="dxa"/>
              <w:right w:w="-1" w:type="dxa"/>
            </w:tcMar>
            <w:vAlign w:val="center"/>
          </w:tcPr>
          <w:p w14:paraId="0F2DA209"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衡量农业机械化与现代化水平指标</w:t>
            </w:r>
          </w:p>
        </w:tc>
      </w:tr>
      <w:tr w:rsidR="004B3261" w14:paraId="48D0FDA7" w14:textId="77777777">
        <w:trPr>
          <w:jc w:val="center"/>
        </w:trPr>
        <w:tc>
          <w:tcPr>
            <w:tcW w:w="1558" w:type="dxa"/>
            <w:vMerge/>
            <w:tcMar>
              <w:top w:w="-1" w:type="dxa"/>
              <w:left w:w="-1" w:type="dxa"/>
              <w:bottom w:w="-1" w:type="dxa"/>
              <w:right w:w="-1" w:type="dxa"/>
            </w:tcMar>
            <w:vAlign w:val="center"/>
          </w:tcPr>
          <w:p w14:paraId="7E3DA1C5" w14:textId="77777777" w:rsidR="004B3261" w:rsidRDefault="004B3261">
            <w:pPr>
              <w:widowControl/>
              <w:snapToGrid w:val="0"/>
              <w:jc w:val="center"/>
              <w:textAlignment w:val="bottom"/>
              <w:rPr>
                <w:rFonts w:ascii="宋体" w:eastAsia="宋体"/>
                <w:sz w:val="22"/>
              </w:rPr>
            </w:pPr>
          </w:p>
        </w:tc>
        <w:tc>
          <w:tcPr>
            <w:tcW w:w="1699" w:type="dxa"/>
            <w:tcBorders>
              <w:top w:val="nil"/>
              <w:left w:val="nil"/>
              <w:bottom w:val="single" w:sz="12" w:space="0" w:color="auto"/>
              <w:right w:val="nil"/>
            </w:tcBorders>
            <w:tcMar>
              <w:top w:w="-1" w:type="dxa"/>
              <w:left w:w="-1" w:type="dxa"/>
              <w:bottom w:w="-1" w:type="dxa"/>
              <w:right w:w="-1" w:type="dxa"/>
            </w:tcMar>
            <w:vAlign w:val="center"/>
          </w:tcPr>
          <w:p w14:paraId="1D740C23"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化肥施用量</w:t>
            </w:r>
          </w:p>
        </w:tc>
        <w:tc>
          <w:tcPr>
            <w:tcW w:w="1011" w:type="dxa"/>
            <w:tcBorders>
              <w:top w:val="nil"/>
              <w:left w:val="nil"/>
              <w:bottom w:val="single" w:sz="12" w:space="0" w:color="auto"/>
              <w:right w:val="nil"/>
            </w:tcBorders>
            <w:tcMar>
              <w:top w:w="-1" w:type="dxa"/>
              <w:left w:w="-1" w:type="dxa"/>
              <w:bottom w:w="-1" w:type="dxa"/>
              <w:right w:w="-1" w:type="dxa"/>
            </w:tcMar>
            <w:vAlign w:val="center"/>
          </w:tcPr>
          <w:p w14:paraId="08026114"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Fert</w:t>
            </w:r>
          </w:p>
        </w:tc>
        <w:tc>
          <w:tcPr>
            <w:tcW w:w="787" w:type="dxa"/>
            <w:tcBorders>
              <w:top w:val="nil"/>
              <w:left w:val="nil"/>
              <w:bottom w:val="single" w:sz="12" w:space="0" w:color="auto"/>
              <w:right w:val="nil"/>
            </w:tcBorders>
            <w:tcMar>
              <w:top w:w="-1" w:type="dxa"/>
              <w:left w:w="-1" w:type="dxa"/>
              <w:bottom w:w="-1" w:type="dxa"/>
              <w:right w:w="-1" w:type="dxa"/>
            </w:tcMar>
            <w:vAlign w:val="center"/>
          </w:tcPr>
          <w:p w14:paraId="5E52DEE2"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t</w:t>
            </w:r>
          </w:p>
        </w:tc>
        <w:tc>
          <w:tcPr>
            <w:tcW w:w="3467" w:type="dxa"/>
            <w:tcBorders>
              <w:top w:val="nil"/>
              <w:left w:val="nil"/>
              <w:bottom w:val="single" w:sz="12" w:space="0" w:color="auto"/>
              <w:right w:val="nil"/>
            </w:tcBorders>
            <w:tcMar>
              <w:top w:w="-1" w:type="dxa"/>
              <w:left w:w="-1" w:type="dxa"/>
              <w:bottom w:w="-1" w:type="dxa"/>
              <w:right w:w="-1" w:type="dxa"/>
            </w:tcMar>
            <w:vAlign w:val="center"/>
          </w:tcPr>
          <w:p w14:paraId="2C3D5ACC"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衡量农业生产投入强度的指标</w:t>
            </w:r>
          </w:p>
        </w:tc>
      </w:tr>
    </w:tbl>
    <w:p w14:paraId="149FDCB1" w14:textId="77777777" w:rsidR="004B3261" w:rsidRDefault="004B3261">
      <w:pPr>
        <w:pStyle w:val="a3"/>
        <w:ind w:firstLineChars="0"/>
        <w:jc w:val="center"/>
      </w:pPr>
    </w:p>
    <w:p w14:paraId="53E230CA" w14:textId="77777777" w:rsidR="004B3261" w:rsidRDefault="00000000">
      <w:pPr>
        <w:pStyle w:val="a3"/>
      </w:pPr>
      <w:r>
        <w:rPr>
          <w:rFonts w:hint="eastAsia"/>
        </w:rPr>
        <w:t>下面对被解释变量和核心解释变量做进一步说明。</w:t>
      </w:r>
    </w:p>
    <w:p w14:paraId="2776A1F5" w14:textId="77777777" w:rsidR="004B3261" w:rsidRDefault="00000000">
      <w:pPr>
        <w:pStyle w:val="a3"/>
      </w:pPr>
      <w:r>
        <w:rPr>
          <w:rFonts w:hint="eastAsia"/>
        </w:rPr>
        <w:t>粮食单产风险（</w:t>
      </w:r>
      <w:r>
        <w:rPr>
          <w:rFonts w:hint="eastAsia"/>
        </w:rPr>
        <w:t>Y</w:t>
      </w:r>
      <w:r>
        <w:rPr>
          <w:rFonts w:hint="eastAsia"/>
        </w:rPr>
        <w:t>）为被解释变量。由于粮食生产一直受技术进步（品种改良、农艺提高）和政策扶持的影响，所以原始单产数据一般有明显的上升趋势，平稳性不好。为了准确地将由于极端气候造成的短期扰动风险从单产序列中分离出来，本文使用了</w:t>
      </w:r>
      <w:r>
        <w:rPr>
          <w:rFonts w:hint="eastAsia"/>
        </w:rPr>
        <w:t>Butterworth</w:t>
      </w:r>
      <w:r>
        <w:rPr>
          <w:rFonts w:hint="eastAsia"/>
        </w:rPr>
        <w:t>低通滤波技术对单产序列进行去趋势处理，去除出具有长期演化特征的产量分量，得到的是表征粮食生产风险的指标</w:t>
      </w:r>
      <w:r>
        <w:rPr>
          <w:rFonts w:hint="eastAsia"/>
        </w:rPr>
        <w:t>Y</w:t>
      </w:r>
      <w:r>
        <w:rPr>
          <w:rFonts w:hint="eastAsia"/>
        </w:rPr>
        <w:t>。</w:t>
      </w:r>
    </w:p>
    <w:p w14:paraId="0D2FEF0D" w14:textId="77777777" w:rsidR="004B3261" w:rsidRDefault="00000000">
      <w:pPr>
        <w:pStyle w:val="a3"/>
      </w:pPr>
      <w:r>
        <w:rPr>
          <w:rFonts w:hint="eastAsia"/>
        </w:rPr>
        <w:t>核心解释变量说明如下。</w:t>
      </w:r>
    </w:p>
    <w:p w14:paraId="02F27E4C" w14:textId="77777777" w:rsidR="004B3261" w:rsidRDefault="00000000">
      <w:pPr>
        <w:pStyle w:val="a3"/>
      </w:pPr>
      <w:r>
        <w:rPr>
          <w:rFonts w:hint="eastAsia"/>
        </w:rPr>
        <w:t>（</w:t>
      </w:r>
      <w:r>
        <w:rPr>
          <w:rFonts w:hint="eastAsia"/>
        </w:rPr>
        <w:t>1</w:t>
      </w:r>
      <w:r>
        <w:rPr>
          <w:rFonts w:hint="eastAsia"/>
        </w:rPr>
        <w:t>）气候致灾因子</w:t>
      </w:r>
    </w:p>
    <w:p w14:paraId="2BE3E268" w14:textId="77777777" w:rsidR="004B3261" w:rsidRDefault="00000000">
      <w:pPr>
        <w:pStyle w:val="a3"/>
      </w:pPr>
      <w:r>
        <w:rPr>
          <w:rFonts w:hint="eastAsia"/>
        </w:rPr>
        <w:t>气候因子是引起粮食生产风险的直接原因。温度、降水（</w:t>
      </w:r>
      <w:r>
        <w:rPr>
          <w:rFonts w:hint="eastAsia"/>
        </w:rPr>
        <w:t>Temp</w:t>
      </w:r>
      <w:r>
        <w:rPr>
          <w:rFonts w:hint="eastAsia"/>
        </w:rPr>
        <w:t>、</w:t>
      </w:r>
      <w:r>
        <w:rPr>
          <w:rFonts w:hint="eastAsia"/>
        </w:rPr>
        <w:t>Prec</w:t>
      </w:r>
      <w:r>
        <w:rPr>
          <w:rFonts w:hint="eastAsia"/>
        </w:rPr>
        <w:t>）直接影响到农作物的生长速度以及生理代谢，极端高温或者降水过少常常是造成减产的主要原因。</w:t>
      </w:r>
    </w:p>
    <w:p w14:paraId="60717D7C" w14:textId="77777777" w:rsidR="004B3261" w:rsidRDefault="00000000">
      <w:pPr>
        <w:pStyle w:val="a3"/>
      </w:pPr>
      <w:r>
        <w:rPr>
          <w:rFonts w:hint="eastAsia"/>
        </w:rPr>
        <w:t>干旱指数（</w:t>
      </w:r>
      <w:r>
        <w:rPr>
          <w:rFonts w:hint="eastAsia"/>
        </w:rPr>
        <w:t>SPEI</w:t>
      </w:r>
      <w:r>
        <w:rPr>
          <w:rFonts w:hint="eastAsia"/>
        </w:rPr>
        <w:t>）比单个降水指标更能体现降水和蒸散发之间的平衡情况，可以更加客观地反映研究区的干旱程度。</w:t>
      </w:r>
    </w:p>
    <w:p w14:paraId="7CE7D662" w14:textId="77777777" w:rsidR="004B3261" w:rsidRDefault="00000000">
      <w:pPr>
        <w:pStyle w:val="a3"/>
      </w:pPr>
      <w:r>
        <w:rPr>
          <w:rFonts w:hint="eastAsia"/>
        </w:rPr>
        <w:lastRenderedPageBreak/>
        <w:t>光照资源</w:t>
      </w:r>
      <w:r>
        <w:rPr>
          <w:rFonts w:hint="eastAsia"/>
        </w:rPr>
        <w:t>(Sun)</w:t>
      </w:r>
      <w:r>
        <w:rPr>
          <w:rFonts w:hint="eastAsia"/>
        </w:rPr>
        <w:t>直接影响光合速率，是干物质积累和最终产量形成的主要因素。</w:t>
      </w:r>
    </w:p>
    <w:p w14:paraId="651873B9" w14:textId="77777777" w:rsidR="004B3261" w:rsidRDefault="00000000">
      <w:pPr>
        <w:pStyle w:val="a3"/>
      </w:pPr>
      <w:r>
        <w:rPr>
          <w:rFonts w:hint="eastAsia"/>
        </w:rPr>
        <w:t>灾害暴露度（</w:t>
      </w:r>
      <w:r>
        <w:rPr>
          <w:rFonts w:hint="eastAsia"/>
        </w:rPr>
        <w:t>Flood_R</w:t>
      </w:r>
      <w:r>
        <w:rPr>
          <w:rFonts w:hint="eastAsia"/>
        </w:rPr>
        <w:t>、</w:t>
      </w:r>
      <w:r>
        <w:rPr>
          <w:rFonts w:hint="eastAsia"/>
        </w:rPr>
        <w:t>Area</w:t>
      </w:r>
      <w:r>
        <w:rPr>
          <w:rFonts w:hint="eastAsia"/>
        </w:rPr>
        <w:t>）用洪涝占比和旱、水灾实际受灾面积来反映灾害给农业生产带来的直接物理冲击。</w:t>
      </w:r>
    </w:p>
    <w:p w14:paraId="761C5F70" w14:textId="77777777" w:rsidR="004B3261" w:rsidRDefault="00000000">
      <w:pPr>
        <w:pStyle w:val="a3"/>
      </w:pPr>
      <w:r>
        <w:rPr>
          <w:rFonts w:hint="eastAsia"/>
        </w:rPr>
        <w:t>（</w:t>
      </w:r>
      <w:r>
        <w:rPr>
          <w:rFonts w:hint="eastAsia"/>
        </w:rPr>
        <w:t>2</w:t>
      </w:r>
      <w:r>
        <w:rPr>
          <w:rFonts w:hint="eastAsia"/>
        </w:rPr>
        <w:t>）农业生产韧性因子</w:t>
      </w:r>
    </w:p>
    <w:p w14:paraId="398646B8" w14:textId="77777777" w:rsidR="004B3261" w:rsidRDefault="00000000">
      <w:pPr>
        <w:pStyle w:val="a3"/>
      </w:pPr>
      <w:r>
        <w:rPr>
          <w:rFonts w:hint="eastAsia"/>
        </w:rPr>
        <w:t>韧性因子代表了人为干预抵御自然风险的能力。</w:t>
      </w:r>
    </w:p>
    <w:p w14:paraId="6F53E492" w14:textId="77777777" w:rsidR="004B3261" w:rsidRDefault="00000000">
      <w:pPr>
        <w:pStyle w:val="a3"/>
      </w:pPr>
      <w:r>
        <w:rPr>
          <w:rFonts w:hint="eastAsia"/>
        </w:rPr>
        <w:t>水利保障（</w:t>
      </w:r>
      <w:r>
        <w:rPr>
          <w:rFonts w:hint="eastAsia"/>
        </w:rPr>
        <w:t>Irr</w:t>
      </w:r>
      <w:r>
        <w:rPr>
          <w:rFonts w:hint="eastAsia"/>
        </w:rPr>
        <w:t>）用灌溉率来反映有效灌溉范围，可以直观地体现农业系统对降水亏缺风险的韧性门槛，也是评价耕地抗逆基建水平的基本标准。</w:t>
      </w:r>
    </w:p>
    <w:p w14:paraId="0074AC2E" w14:textId="77777777" w:rsidR="004B3261" w:rsidRDefault="00000000">
      <w:pPr>
        <w:pStyle w:val="a3"/>
      </w:pPr>
      <w:r>
        <w:rPr>
          <w:rFonts w:hint="eastAsia"/>
        </w:rPr>
        <w:t>机械化水平（</w:t>
      </w:r>
      <w:r>
        <w:rPr>
          <w:rFonts w:hint="eastAsia"/>
        </w:rPr>
        <w:t>Mech</w:t>
      </w:r>
      <w:r>
        <w:rPr>
          <w:rFonts w:hint="eastAsia"/>
        </w:rPr>
        <w:t>）用农机总动力来表示农业现代化程度，高水平的机械化可以提高防灾减灾效率，比如抢收、快速排灌等。</w:t>
      </w:r>
    </w:p>
    <w:p w14:paraId="16FE0CFF" w14:textId="77777777" w:rsidR="004B3261" w:rsidRDefault="00000000">
      <w:pPr>
        <w:pStyle w:val="a3"/>
      </w:pPr>
      <w:r>
        <w:rPr>
          <w:rFonts w:hint="eastAsia"/>
        </w:rPr>
        <w:t>化肥施用量反映的是生产资料的投入强度，对土壤养分的补充以及产量的稳定起一定的作用。</w:t>
      </w:r>
    </w:p>
    <w:p w14:paraId="2B455387" w14:textId="77777777" w:rsidR="004B3261" w:rsidRDefault="00000000">
      <w:pPr>
        <w:pStyle w:val="a3"/>
        <w:ind w:firstLineChars="0"/>
        <w:rPr>
          <w:b/>
        </w:rPr>
      </w:pPr>
      <w:r>
        <w:rPr>
          <w:rFonts w:eastAsia="黑体" w:hAnsi="Times New Roman" w:hint="eastAsia"/>
          <w:b/>
          <w:kern w:val="2"/>
          <w:sz w:val="28"/>
          <w:szCs w:val="24"/>
        </w:rPr>
        <w:t xml:space="preserve">2. </w:t>
      </w:r>
      <w:bookmarkEnd w:id="10"/>
      <w:bookmarkEnd w:id="11"/>
      <w:bookmarkEnd w:id="12"/>
      <w:r>
        <w:rPr>
          <w:rFonts w:eastAsia="黑体" w:hAnsi="Times New Roman" w:hint="eastAsia"/>
          <w:b/>
          <w:kern w:val="2"/>
          <w:sz w:val="28"/>
          <w:szCs w:val="24"/>
        </w:rPr>
        <w:t>变量描述性统计分析</w:t>
      </w:r>
    </w:p>
    <w:p w14:paraId="1DA22C90" w14:textId="77777777" w:rsidR="004B3261" w:rsidRDefault="00000000">
      <w:pPr>
        <w:rPr>
          <w:rFonts w:cs="Times New Roman"/>
        </w:rPr>
      </w:pPr>
      <w:r>
        <w:rPr>
          <w:rFonts w:ascii="Times New Roman" w:eastAsia="宋体" w:hAnsi="Calibri" w:cs="Times New Roman" w:hint="eastAsia"/>
        </w:rPr>
        <w:t>在建立粮食生产风险识别模型之前，对样本数据做描述性统计分析是必不可少的。这是对原始数据的一次全面的体检，可以检验是否有异常离群点，也可以从各个因子的均值和波动情况出发，大致了解我国粮食生产风险及影响因素的基本状况。因此后续模型在处理非线性规律的时候有了可靠的统计学参照，研究假设和客观数据之间的逻辑也统一了起来</w:t>
      </w:r>
      <w:r>
        <w:rPr>
          <w:rFonts w:cs="Times New Roman" w:hint="eastAsia"/>
        </w:rPr>
        <w:t>。各变量的统计特征详见表</w:t>
      </w:r>
      <w:r>
        <w:rPr>
          <w:rFonts w:cs="Times New Roman" w:hint="eastAsia"/>
        </w:rPr>
        <w:t>3-2</w:t>
      </w:r>
      <w:r>
        <w:rPr>
          <w:rFonts w:cs="Times New Roman" w:hint="eastAsia"/>
        </w:rPr>
        <w:t>。</w:t>
      </w:r>
    </w:p>
    <w:p w14:paraId="71944938" w14:textId="77777777" w:rsidR="004B3261" w:rsidRDefault="00000000">
      <w:pPr>
        <w:pStyle w:val="ab"/>
      </w:pPr>
      <w:r>
        <w:t>表</w:t>
      </w:r>
      <w:r>
        <w:rPr>
          <w:rFonts w:hint="eastAsia"/>
        </w:rPr>
        <w:t>3</w:t>
      </w:r>
      <w:r>
        <w:t>-</w:t>
      </w:r>
      <w:r>
        <w:rPr>
          <w:rFonts w:hint="eastAsia"/>
        </w:rPr>
        <w:t xml:space="preserve">2 </w:t>
      </w:r>
      <w:r>
        <w:rPr>
          <w:rFonts w:hint="eastAsia"/>
        </w:rPr>
        <w:t>粮食生产风险识别模型主要变量的描述性统计</w:t>
      </w:r>
    </w:p>
    <w:p w14:paraId="60C9D4AD" w14:textId="77777777" w:rsidR="004B3261" w:rsidRDefault="004B3261">
      <w:pPr>
        <w:pStyle w:val="a3"/>
      </w:pPr>
    </w:p>
    <w:tbl>
      <w:tblPr>
        <w:tblStyle w:val="a7"/>
        <w:tblW w:w="8522" w:type="dxa"/>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1696"/>
        <w:gridCol w:w="1011"/>
        <w:gridCol w:w="1037"/>
        <w:gridCol w:w="1250"/>
        <w:gridCol w:w="1202"/>
        <w:gridCol w:w="1123"/>
        <w:gridCol w:w="1203"/>
      </w:tblGrid>
      <w:tr w:rsidR="004B3261" w14:paraId="45E2F2E5" w14:textId="77777777">
        <w:trPr>
          <w:tblHeader/>
          <w:jc w:val="center"/>
        </w:trPr>
        <w:tc>
          <w:tcPr>
            <w:tcW w:w="1696" w:type="dxa"/>
            <w:tcBorders>
              <w:top w:val="single" w:sz="12" w:space="0" w:color="auto"/>
              <w:left w:val="nil"/>
              <w:bottom w:val="nil"/>
              <w:right w:val="nil"/>
            </w:tcBorders>
            <w:tcMar>
              <w:top w:w="-1" w:type="dxa"/>
              <w:left w:w="-1" w:type="dxa"/>
              <w:bottom w:w="-1" w:type="dxa"/>
              <w:right w:w="-1" w:type="dxa"/>
            </w:tcMar>
            <w:vAlign w:val="center"/>
          </w:tcPr>
          <w:p w14:paraId="39F0E5A9" w14:textId="77777777" w:rsidR="004B3261" w:rsidRDefault="00000000">
            <w:pPr>
              <w:widowControl/>
              <w:snapToGrid w:val="0"/>
              <w:jc w:val="center"/>
              <w:textAlignment w:val="bottom"/>
              <w:rPr>
                <w:rFonts w:ascii="宋体" w:eastAsia="宋体"/>
                <w:b/>
                <w:sz w:val="22"/>
              </w:rPr>
            </w:pPr>
            <w:r>
              <w:rPr>
                <w:rFonts w:ascii="宋体" w:eastAsia="宋体" w:hAnsi="宋体" w:cs="宋体" w:hint="eastAsia"/>
                <w:b/>
                <w:color w:val="000000"/>
                <w:kern w:val="0"/>
                <w:sz w:val="22"/>
                <w:lang w:bidi="ar"/>
              </w:rPr>
              <w:t>变量名称</w:t>
            </w:r>
          </w:p>
        </w:tc>
        <w:tc>
          <w:tcPr>
            <w:tcW w:w="0" w:type="auto"/>
            <w:tcBorders>
              <w:top w:val="single" w:sz="12" w:space="0" w:color="auto"/>
              <w:left w:val="nil"/>
              <w:bottom w:val="nil"/>
              <w:right w:val="nil"/>
            </w:tcBorders>
            <w:tcMar>
              <w:top w:w="-1" w:type="dxa"/>
              <w:left w:w="-1" w:type="dxa"/>
              <w:bottom w:w="-1" w:type="dxa"/>
              <w:right w:w="-1" w:type="dxa"/>
            </w:tcMar>
            <w:vAlign w:val="center"/>
          </w:tcPr>
          <w:p w14:paraId="69A7650D" w14:textId="77777777" w:rsidR="004B3261" w:rsidRDefault="00000000">
            <w:pPr>
              <w:widowControl/>
              <w:snapToGrid w:val="0"/>
              <w:jc w:val="center"/>
              <w:textAlignment w:val="bottom"/>
              <w:rPr>
                <w:rFonts w:ascii="宋体" w:eastAsia="宋体"/>
                <w:b/>
                <w:sz w:val="22"/>
              </w:rPr>
            </w:pPr>
            <w:r>
              <w:rPr>
                <w:rFonts w:ascii="宋体" w:eastAsia="宋体" w:hAnsi="宋体" w:cs="宋体" w:hint="eastAsia"/>
                <w:b/>
                <w:color w:val="000000"/>
                <w:kern w:val="0"/>
                <w:sz w:val="22"/>
                <w:lang w:bidi="ar"/>
              </w:rPr>
              <w:t>符号</w:t>
            </w:r>
          </w:p>
        </w:tc>
        <w:tc>
          <w:tcPr>
            <w:tcW w:w="1037" w:type="dxa"/>
            <w:tcBorders>
              <w:top w:val="single" w:sz="12" w:space="0" w:color="auto"/>
              <w:left w:val="nil"/>
              <w:bottom w:val="nil"/>
              <w:right w:val="nil"/>
            </w:tcBorders>
            <w:tcMar>
              <w:top w:w="-1" w:type="dxa"/>
              <w:left w:w="-1" w:type="dxa"/>
              <w:bottom w:w="-1" w:type="dxa"/>
              <w:right w:w="-1" w:type="dxa"/>
            </w:tcMar>
            <w:vAlign w:val="center"/>
          </w:tcPr>
          <w:p w14:paraId="55DC89B3" w14:textId="77777777" w:rsidR="004B3261" w:rsidRDefault="00000000">
            <w:pPr>
              <w:widowControl/>
              <w:snapToGrid w:val="0"/>
              <w:jc w:val="center"/>
              <w:textAlignment w:val="bottom"/>
              <w:rPr>
                <w:rFonts w:ascii="宋体" w:eastAsia="宋体"/>
                <w:b/>
                <w:sz w:val="22"/>
              </w:rPr>
            </w:pPr>
            <w:r>
              <w:rPr>
                <w:rFonts w:ascii="宋体" w:eastAsia="宋体" w:hAnsi="宋体" w:cs="宋体" w:hint="eastAsia"/>
                <w:b/>
                <w:color w:val="000000"/>
                <w:kern w:val="0"/>
                <w:sz w:val="22"/>
                <w:lang w:bidi="ar"/>
              </w:rPr>
              <w:t>样本量</w:t>
            </w:r>
          </w:p>
        </w:tc>
        <w:tc>
          <w:tcPr>
            <w:tcW w:w="1250" w:type="dxa"/>
            <w:tcBorders>
              <w:top w:val="single" w:sz="12" w:space="0" w:color="auto"/>
              <w:left w:val="nil"/>
              <w:bottom w:val="nil"/>
              <w:right w:val="nil"/>
            </w:tcBorders>
            <w:tcMar>
              <w:top w:w="-1" w:type="dxa"/>
              <w:left w:w="-1" w:type="dxa"/>
              <w:bottom w:w="-1" w:type="dxa"/>
              <w:right w:w="-1" w:type="dxa"/>
            </w:tcMar>
            <w:vAlign w:val="center"/>
          </w:tcPr>
          <w:p w14:paraId="089B7A0A" w14:textId="77777777" w:rsidR="004B3261" w:rsidRDefault="00000000">
            <w:pPr>
              <w:widowControl/>
              <w:snapToGrid w:val="0"/>
              <w:jc w:val="center"/>
              <w:textAlignment w:val="bottom"/>
              <w:rPr>
                <w:rFonts w:ascii="宋体" w:eastAsia="宋体" w:hAnsi="宋体" w:cs="宋体"/>
                <w:b/>
                <w:color w:val="000000"/>
                <w:kern w:val="0"/>
                <w:sz w:val="22"/>
                <w:lang w:bidi="ar"/>
              </w:rPr>
            </w:pPr>
            <w:r>
              <w:rPr>
                <w:rFonts w:ascii="宋体" w:eastAsia="宋体" w:hAnsi="宋体" w:cs="宋体" w:hint="eastAsia"/>
                <w:b/>
                <w:color w:val="000000"/>
                <w:kern w:val="0"/>
                <w:sz w:val="22"/>
                <w:lang w:bidi="ar"/>
              </w:rPr>
              <w:t>均值</w:t>
            </w:r>
          </w:p>
          <w:p w14:paraId="4FA57539" w14:textId="77777777" w:rsidR="004B3261" w:rsidRDefault="00000000">
            <w:pPr>
              <w:widowControl/>
              <w:snapToGrid w:val="0"/>
              <w:jc w:val="center"/>
              <w:textAlignment w:val="bottom"/>
              <w:rPr>
                <w:rFonts w:ascii="宋体" w:eastAsia="宋体"/>
                <w:b/>
                <w:sz w:val="22"/>
              </w:rPr>
            </w:pPr>
            <w:r>
              <w:rPr>
                <w:rFonts w:ascii="宋体" w:eastAsia="宋体" w:hAnsi="宋体" w:cs="宋体" w:hint="eastAsia"/>
                <w:b/>
                <w:color w:val="000000"/>
                <w:kern w:val="0"/>
                <w:sz w:val="22"/>
                <w:lang w:bidi="ar"/>
              </w:rPr>
              <w:t>(Mean)</w:t>
            </w:r>
          </w:p>
        </w:tc>
        <w:tc>
          <w:tcPr>
            <w:tcW w:w="1202" w:type="dxa"/>
            <w:tcBorders>
              <w:top w:val="single" w:sz="12" w:space="0" w:color="auto"/>
              <w:left w:val="nil"/>
              <w:bottom w:val="nil"/>
              <w:right w:val="nil"/>
            </w:tcBorders>
            <w:tcMar>
              <w:top w:w="-1" w:type="dxa"/>
              <w:left w:w="-1" w:type="dxa"/>
              <w:bottom w:w="-1" w:type="dxa"/>
              <w:right w:w="-1" w:type="dxa"/>
            </w:tcMar>
            <w:vAlign w:val="center"/>
          </w:tcPr>
          <w:p w14:paraId="198EF043" w14:textId="77777777" w:rsidR="004B3261" w:rsidRDefault="00000000">
            <w:pPr>
              <w:widowControl/>
              <w:snapToGrid w:val="0"/>
              <w:jc w:val="center"/>
              <w:textAlignment w:val="bottom"/>
              <w:rPr>
                <w:rFonts w:ascii="宋体" w:eastAsia="宋体" w:hAnsi="宋体" w:cs="宋体"/>
                <w:b/>
                <w:color w:val="000000"/>
                <w:kern w:val="0"/>
                <w:sz w:val="22"/>
                <w:lang w:bidi="ar"/>
              </w:rPr>
            </w:pPr>
            <w:r>
              <w:rPr>
                <w:rFonts w:ascii="宋体" w:eastAsia="宋体" w:hAnsi="宋体" w:cs="宋体" w:hint="eastAsia"/>
                <w:b/>
                <w:color w:val="000000"/>
                <w:kern w:val="0"/>
                <w:sz w:val="22"/>
                <w:lang w:bidi="ar"/>
              </w:rPr>
              <w:t>标准差</w:t>
            </w:r>
          </w:p>
          <w:p w14:paraId="1BA40B0A" w14:textId="77777777" w:rsidR="004B3261" w:rsidRDefault="00000000">
            <w:pPr>
              <w:widowControl/>
              <w:snapToGrid w:val="0"/>
              <w:jc w:val="center"/>
              <w:textAlignment w:val="bottom"/>
              <w:rPr>
                <w:rFonts w:ascii="宋体" w:eastAsia="宋体"/>
                <w:b/>
                <w:sz w:val="22"/>
              </w:rPr>
            </w:pPr>
            <w:r>
              <w:rPr>
                <w:rFonts w:ascii="宋体" w:eastAsia="宋体" w:hAnsi="宋体" w:cs="宋体" w:hint="eastAsia"/>
                <w:b/>
                <w:color w:val="000000"/>
                <w:kern w:val="0"/>
                <w:sz w:val="22"/>
                <w:lang w:bidi="ar"/>
              </w:rPr>
              <w:t>(Std)</w:t>
            </w:r>
          </w:p>
        </w:tc>
        <w:tc>
          <w:tcPr>
            <w:tcW w:w="1123" w:type="dxa"/>
            <w:tcBorders>
              <w:top w:val="single" w:sz="12" w:space="0" w:color="auto"/>
              <w:left w:val="nil"/>
              <w:bottom w:val="nil"/>
              <w:right w:val="nil"/>
            </w:tcBorders>
            <w:tcMar>
              <w:top w:w="-1" w:type="dxa"/>
              <w:left w:w="-1" w:type="dxa"/>
              <w:bottom w:w="-1" w:type="dxa"/>
              <w:right w:w="-1" w:type="dxa"/>
            </w:tcMar>
            <w:vAlign w:val="center"/>
          </w:tcPr>
          <w:p w14:paraId="7F484A28" w14:textId="77777777" w:rsidR="004B3261" w:rsidRDefault="00000000">
            <w:pPr>
              <w:widowControl/>
              <w:snapToGrid w:val="0"/>
              <w:jc w:val="center"/>
              <w:textAlignment w:val="bottom"/>
              <w:rPr>
                <w:rFonts w:ascii="宋体" w:eastAsia="宋体" w:hAnsi="宋体" w:cs="宋体"/>
                <w:b/>
                <w:color w:val="000000"/>
                <w:kern w:val="0"/>
                <w:sz w:val="22"/>
                <w:lang w:bidi="ar"/>
              </w:rPr>
            </w:pPr>
            <w:r>
              <w:rPr>
                <w:rFonts w:ascii="宋体" w:eastAsia="宋体" w:hAnsi="宋体" w:cs="宋体" w:hint="eastAsia"/>
                <w:b/>
                <w:color w:val="000000"/>
                <w:kern w:val="0"/>
                <w:sz w:val="22"/>
                <w:lang w:bidi="ar"/>
              </w:rPr>
              <w:t>最小值</w:t>
            </w:r>
          </w:p>
          <w:p w14:paraId="1351E455" w14:textId="77777777" w:rsidR="004B3261" w:rsidRDefault="00000000">
            <w:pPr>
              <w:widowControl/>
              <w:snapToGrid w:val="0"/>
              <w:jc w:val="center"/>
              <w:textAlignment w:val="bottom"/>
              <w:rPr>
                <w:rFonts w:ascii="宋体" w:eastAsia="宋体"/>
                <w:b/>
                <w:sz w:val="22"/>
              </w:rPr>
            </w:pPr>
            <w:r>
              <w:rPr>
                <w:rFonts w:ascii="宋体" w:eastAsia="宋体" w:hAnsi="宋体" w:cs="宋体" w:hint="eastAsia"/>
                <w:b/>
                <w:color w:val="000000"/>
                <w:kern w:val="0"/>
                <w:sz w:val="22"/>
                <w:lang w:bidi="ar"/>
              </w:rPr>
              <w:t>(Min)</w:t>
            </w:r>
          </w:p>
        </w:tc>
        <w:tc>
          <w:tcPr>
            <w:tcW w:w="1203" w:type="dxa"/>
            <w:tcBorders>
              <w:top w:val="single" w:sz="12" w:space="0" w:color="auto"/>
              <w:left w:val="nil"/>
              <w:bottom w:val="nil"/>
              <w:right w:val="nil"/>
            </w:tcBorders>
            <w:tcMar>
              <w:top w:w="-1" w:type="dxa"/>
              <w:left w:w="-1" w:type="dxa"/>
              <w:bottom w:w="-1" w:type="dxa"/>
              <w:right w:w="-1" w:type="dxa"/>
            </w:tcMar>
            <w:vAlign w:val="center"/>
          </w:tcPr>
          <w:p w14:paraId="47B157D6" w14:textId="77777777" w:rsidR="004B3261" w:rsidRDefault="00000000">
            <w:pPr>
              <w:widowControl/>
              <w:snapToGrid w:val="0"/>
              <w:jc w:val="center"/>
              <w:textAlignment w:val="bottom"/>
              <w:rPr>
                <w:rFonts w:ascii="宋体" w:eastAsia="宋体" w:hAnsi="宋体" w:cs="宋体"/>
                <w:b/>
                <w:color w:val="000000"/>
                <w:kern w:val="0"/>
                <w:sz w:val="22"/>
                <w:lang w:bidi="ar"/>
              </w:rPr>
            </w:pPr>
            <w:r>
              <w:rPr>
                <w:rFonts w:ascii="宋体" w:eastAsia="宋体" w:hAnsi="宋体" w:cs="宋体" w:hint="eastAsia"/>
                <w:b/>
                <w:color w:val="000000"/>
                <w:kern w:val="0"/>
                <w:sz w:val="22"/>
                <w:lang w:bidi="ar"/>
              </w:rPr>
              <w:t>最大值</w:t>
            </w:r>
          </w:p>
          <w:p w14:paraId="7983871A" w14:textId="77777777" w:rsidR="004B3261" w:rsidRDefault="00000000">
            <w:pPr>
              <w:widowControl/>
              <w:snapToGrid w:val="0"/>
              <w:jc w:val="center"/>
              <w:textAlignment w:val="bottom"/>
              <w:rPr>
                <w:rFonts w:ascii="宋体" w:eastAsia="宋体"/>
                <w:b/>
                <w:sz w:val="22"/>
              </w:rPr>
            </w:pPr>
            <w:r>
              <w:rPr>
                <w:rFonts w:ascii="宋体" w:eastAsia="宋体" w:hAnsi="宋体" w:cs="宋体" w:hint="eastAsia"/>
                <w:b/>
                <w:color w:val="000000"/>
                <w:kern w:val="0"/>
                <w:sz w:val="22"/>
                <w:lang w:bidi="ar"/>
              </w:rPr>
              <w:t>(Max)</w:t>
            </w:r>
          </w:p>
        </w:tc>
      </w:tr>
      <w:tr w:rsidR="004B3261" w14:paraId="506BAEFE" w14:textId="77777777">
        <w:trPr>
          <w:jc w:val="center"/>
        </w:trPr>
        <w:tc>
          <w:tcPr>
            <w:tcW w:w="1696" w:type="dxa"/>
            <w:tcBorders>
              <w:top w:val="single" w:sz="4" w:space="0" w:color="auto"/>
              <w:left w:val="nil"/>
              <w:bottom w:val="nil"/>
              <w:right w:val="nil"/>
            </w:tcBorders>
            <w:tcMar>
              <w:top w:w="-1" w:type="dxa"/>
              <w:left w:w="-1" w:type="dxa"/>
              <w:bottom w:w="-1" w:type="dxa"/>
              <w:right w:w="-1" w:type="dxa"/>
            </w:tcMar>
            <w:vAlign w:val="center"/>
          </w:tcPr>
          <w:p w14:paraId="2E8D1E2C"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粮食单产风险</w:t>
            </w:r>
          </w:p>
        </w:tc>
        <w:tc>
          <w:tcPr>
            <w:tcW w:w="0" w:type="auto"/>
            <w:tcBorders>
              <w:top w:val="single" w:sz="4" w:space="0" w:color="auto"/>
              <w:left w:val="nil"/>
              <w:bottom w:val="nil"/>
              <w:right w:val="nil"/>
            </w:tcBorders>
            <w:tcMar>
              <w:top w:w="-1" w:type="dxa"/>
              <w:left w:w="-1" w:type="dxa"/>
              <w:bottom w:w="-1" w:type="dxa"/>
              <w:right w:w="-1" w:type="dxa"/>
            </w:tcMar>
            <w:vAlign w:val="center"/>
          </w:tcPr>
          <w:p w14:paraId="76CB55CC"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Y</w:t>
            </w:r>
          </w:p>
        </w:tc>
        <w:tc>
          <w:tcPr>
            <w:tcW w:w="1037" w:type="dxa"/>
            <w:tcBorders>
              <w:top w:val="single" w:sz="4" w:space="0" w:color="auto"/>
              <w:left w:val="nil"/>
              <w:bottom w:val="nil"/>
              <w:right w:val="nil"/>
            </w:tcBorders>
            <w:tcMar>
              <w:top w:w="-1" w:type="dxa"/>
              <w:left w:w="-1" w:type="dxa"/>
              <w:bottom w:w="-1" w:type="dxa"/>
              <w:right w:w="-1" w:type="dxa"/>
            </w:tcMar>
            <w:vAlign w:val="center"/>
          </w:tcPr>
          <w:p w14:paraId="71A76ED0"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403</w:t>
            </w:r>
          </w:p>
        </w:tc>
        <w:tc>
          <w:tcPr>
            <w:tcW w:w="1250" w:type="dxa"/>
            <w:tcBorders>
              <w:top w:val="single" w:sz="4" w:space="0" w:color="auto"/>
              <w:left w:val="nil"/>
              <w:bottom w:val="nil"/>
              <w:right w:val="nil"/>
            </w:tcBorders>
            <w:tcMar>
              <w:top w:w="-1" w:type="dxa"/>
              <w:left w:w="-1" w:type="dxa"/>
              <w:bottom w:w="-1" w:type="dxa"/>
              <w:right w:w="-1" w:type="dxa"/>
            </w:tcMar>
            <w:vAlign w:val="center"/>
          </w:tcPr>
          <w:p w14:paraId="3F531D92"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0.023</w:t>
            </w:r>
          </w:p>
        </w:tc>
        <w:tc>
          <w:tcPr>
            <w:tcW w:w="1202" w:type="dxa"/>
            <w:tcBorders>
              <w:top w:val="single" w:sz="4" w:space="0" w:color="auto"/>
              <w:left w:val="nil"/>
              <w:bottom w:val="nil"/>
              <w:right w:val="nil"/>
            </w:tcBorders>
            <w:tcMar>
              <w:top w:w="-1" w:type="dxa"/>
              <w:left w:w="-1" w:type="dxa"/>
              <w:bottom w:w="-1" w:type="dxa"/>
              <w:right w:w="-1" w:type="dxa"/>
            </w:tcMar>
            <w:vAlign w:val="center"/>
          </w:tcPr>
          <w:p w14:paraId="72A23530"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0.007</w:t>
            </w:r>
          </w:p>
        </w:tc>
        <w:tc>
          <w:tcPr>
            <w:tcW w:w="1123" w:type="dxa"/>
            <w:tcBorders>
              <w:top w:val="single" w:sz="4" w:space="0" w:color="auto"/>
              <w:left w:val="nil"/>
              <w:bottom w:val="nil"/>
              <w:right w:val="nil"/>
            </w:tcBorders>
            <w:tcMar>
              <w:top w:w="-1" w:type="dxa"/>
              <w:left w:w="-1" w:type="dxa"/>
              <w:bottom w:w="-1" w:type="dxa"/>
              <w:right w:w="-1" w:type="dxa"/>
            </w:tcMar>
            <w:vAlign w:val="center"/>
          </w:tcPr>
          <w:p w14:paraId="53DF79C2"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0.011</w:t>
            </w:r>
          </w:p>
        </w:tc>
        <w:tc>
          <w:tcPr>
            <w:tcW w:w="1203" w:type="dxa"/>
            <w:tcBorders>
              <w:top w:val="single" w:sz="4" w:space="0" w:color="auto"/>
              <w:left w:val="nil"/>
              <w:bottom w:val="nil"/>
              <w:right w:val="nil"/>
            </w:tcBorders>
            <w:tcMar>
              <w:top w:w="-1" w:type="dxa"/>
              <w:left w:w="-1" w:type="dxa"/>
              <w:bottom w:w="-1" w:type="dxa"/>
              <w:right w:w="-1" w:type="dxa"/>
            </w:tcMar>
            <w:vAlign w:val="center"/>
          </w:tcPr>
          <w:p w14:paraId="3F4EE31D"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0.043</w:t>
            </w:r>
          </w:p>
        </w:tc>
      </w:tr>
      <w:tr w:rsidR="004B3261" w14:paraId="7E409CA2" w14:textId="77777777">
        <w:trPr>
          <w:jc w:val="center"/>
        </w:trPr>
        <w:tc>
          <w:tcPr>
            <w:tcW w:w="1696" w:type="dxa"/>
            <w:tcBorders>
              <w:top w:val="nil"/>
              <w:left w:val="nil"/>
              <w:bottom w:val="nil"/>
              <w:right w:val="nil"/>
            </w:tcBorders>
            <w:tcMar>
              <w:top w:w="-1" w:type="dxa"/>
              <w:left w:w="-1" w:type="dxa"/>
              <w:bottom w:w="-1" w:type="dxa"/>
              <w:right w:w="-1" w:type="dxa"/>
            </w:tcMar>
            <w:vAlign w:val="center"/>
          </w:tcPr>
          <w:p w14:paraId="4E252FD9"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平均气温</w:t>
            </w:r>
          </w:p>
        </w:tc>
        <w:tc>
          <w:tcPr>
            <w:tcW w:w="0" w:type="auto"/>
            <w:tcBorders>
              <w:top w:val="nil"/>
              <w:left w:val="nil"/>
              <w:bottom w:val="nil"/>
              <w:right w:val="nil"/>
            </w:tcBorders>
            <w:tcMar>
              <w:top w:w="-1" w:type="dxa"/>
              <w:left w:w="-1" w:type="dxa"/>
              <w:bottom w:w="-1" w:type="dxa"/>
              <w:right w:w="-1" w:type="dxa"/>
            </w:tcMar>
            <w:vAlign w:val="center"/>
          </w:tcPr>
          <w:p w14:paraId="03A96F0D"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Temp</w:t>
            </w:r>
          </w:p>
        </w:tc>
        <w:tc>
          <w:tcPr>
            <w:tcW w:w="1037" w:type="dxa"/>
            <w:tcBorders>
              <w:top w:val="nil"/>
              <w:left w:val="nil"/>
              <w:bottom w:val="nil"/>
              <w:right w:val="nil"/>
            </w:tcBorders>
            <w:tcMar>
              <w:top w:w="-1" w:type="dxa"/>
              <w:left w:w="-1" w:type="dxa"/>
              <w:bottom w:w="-1" w:type="dxa"/>
              <w:right w:w="-1" w:type="dxa"/>
            </w:tcMar>
            <w:vAlign w:val="center"/>
          </w:tcPr>
          <w:p w14:paraId="161609AF"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403</w:t>
            </w:r>
          </w:p>
        </w:tc>
        <w:tc>
          <w:tcPr>
            <w:tcW w:w="1250" w:type="dxa"/>
            <w:tcBorders>
              <w:top w:val="nil"/>
              <w:left w:val="nil"/>
              <w:bottom w:val="nil"/>
              <w:right w:val="nil"/>
            </w:tcBorders>
            <w:tcMar>
              <w:top w:w="-1" w:type="dxa"/>
              <w:left w:w="-1" w:type="dxa"/>
              <w:bottom w:w="-1" w:type="dxa"/>
              <w:right w:w="-1" w:type="dxa"/>
            </w:tcMar>
            <w:vAlign w:val="center"/>
          </w:tcPr>
          <w:p w14:paraId="667E4EBF"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14.052</w:t>
            </w:r>
          </w:p>
        </w:tc>
        <w:tc>
          <w:tcPr>
            <w:tcW w:w="1202" w:type="dxa"/>
            <w:tcBorders>
              <w:top w:val="nil"/>
              <w:left w:val="nil"/>
              <w:bottom w:val="nil"/>
              <w:right w:val="nil"/>
            </w:tcBorders>
            <w:tcMar>
              <w:top w:w="-1" w:type="dxa"/>
              <w:left w:w="-1" w:type="dxa"/>
              <w:bottom w:w="-1" w:type="dxa"/>
              <w:right w:w="-1" w:type="dxa"/>
            </w:tcMar>
            <w:vAlign w:val="center"/>
          </w:tcPr>
          <w:p w14:paraId="169FDCDE"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5.43</w:t>
            </w:r>
          </w:p>
        </w:tc>
        <w:tc>
          <w:tcPr>
            <w:tcW w:w="1123" w:type="dxa"/>
            <w:tcBorders>
              <w:top w:val="nil"/>
              <w:left w:val="nil"/>
              <w:bottom w:val="nil"/>
              <w:right w:val="nil"/>
            </w:tcBorders>
            <w:tcMar>
              <w:top w:w="-1" w:type="dxa"/>
              <w:left w:w="-1" w:type="dxa"/>
              <w:bottom w:w="-1" w:type="dxa"/>
              <w:right w:w="-1" w:type="dxa"/>
            </w:tcMar>
            <w:vAlign w:val="center"/>
          </w:tcPr>
          <w:p w14:paraId="0DE8DE35"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2.03</w:t>
            </w:r>
          </w:p>
        </w:tc>
        <w:tc>
          <w:tcPr>
            <w:tcW w:w="1203" w:type="dxa"/>
            <w:tcBorders>
              <w:top w:val="nil"/>
              <w:left w:val="nil"/>
              <w:bottom w:val="nil"/>
              <w:right w:val="nil"/>
            </w:tcBorders>
            <w:tcMar>
              <w:top w:w="-1" w:type="dxa"/>
              <w:left w:w="-1" w:type="dxa"/>
              <w:bottom w:w="-1" w:type="dxa"/>
              <w:right w:w="-1" w:type="dxa"/>
            </w:tcMar>
            <w:vAlign w:val="center"/>
          </w:tcPr>
          <w:p w14:paraId="39A15B84"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25.66</w:t>
            </w:r>
          </w:p>
        </w:tc>
      </w:tr>
      <w:tr w:rsidR="004B3261" w14:paraId="56EF84A1" w14:textId="77777777">
        <w:trPr>
          <w:jc w:val="center"/>
        </w:trPr>
        <w:tc>
          <w:tcPr>
            <w:tcW w:w="1696" w:type="dxa"/>
            <w:tcBorders>
              <w:top w:val="nil"/>
              <w:left w:val="nil"/>
              <w:bottom w:val="nil"/>
              <w:right w:val="nil"/>
            </w:tcBorders>
            <w:tcMar>
              <w:top w:w="-1" w:type="dxa"/>
              <w:left w:w="-1" w:type="dxa"/>
              <w:bottom w:w="-1" w:type="dxa"/>
              <w:right w:w="-1" w:type="dxa"/>
            </w:tcMar>
            <w:vAlign w:val="center"/>
          </w:tcPr>
          <w:p w14:paraId="0FC5F036"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干旱指数</w:t>
            </w:r>
          </w:p>
        </w:tc>
        <w:tc>
          <w:tcPr>
            <w:tcW w:w="0" w:type="auto"/>
            <w:tcBorders>
              <w:top w:val="nil"/>
              <w:left w:val="nil"/>
              <w:bottom w:val="nil"/>
              <w:right w:val="nil"/>
            </w:tcBorders>
            <w:tcMar>
              <w:top w:w="-1" w:type="dxa"/>
              <w:left w:w="-1" w:type="dxa"/>
              <w:bottom w:w="-1" w:type="dxa"/>
              <w:right w:w="-1" w:type="dxa"/>
            </w:tcMar>
            <w:vAlign w:val="center"/>
          </w:tcPr>
          <w:p w14:paraId="379CF6BF"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SPEI</w:t>
            </w:r>
          </w:p>
        </w:tc>
        <w:tc>
          <w:tcPr>
            <w:tcW w:w="1037" w:type="dxa"/>
            <w:tcBorders>
              <w:top w:val="nil"/>
              <w:left w:val="nil"/>
              <w:bottom w:val="nil"/>
              <w:right w:val="nil"/>
            </w:tcBorders>
            <w:tcMar>
              <w:top w:w="-1" w:type="dxa"/>
              <w:left w:w="-1" w:type="dxa"/>
              <w:bottom w:w="-1" w:type="dxa"/>
              <w:right w:w="-1" w:type="dxa"/>
            </w:tcMar>
            <w:vAlign w:val="center"/>
          </w:tcPr>
          <w:p w14:paraId="1BB2E0E5"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403</w:t>
            </w:r>
          </w:p>
        </w:tc>
        <w:tc>
          <w:tcPr>
            <w:tcW w:w="1250" w:type="dxa"/>
            <w:tcBorders>
              <w:top w:val="nil"/>
              <w:left w:val="nil"/>
              <w:bottom w:val="nil"/>
              <w:right w:val="nil"/>
            </w:tcBorders>
            <w:tcMar>
              <w:top w:w="-1" w:type="dxa"/>
              <w:left w:w="-1" w:type="dxa"/>
              <w:bottom w:w="-1" w:type="dxa"/>
              <w:right w:w="-1" w:type="dxa"/>
            </w:tcMar>
            <w:vAlign w:val="center"/>
          </w:tcPr>
          <w:p w14:paraId="386A6D0F"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-0.077</w:t>
            </w:r>
          </w:p>
        </w:tc>
        <w:tc>
          <w:tcPr>
            <w:tcW w:w="1202" w:type="dxa"/>
            <w:tcBorders>
              <w:top w:val="nil"/>
              <w:left w:val="nil"/>
              <w:bottom w:val="nil"/>
              <w:right w:val="nil"/>
            </w:tcBorders>
            <w:tcMar>
              <w:top w:w="-1" w:type="dxa"/>
              <w:left w:w="-1" w:type="dxa"/>
              <w:bottom w:w="-1" w:type="dxa"/>
              <w:right w:w="-1" w:type="dxa"/>
            </w:tcMar>
            <w:vAlign w:val="center"/>
          </w:tcPr>
          <w:p w14:paraId="65E6B74E"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0.961</w:t>
            </w:r>
          </w:p>
        </w:tc>
        <w:tc>
          <w:tcPr>
            <w:tcW w:w="1123" w:type="dxa"/>
            <w:tcBorders>
              <w:top w:val="nil"/>
              <w:left w:val="nil"/>
              <w:bottom w:val="nil"/>
              <w:right w:val="nil"/>
            </w:tcBorders>
            <w:tcMar>
              <w:top w:w="-1" w:type="dxa"/>
              <w:left w:w="-1" w:type="dxa"/>
              <w:bottom w:w="-1" w:type="dxa"/>
              <w:right w:w="-1" w:type="dxa"/>
            </w:tcMar>
            <w:vAlign w:val="center"/>
          </w:tcPr>
          <w:p w14:paraId="5F1329E3"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-2.522</w:t>
            </w:r>
          </w:p>
        </w:tc>
        <w:tc>
          <w:tcPr>
            <w:tcW w:w="1203" w:type="dxa"/>
            <w:tcBorders>
              <w:top w:val="nil"/>
              <w:left w:val="nil"/>
              <w:bottom w:val="nil"/>
              <w:right w:val="nil"/>
            </w:tcBorders>
            <w:tcMar>
              <w:top w:w="-1" w:type="dxa"/>
              <w:left w:w="-1" w:type="dxa"/>
              <w:bottom w:w="-1" w:type="dxa"/>
              <w:right w:w="-1" w:type="dxa"/>
            </w:tcMar>
            <w:vAlign w:val="center"/>
          </w:tcPr>
          <w:p w14:paraId="7D3AE1A5"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2.27</w:t>
            </w:r>
          </w:p>
        </w:tc>
      </w:tr>
      <w:tr w:rsidR="004B3261" w14:paraId="7A6A423A" w14:textId="77777777">
        <w:trPr>
          <w:jc w:val="center"/>
        </w:trPr>
        <w:tc>
          <w:tcPr>
            <w:tcW w:w="1696" w:type="dxa"/>
            <w:tcBorders>
              <w:top w:val="nil"/>
              <w:left w:val="nil"/>
              <w:bottom w:val="nil"/>
              <w:right w:val="nil"/>
            </w:tcBorders>
            <w:tcMar>
              <w:top w:w="-1" w:type="dxa"/>
              <w:left w:w="-1" w:type="dxa"/>
              <w:bottom w:w="-1" w:type="dxa"/>
              <w:right w:w="-1" w:type="dxa"/>
            </w:tcMar>
            <w:vAlign w:val="center"/>
          </w:tcPr>
          <w:p w14:paraId="3DC000E9"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洪涝占比</w:t>
            </w:r>
          </w:p>
        </w:tc>
        <w:tc>
          <w:tcPr>
            <w:tcW w:w="0" w:type="auto"/>
            <w:tcBorders>
              <w:top w:val="nil"/>
              <w:left w:val="nil"/>
              <w:bottom w:val="nil"/>
              <w:right w:val="nil"/>
            </w:tcBorders>
            <w:tcMar>
              <w:top w:w="-1" w:type="dxa"/>
              <w:left w:w="-1" w:type="dxa"/>
              <w:bottom w:w="-1" w:type="dxa"/>
              <w:right w:w="-1" w:type="dxa"/>
            </w:tcMar>
            <w:vAlign w:val="center"/>
          </w:tcPr>
          <w:p w14:paraId="09EFBE1E"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Flood_R</w:t>
            </w:r>
          </w:p>
        </w:tc>
        <w:tc>
          <w:tcPr>
            <w:tcW w:w="1037" w:type="dxa"/>
            <w:tcBorders>
              <w:top w:val="nil"/>
              <w:left w:val="nil"/>
              <w:bottom w:val="nil"/>
              <w:right w:val="nil"/>
            </w:tcBorders>
            <w:tcMar>
              <w:top w:w="-1" w:type="dxa"/>
              <w:left w:w="-1" w:type="dxa"/>
              <w:bottom w:w="-1" w:type="dxa"/>
              <w:right w:w="-1" w:type="dxa"/>
            </w:tcMar>
            <w:vAlign w:val="center"/>
          </w:tcPr>
          <w:p w14:paraId="4D5D45B6"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403</w:t>
            </w:r>
          </w:p>
        </w:tc>
        <w:tc>
          <w:tcPr>
            <w:tcW w:w="1250" w:type="dxa"/>
            <w:tcBorders>
              <w:top w:val="nil"/>
              <w:left w:val="nil"/>
              <w:bottom w:val="nil"/>
              <w:right w:val="nil"/>
            </w:tcBorders>
            <w:tcMar>
              <w:top w:w="-1" w:type="dxa"/>
              <w:left w:w="-1" w:type="dxa"/>
              <w:bottom w:w="-1" w:type="dxa"/>
              <w:right w:w="-1" w:type="dxa"/>
            </w:tcMar>
            <w:vAlign w:val="center"/>
          </w:tcPr>
          <w:p w14:paraId="0E483588"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2.97</w:t>
            </w:r>
          </w:p>
        </w:tc>
        <w:tc>
          <w:tcPr>
            <w:tcW w:w="1202" w:type="dxa"/>
            <w:tcBorders>
              <w:top w:val="nil"/>
              <w:left w:val="nil"/>
              <w:bottom w:val="nil"/>
              <w:right w:val="nil"/>
            </w:tcBorders>
            <w:tcMar>
              <w:top w:w="-1" w:type="dxa"/>
              <w:left w:w="-1" w:type="dxa"/>
              <w:bottom w:w="-1" w:type="dxa"/>
              <w:right w:w="-1" w:type="dxa"/>
            </w:tcMar>
            <w:vAlign w:val="center"/>
          </w:tcPr>
          <w:p w14:paraId="033A50CA"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3.141</w:t>
            </w:r>
          </w:p>
        </w:tc>
        <w:tc>
          <w:tcPr>
            <w:tcW w:w="1123" w:type="dxa"/>
            <w:tcBorders>
              <w:top w:val="nil"/>
              <w:left w:val="nil"/>
              <w:bottom w:val="nil"/>
              <w:right w:val="nil"/>
            </w:tcBorders>
            <w:tcMar>
              <w:top w:w="-1" w:type="dxa"/>
              <w:left w:w="-1" w:type="dxa"/>
              <w:bottom w:w="-1" w:type="dxa"/>
              <w:right w:w="-1" w:type="dxa"/>
            </w:tcMar>
            <w:vAlign w:val="center"/>
          </w:tcPr>
          <w:p w14:paraId="6F3A1991"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0</w:t>
            </w:r>
          </w:p>
        </w:tc>
        <w:tc>
          <w:tcPr>
            <w:tcW w:w="1203" w:type="dxa"/>
            <w:tcBorders>
              <w:top w:val="nil"/>
              <w:left w:val="nil"/>
              <w:bottom w:val="nil"/>
              <w:right w:val="nil"/>
            </w:tcBorders>
            <w:tcMar>
              <w:top w:w="-1" w:type="dxa"/>
              <w:left w:w="-1" w:type="dxa"/>
              <w:bottom w:w="-1" w:type="dxa"/>
              <w:right w:w="-1" w:type="dxa"/>
            </w:tcMar>
            <w:vAlign w:val="center"/>
          </w:tcPr>
          <w:p w14:paraId="22F3B4C2"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23.65</w:t>
            </w:r>
          </w:p>
        </w:tc>
      </w:tr>
      <w:tr w:rsidR="004B3261" w14:paraId="79070C6B" w14:textId="77777777">
        <w:trPr>
          <w:jc w:val="center"/>
        </w:trPr>
        <w:tc>
          <w:tcPr>
            <w:tcW w:w="1696" w:type="dxa"/>
            <w:tcBorders>
              <w:top w:val="nil"/>
              <w:left w:val="nil"/>
              <w:bottom w:val="nil"/>
              <w:right w:val="nil"/>
            </w:tcBorders>
            <w:tcMar>
              <w:top w:w="-1" w:type="dxa"/>
              <w:left w:w="-1" w:type="dxa"/>
              <w:bottom w:w="-1" w:type="dxa"/>
              <w:right w:w="-1" w:type="dxa"/>
            </w:tcMar>
            <w:vAlign w:val="center"/>
          </w:tcPr>
          <w:p w14:paraId="597B9D69"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灌溉率</w:t>
            </w:r>
          </w:p>
        </w:tc>
        <w:tc>
          <w:tcPr>
            <w:tcW w:w="0" w:type="auto"/>
            <w:tcBorders>
              <w:top w:val="nil"/>
              <w:left w:val="nil"/>
              <w:bottom w:val="nil"/>
              <w:right w:val="nil"/>
            </w:tcBorders>
            <w:tcMar>
              <w:top w:w="-1" w:type="dxa"/>
              <w:left w:w="-1" w:type="dxa"/>
              <w:bottom w:w="-1" w:type="dxa"/>
              <w:right w:w="-1" w:type="dxa"/>
            </w:tcMar>
            <w:vAlign w:val="center"/>
          </w:tcPr>
          <w:p w14:paraId="7652A62C"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Irr</w:t>
            </w:r>
          </w:p>
        </w:tc>
        <w:tc>
          <w:tcPr>
            <w:tcW w:w="1037" w:type="dxa"/>
            <w:tcBorders>
              <w:top w:val="nil"/>
              <w:left w:val="nil"/>
              <w:bottom w:val="nil"/>
              <w:right w:val="nil"/>
            </w:tcBorders>
            <w:tcMar>
              <w:top w:w="-1" w:type="dxa"/>
              <w:left w:w="-1" w:type="dxa"/>
              <w:bottom w:w="-1" w:type="dxa"/>
              <w:right w:w="-1" w:type="dxa"/>
            </w:tcMar>
            <w:vAlign w:val="center"/>
          </w:tcPr>
          <w:p w14:paraId="5BBDEECD"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403</w:t>
            </w:r>
          </w:p>
        </w:tc>
        <w:tc>
          <w:tcPr>
            <w:tcW w:w="1250" w:type="dxa"/>
            <w:tcBorders>
              <w:top w:val="nil"/>
              <w:left w:val="nil"/>
              <w:bottom w:val="nil"/>
              <w:right w:val="nil"/>
            </w:tcBorders>
            <w:tcMar>
              <w:top w:w="-1" w:type="dxa"/>
              <w:left w:w="-1" w:type="dxa"/>
              <w:bottom w:w="-1" w:type="dxa"/>
              <w:right w:w="-1" w:type="dxa"/>
            </w:tcMar>
            <w:vAlign w:val="center"/>
          </w:tcPr>
          <w:p w14:paraId="207F2264"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56.693</w:t>
            </w:r>
          </w:p>
        </w:tc>
        <w:tc>
          <w:tcPr>
            <w:tcW w:w="1202" w:type="dxa"/>
            <w:tcBorders>
              <w:top w:val="nil"/>
              <w:left w:val="nil"/>
              <w:bottom w:val="nil"/>
              <w:right w:val="nil"/>
            </w:tcBorders>
            <w:tcMar>
              <w:top w:w="-1" w:type="dxa"/>
              <w:left w:w="-1" w:type="dxa"/>
              <w:bottom w:w="-1" w:type="dxa"/>
              <w:right w:w="-1" w:type="dxa"/>
            </w:tcMar>
            <w:vAlign w:val="center"/>
          </w:tcPr>
          <w:p w14:paraId="485709BB"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24.438</w:t>
            </w:r>
          </w:p>
        </w:tc>
        <w:tc>
          <w:tcPr>
            <w:tcW w:w="1123" w:type="dxa"/>
            <w:tcBorders>
              <w:top w:val="nil"/>
              <w:left w:val="nil"/>
              <w:bottom w:val="nil"/>
              <w:right w:val="nil"/>
            </w:tcBorders>
            <w:tcMar>
              <w:top w:w="-1" w:type="dxa"/>
              <w:left w:w="-1" w:type="dxa"/>
              <w:bottom w:w="-1" w:type="dxa"/>
              <w:right w:w="-1" w:type="dxa"/>
            </w:tcMar>
            <w:vAlign w:val="center"/>
          </w:tcPr>
          <w:p w14:paraId="4E1D15A3"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20.229</w:t>
            </w:r>
          </w:p>
        </w:tc>
        <w:tc>
          <w:tcPr>
            <w:tcW w:w="1203" w:type="dxa"/>
            <w:tcBorders>
              <w:top w:val="nil"/>
              <w:left w:val="nil"/>
              <w:bottom w:val="nil"/>
              <w:right w:val="nil"/>
            </w:tcBorders>
            <w:tcMar>
              <w:top w:w="-1" w:type="dxa"/>
              <w:left w:w="-1" w:type="dxa"/>
              <w:bottom w:w="-1" w:type="dxa"/>
              <w:right w:w="-1" w:type="dxa"/>
            </w:tcMar>
            <w:vAlign w:val="center"/>
          </w:tcPr>
          <w:p w14:paraId="4CD3EBBA"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120.777</w:t>
            </w:r>
          </w:p>
        </w:tc>
      </w:tr>
      <w:tr w:rsidR="004B3261" w14:paraId="04F645DC" w14:textId="77777777">
        <w:trPr>
          <w:jc w:val="center"/>
        </w:trPr>
        <w:tc>
          <w:tcPr>
            <w:tcW w:w="1696" w:type="dxa"/>
            <w:tcBorders>
              <w:top w:val="nil"/>
              <w:left w:val="nil"/>
              <w:bottom w:val="nil"/>
              <w:right w:val="nil"/>
            </w:tcBorders>
            <w:tcMar>
              <w:top w:w="-1" w:type="dxa"/>
              <w:left w:w="-1" w:type="dxa"/>
              <w:bottom w:w="-1" w:type="dxa"/>
              <w:right w:w="-1" w:type="dxa"/>
            </w:tcMar>
            <w:vAlign w:val="center"/>
          </w:tcPr>
          <w:p w14:paraId="1E745A83"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农机总动力</w:t>
            </w:r>
          </w:p>
        </w:tc>
        <w:tc>
          <w:tcPr>
            <w:tcW w:w="0" w:type="auto"/>
            <w:tcBorders>
              <w:top w:val="nil"/>
              <w:left w:val="nil"/>
              <w:bottom w:val="nil"/>
              <w:right w:val="nil"/>
            </w:tcBorders>
            <w:tcMar>
              <w:top w:w="-1" w:type="dxa"/>
              <w:left w:w="-1" w:type="dxa"/>
              <w:bottom w:w="-1" w:type="dxa"/>
              <w:right w:w="-1" w:type="dxa"/>
            </w:tcMar>
            <w:vAlign w:val="center"/>
          </w:tcPr>
          <w:p w14:paraId="70C10DF5"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Mech</w:t>
            </w:r>
          </w:p>
        </w:tc>
        <w:tc>
          <w:tcPr>
            <w:tcW w:w="1037" w:type="dxa"/>
            <w:tcBorders>
              <w:top w:val="nil"/>
              <w:left w:val="nil"/>
              <w:bottom w:val="nil"/>
              <w:right w:val="nil"/>
            </w:tcBorders>
            <w:tcMar>
              <w:top w:w="-1" w:type="dxa"/>
              <w:left w:w="-1" w:type="dxa"/>
              <w:bottom w:w="-1" w:type="dxa"/>
              <w:right w:w="-1" w:type="dxa"/>
            </w:tcMar>
            <w:vAlign w:val="center"/>
          </w:tcPr>
          <w:p w14:paraId="39415CF3"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403</w:t>
            </w:r>
          </w:p>
        </w:tc>
        <w:tc>
          <w:tcPr>
            <w:tcW w:w="1250" w:type="dxa"/>
            <w:tcBorders>
              <w:top w:val="nil"/>
              <w:left w:val="nil"/>
              <w:bottom w:val="nil"/>
              <w:right w:val="nil"/>
            </w:tcBorders>
            <w:tcMar>
              <w:top w:w="-1" w:type="dxa"/>
              <w:left w:w="-1" w:type="dxa"/>
              <w:bottom w:w="-1" w:type="dxa"/>
              <w:right w:w="-1" w:type="dxa"/>
            </w:tcMar>
            <w:vAlign w:val="center"/>
          </w:tcPr>
          <w:p w14:paraId="1B97B451"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0.704</w:t>
            </w:r>
          </w:p>
        </w:tc>
        <w:tc>
          <w:tcPr>
            <w:tcW w:w="1202" w:type="dxa"/>
            <w:tcBorders>
              <w:top w:val="nil"/>
              <w:left w:val="nil"/>
              <w:bottom w:val="nil"/>
              <w:right w:val="nil"/>
            </w:tcBorders>
            <w:tcMar>
              <w:top w:w="-1" w:type="dxa"/>
              <w:left w:w="-1" w:type="dxa"/>
              <w:bottom w:w="-1" w:type="dxa"/>
              <w:right w:w="-1" w:type="dxa"/>
            </w:tcMar>
            <w:vAlign w:val="center"/>
          </w:tcPr>
          <w:p w14:paraId="25ED3954"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0.362</w:t>
            </w:r>
          </w:p>
        </w:tc>
        <w:tc>
          <w:tcPr>
            <w:tcW w:w="1123" w:type="dxa"/>
            <w:tcBorders>
              <w:top w:val="nil"/>
              <w:left w:val="nil"/>
              <w:bottom w:val="nil"/>
              <w:right w:val="nil"/>
            </w:tcBorders>
            <w:tcMar>
              <w:top w:w="-1" w:type="dxa"/>
              <w:left w:w="-1" w:type="dxa"/>
              <w:bottom w:w="-1" w:type="dxa"/>
              <w:right w:w="-1" w:type="dxa"/>
            </w:tcMar>
            <w:vAlign w:val="center"/>
          </w:tcPr>
          <w:p w14:paraId="18BD244F"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0.252</w:t>
            </w:r>
          </w:p>
        </w:tc>
        <w:tc>
          <w:tcPr>
            <w:tcW w:w="1203" w:type="dxa"/>
            <w:tcBorders>
              <w:top w:val="nil"/>
              <w:left w:val="nil"/>
              <w:bottom w:val="nil"/>
              <w:right w:val="nil"/>
            </w:tcBorders>
            <w:tcMar>
              <w:top w:w="-1" w:type="dxa"/>
              <w:left w:w="-1" w:type="dxa"/>
              <w:bottom w:w="-1" w:type="dxa"/>
              <w:right w:w="-1" w:type="dxa"/>
            </w:tcMar>
            <w:vAlign w:val="center"/>
          </w:tcPr>
          <w:p w14:paraId="2B26A78B"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2.698</w:t>
            </w:r>
          </w:p>
        </w:tc>
      </w:tr>
      <w:tr w:rsidR="004B3261" w14:paraId="71ED3A59" w14:textId="77777777">
        <w:trPr>
          <w:jc w:val="center"/>
        </w:trPr>
        <w:tc>
          <w:tcPr>
            <w:tcW w:w="1696" w:type="dxa"/>
            <w:tcBorders>
              <w:top w:val="nil"/>
              <w:left w:val="nil"/>
              <w:bottom w:val="nil"/>
              <w:right w:val="nil"/>
            </w:tcBorders>
            <w:tcMar>
              <w:top w:w="-1" w:type="dxa"/>
              <w:left w:w="-1" w:type="dxa"/>
              <w:bottom w:w="-1" w:type="dxa"/>
              <w:right w:w="-1" w:type="dxa"/>
            </w:tcMar>
            <w:vAlign w:val="center"/>
          </w:tcPr>
          <w:p w14:paraId="76E2AB89"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降水量</w:t>
            </w:r>
          </w:p>
        </w:tc>
        <w:tc>
          <w:tcPr>
            <w:tcW w:w="0" w:type="auto"/>
            <w:tcBorders>
              <w:top w:val="nil"/>
              <w:left w:val="nil"/>
              <w:bottom w:val="nil"/>
              <w:right w:val="nil"/>
            </w:tcBorders>
            <w:tcMar>
              <w:top w:w="-1" w:type="dxa"/>
              <w:left w:w="-1" w:type="dxa"/>
              <w:bottom w:w="-1" w:type="dxa"/>
              <w:right w:w="-1" w:type="dxa"/>
            </w:tcMar>
            <w:vAlign w:val="center"/>
          </w:tcPr>
          <w:p w14:paraId="70DBA3D2"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Prec</w:t>
            </w:r>
          </w:p>
        </w:tc>
        <w:tc>
          <w:tcPr>
            <w:tcW w:w="1037" w:type="dxa"/>
            <w:tcBorders>
              <w:top w:val="nil"/>
              <w:left w:val="nil"/>
              <w:bottom w:val="nil"/>
              <w:right w:val="nil"/>
            </w:tcBorders>
            <w:tcMar>
              <w:top w:w="-1" w:type="dxa"/>
              <w:left w:w="-1" w:type="dxa"/>
              <w:bottom w:w="-1" w:type="dxa"/>
              <w:right w:w="-1" w:type="dxa"/>
            </w:tcMar>
            <w:vAlign w:val="center"/>
          </w:tcPr>
          <w:p w14:paraId="3528B5A3"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403</w:t>
            </w:r>
          </w:p>
        </w:tc>
        <w:tc>
          <w:tcPr>
            <w:tcW w:w="1250" w:type="dxa"/>
            <w:tcBorders>
              <w:top w:val="nil"/>
              <w:left w:val="nil"/>
              <w:bottom w:val="nil"/>
              <w:right w:val="nil"/>
            </w:tcBorders>
            <w:tcMar>
              <w:top w:w="-1" w:type="dxa"/>
              <w:left w:w="-1" w:type="dxa"/>
              <w:bottom w:w="-1" w:type="dxa"/>
              <w:right w:w="-1" w:type="dxa"/>
            </w:tcMar>
            <w:vAlign w:val="center"/>
          </w:tcPr>
          <w:p w14:paraId="75CCFBEA"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754.516</w:t>
            </w:r>
          </w:p>
        </w:tc>
        <w:tc>
          <w:tcPr>
            <w:tcW w:w="1202" w:type="dxa"/>
            <w:tcBorders>
              <w:top w:val="nil"/>
              <w:left w:val="nil"/>
              <w:bottom w:val="nil"/>
              <w:right w:val="nil"/>
            </w:tcBorders>
            <w:tcMar>
              <w:top w:w="-1" w:type="dxa"/>
              <w:left w:w="-1" w:type="dxa"/>
              <w:bottom w:w="-1" w:type="dxa"/>
              <w:right w:w="-1" w:type="dxa"/>
            </w:tcMar>
            <w:vAlign w:val="center"/>
          </w:tcPr>
          <w:p w14:paraId="53E927B5"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465.111</w:t>
            </w:r>
          </w:p>
        </w:tc>
        <w:tc>
          <w:tcPr>
            <w:tcW w:w="1123" w:type="dxa"/>
            <w:tcBorders>
              <w:top w:val="nil"/>
              <w:left w:val="nil"/>
              <w:bottom w:val="nil"/>
              <w:right w:val="nil"/>
            </w:tcBorders>
            <w:tcMar>
              <w:top w:w="-1" w:type="dxa"/>
              <w:left w:w="-1" w:type="dxa"/>
              <w:bottom w:w="-1" w:type="dxa"/>
              <w:right w:w="-1" w:type="dxa"/>
            </w:tcMar>
            <w:vAlign w:val="center"/>
          </w:tcPr>
          <w:p w14:paraId="32A53394"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35.03</w:t>
            </w:r>
          </w:p>
        </w:tc>
        <w:tc>
          <w:tcPr>
            <w:tcW w:w="1203" w:type="dxa"/>
            <w:tcBorders>
              <w:top w:val="nil"/>
              <w:left w:val="nil"/>
              <w:bottom w:val="nil"/>
              <w:right w:val="nil"/>
            </w:tcBorders>
            <w:tcMar>
              <w:top w:w="-1" w:type="dxa"/>
              <w:left w:w="-1" w:type="dxa"/>
              <w:bottom w:w="-1" w:type="dxa"/>
              <w:right w:w="-1" w:type="dxa"/>
            </w:tcMar>
            <w:vAlign w:val="center"/>
          </w:tcPr>
          <w:p w14:paraId="06B89307"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2305.58</w:t>
            </w:r>
          </w:p>
        </w:tc>
      </w:tr>
      <w:tr w:rsidR="004B3261" w14:paraId="66791E68" w14:textId="77777777">
        <w:trPr>
          <w:jc w:val="center"/>
        </w:trPr>
        <w:tc>
          <w:tcPr>
            <w:tcW w:w="1696" w:type="dxa"/>
            <w:tcBorders>
              <w:top w:val="nil"/>
              <w:left w:val="nil"/>
              <w:bottom w:val="nil"/>
              <w:right w:val="nil"/>
            </w:tcBorders>
            <w:tcMar>
              <w:top w:w="-1" w:type="dxa"/>
              <w:left w:w="-1" w:type="dxa"/>
              <w:bottom w:w="-1" w:type="dxa"/>
              <w:right w:w="-1" w:type="dxa"/>
            </w:tcMar>
            <w:vAlign w:val="center"/>
          </w:tcPr>
          <w:p w14:paraId="34E45B20"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日照时数</w:t>
            </w:r>
          </w:p>
        </w:tc>
        <w:tc>
          <w:tcPr>
            <w:tcW w:w="0" w:type="auto"/>
            <w:tcBorders>
              <w:top w:val="nil"/>
              <w:left w:val="nil"/>
              <w:bottom w:val="nil"/>
              <w:right w:val="nil"/>
            </w:tcBorders>
            <w:tcMar>
              <w:top w:w="-1" w:type="dxa"/>
              <w:left w:w="-1" w:type="dxa"/>
              <w:bottom w:w="-1" w:type="dxa"/>
              <w:right w:w="-1" w:type="dxa"/>
            </w:tcMar>
            <w:vAlign w:val="center"/>
          </w:tcPr>
          <w:p w14:paraId="37889897"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Sun</w:t>
            </w:r>
          </w:p>
        </w:tc>
        <w:tc>
          <w:tcPr>
            <w:tcW w:w="1037" w:type="dxa"/>
            <w:tcBorders>
              <w:top w:val="nil"/>
              <w:left w:val="nil"/>
              <w:bottom w:val="nil"/>
              <w:right w:val="nil"/>
            </w:tcBorders>
            <w:tcMar>
              <w:top w:w="-1" w:type="dxa"/>
              <w:left w:w="-1" w:type="dxa"/>
              <w:bottom w:w="-1" w:type="dxa"/>
              <w:right w:w="-1" w:type="dxa"/>
            </w:tcMar>
            <w:vAlign w:val="center"/>
          </w:tcPr>
          <w:p w14:paraId="0E52BB04"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403</w:t>
            </w:r>
          </w:p>
        </w:tc>
        <w:tc>
          <w:tcPr>
            <w:tcW w:w="1250" w:type="dxa"/>
            <w:tcBorders>
              <w:top w:val="nil"/>
              <w:left w:val="nil"/>
              <w:bottom w:val="nil"/>
              <w:right w:val="nil"/>
            </w:tcBorders>
            <w:tcMar>
              <w:top w:w="-1" w:type="dxa"/>
              <w:left w:w="-1" w:type="dxa"/>
              <w:bottom w:w="-1" w:type="dxa"/>
              <w:right w:w="-1" w:type="dxa"/>
            </w:tcMar>
            <w:vAlign w:val="center"/>
          </w:tcPr>
          <w:p w14:paraId="16DD39FC"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2085.928</w:t>
            </w:r>
          </w:p>
        </w:tc>
        <w:tc>
          <w:tcPr>
            <w:tcW w:w="1202" w:type="dxa"/>
            <w:tcBorders>
              <w:top w:val="nil"/>
              <w:left w:val="nil"/>
              <w:bottom w:val="nil"/>
              <w:right w:val="nil"/>
            </w:tcBorders>
            <w:tcMar>
              <w:top w:w="-1" w:type="dxa"/>
              <w:left w:w="-1" w:type="dxa"/>
              <w:bottom w:w="-1" w:type="dxa"/>
              <w:right w:w="-1" w:type="dxa"/>
            </w:tcMar>
            <w:vAlign w:val="center"/>
          </w:tcPr>
          <w:p w14:paraId="40062E7F"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467.432</w:t>
            </w:r>
          </w:p>
        </w:tc>
        <w:tc>
          <w:tcPr>
            <w:tcW w:w="1123" w:type="dxa"/>
            <w:tcBorders>
              <w:top w:val="nil"/>
              <w:left w:val="nil"/>
              <w:bottom w:val="nil"/>
              <w:right w:val="nil"/>
            </w:tcBorders>
            <w:tcMar>
              <w:top w:w="-1" w:type="dxa"/>
              <w:left w:w="-1" w:type="dxa"/>
              <w:bottom w:w="-1" w:type="dxa"/>
              <w:right w:w="-1" w:type="dxa"/>
            </w:tcMar>
            <w:vAlign w:val="center"/>
          </w:tcPr>
          <w:p w14:paraId="48328F95"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973.97</w:t>
            </w:r>
          </w:p>
        </w:tc>
        <w:tc>
          <w:tcPr>
            <w:tcW w:w="1203" w:type="dxa"/>
            <w:tcBorders>
              <w:top w:val="nil"/>
              <w:left w:val="nil"/>
              <w:bottom w:val="nil"/>
              <w:right w:val="nil"/>
            </w:tcBorders>
            <w:tcMar>
              <w:top w:w="-1" w:type="dxa"/>
              <w:left w:w="-1" w:type="dxa"/>
              <w:bottom w:w="-1" w:type="dxa"/>
              <w:right w:w="-1" w:type="dxa"/>
            </w:tcMar>
            <w:vAlign w:val="center"/>
          </w:tcPr>
          <w:p w14:paraId="56BB31FA"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3350.25</w:t>
            </w:r>
          </w:p>
        </w:tc>
      </w:tr>
      <w:tr w:rsidR="004B3261" w14:paraId="5C2CFCA1" w14:textId="77777777">
        <w:trPr>
          <w:jc w:val="center"/>
        </w:trPr>
        <w:tc>
          <w:tcPr>
            <w:tcW w:w="1696" w:type="dxa"/>
            <w:tcBorders>
              <w:top w:val="nil"/>
              <w:left w:val="nil"/>
              <w:bottom w:val="nil"/>
              <w:right w:val="nil"/>
            </w:tcBorders>
            <w:tcMar>
              <w:top w:w="-1" w:type="dxa"/>
              <w:left w:w="-1" w:type="dxa"/>
              <w:bottom w:w="-1" w:type="dxa"/>
              <w:right w:w="-1" w:type="dxa"/>
            </w:tcMar>
            <w:vAlign w:val="center"/>
          </w:tcPr>
          <w:p w14:paraId="4F906CC6"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化肥施用量</w:t>
            </w:r>
          </w:p>
        </w:tc>
        <w:tc>
          <w:tcPr>
            <w:tcW w:w="0" w:type="auto"/>
            <w:tcBorders>
              <w:top w:val="nil"/>
              <w:left w:val="nil"/>
              <w:bottom w:val="nil"/>
              <w:right w:val="nil"/>
            </w:tcBorders>
            <w:tcMar>
              <w:top w:w="-1" w:type="dxa"/>
              <w:left w:w="-1" w:type="dxa"/>
              <w:bottom w:w="-1" w:type="dxa"/>
              <w:right w:w="-1" w:type="dxa"/>
            </w:tcMar>
            <w:vAlign w:val="center"/>
          </w:tcPr>
          <w:p w14:paraId="72A9BE78"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Fert</w:t>
            </w:r>
          </w:p>
        </w:tc>
        <w:tc>
          <w:tcPr>
            <w:tcW w:w="1037" w:type="dxa"/>
            <w:tcBorders>
              <w:top w:val="nil"/>
              <w:left w:val="nil"/>
              <w:bottom w:val="nil"/>
              <w:right w:val="nil"/>
            </w:tcBorders>
            <w:tcMar>
              <w:top w:w="-1" w:type="dxa"/>
              <w:left w:w="-1" w:type="dxa"/>
              <w:bottom w:w="-1" w:type="dxa"/>
              <w:right w:w="-1" w:type="dxa"/>
            </w:tcMar>
            <w:vAlign w:val="center"/>
          </w:tcPr>
          <w:p w14:paraId="74FCF9ED"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403</w:t>
            </w:r>
          </w:p>
        </w:tc>
        <w:tc>
          <w:tcPr>
            <w:tcW w:w="1250" w:type="dxa"/>
            <w:tcBorders>
              <w:top w:val="nil"/>
              <w:left w:val="nil"/>
              <w:bottom w:val="nil"/>
              <w:right w:val="nil"/>
            </w:tcBorders>
            <w:tcMar>
              <w:top w:w="-1" w:type="dxa"/>
              <w:left w:w="-1" w:type="dxa"/>
              <w:bottom w:w="-1" w:type="dxa"/>
              <w:right w:w="-1" w:type="dxa"/>
            </w:tcMar>
            <w:vAlign w:val="center"/>
          </w:tcPr>
          <w:p w14:paraId="280CEE83"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179.317</w:t>
            </w:r>
          </w:p>
        </w:tc>
        <w:tc>
          <w:tcPr>
            <w:tcW w:w="1202" w:type="dxa"/>
            <w:tcBorders>
              <w:top w:val="nil"/>
              <w:left w:val="nil"/>
              <w:bottom w:val="nil"/>
              <w:right w:val="nil"/>
            </w:tcBorders>
            <w:tcMar>
              <w:top w:w="-1" w:type="dxa"/>
              <w:left w:w="-1" w:type="dxa"/>
              <w:bottom w:w="-1" w:type="dxa"/>
              <w:right w:w="-1" w:type="dxa"/>
            </w:tcMar>
            <w:vAlign w:val="center"/>
          </w:tcPr>
          <w:p w14:paraId="1326E358"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158.552</w:t>
            </w:r>
          </w:p>
        </w:tc>
        <w:tc>
          <w:tcPr>
            <w:tcW w:w="1123" w:type="dxa"/>
            <w:tcBorders>
              <w:top w:val="nil"/>
              <w:left w:val="nil"/>
              <w:bottom w:val="nil"/>
              <w:right w:val="nil"/>
            </w:tcBorders>
            <w:tcMar>
              <w:top w:w="-1" w:type="dxa"/>
              <w:left w:w="-1" w:type="dxa"/>
              <w:bottom w:w="-1" w:type="dxa"/>
              <w:right w:w="-1" w:type="dxa"/>
            </w:tcMar>
            <w:vAlign w:val="center"/>
          </w:tcPr>
          <w:p w14:paraId="55EC72F2"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6</w:t>
            </w:r>
          </w:p>
        </w:tc>
        <w:tc>
          <w:tcPr>
            <w:tcW w:w="1203" w:type="dxa"/>
            <w:tcBorders>
              <w:top w:val="nil"/>
              <w:left w:val="nil"/>
              <w:bottom w:val="nil"/>
              <w:right w:val="nil"/>
            </w:tcBorders>
            <w:tcMar>
              <w:top w:w="-1" w:type="dxa"/>
              <w:left w:w="-1" w:type="dxa"/>
              <w:bottom w:w="-1" w:type="dxa"/>
              <w:right w:w="-1" w:type="dxa"/>
            </w:tcMar>
            <w:vAlign w:val="center"/>
          </w:tcPr>
          <w:p w14:paraId="6B028ECB"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711.02</w:t>
            </w:r>
          </w:p>
        </w:tc>
      </w:tr>
      <w:tr w:rsidR="004B3261" w14:paraId="38B54A9A" w14:textId="77777777">
        <w:trPr>
          <w:jc w:val="center"/>
        </w:trPr>
        <w:tc>
          <w:tcPr>
            <w:tcW w:w="1696" w:type="dxa"/>
            <w:tcBorders>
              <w:top w:val="nil"/>
              <w:left w:val="nil"/>
              <w:bottom w:val="nil"/>
              <w:right w:val="nil"/>
            </w:tcBorders>
            <w:tcMar>
              <w:top w:w="-1" w:type="dxa"/>
              <w:left w:w="-1" w:type="dxa"/>
              <w:bottom w:w="-1" w:type="dxa"/>
              <w:right w:w="-1" w:type="dxa"/>
            </w:tcMar>
            <w:vAlign w:val="center"/>
          </w:tcPr>
          <w:p w14:paraId="44E48222"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旱灾受灾面积</w:t>
            </w:r>
          </w:p>
        </w:tc>
        <w:tc>
          <w:tcPr>
            <w:tcW w:w="0" w:type="auto"/>
            <w:tcBorders>
              <w:top w:val="nil"/>
              <w:left w:val="nil"/>
              <w:bottom w:val="nil"/>
              <w:right w:val="nil"/>
            </w:tcBorders>
            <w:tcMar>
              <w:top w:w="-1" w:type="dxa"/>
              <w:left w:w="-1" w:type="dxa"/>
              <w:bottom w:w="-1" w:type="dxa"/>
              <w:right w:w="-1" w:type="dxa"/>
            </w:tcMar>
            <w:vAlign w:val="center"/>
          </w:tcPr>
          <w:p w14:paraId="0D611D6F"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Drou_A</w:t>
            </w:r>
          </w:p>
        </w:tc>
        <w:tc>
          <w:tcPr>
            <w:tcW w:w="1037" w:type="dxa"/>
            <w:tcBorders>
              <w:top w:val="nil"/>
              <w:left w:val="nil"/>
              <w:bottom w:val="nil"/>
              <w:right w:val="nil"/>
            </w:tcBorders>
            <w:tcMar>
              <w:top w:w="-1" w:type="dxa"/>
              <w:left w:w="-1" w:type="dxa"/>
              <w:bottom w:w="-1" w:type="dxa"/>
              <w:right w:w="-1" w:type="dxa"/>
            </w:tcMar>
            <w:vAlign w:val="center"/>
          </w:tcPr>
          <w:p w14:paraId="61B2DEF3"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403</w:t>
            </w:r>
          </w:p>
        </w:tc>
        <w:tc>
          <w:tcPr>
            <w:tcW w:w="1250" w:type="dxa"/>
            <w:tcBorders>
              <w:top w:val="nil"/>
              <w:left w:val="nil"/>
              <w:bottom w:val="nil"/>
              <w:right w:val="nil"/>
            </w:tcBorders>
            <w:tcMar>
              <w:top w:w="-1" w:type="dxa"/>
              <w:left w:w="-1" w:type="dxa"/>
              <w:bottom w:w="-1" w:type="dxa"/>
              <w:right w:w="-1" w:type="dxa"/>
            </w:tcMar>
            <w:vAlign w:val="center"/>
          </w:tcPr>
          <w:p w14:paraId="261FEFE3"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316.574</w:t>
            </w:r>
          </w:p>
        </w:tc>
        <w:tc>
          <w:tcPr>
            <w:tcW w:w="1202" w:type="dxa"/>
            <w:tcBorders>
              <w:top w:val="nil"/>
              <w:left w:val="nil"/>
              <w:bottom w:val="nil"/>
              <w:right w:val="nil"/>
            </w:tcBorders>
            <w:tcMar>
              <w:top w:w="-1" w:type="dxa"/>
              <w:left w:w="-1" w:type="dxa"/>
              <w:bottom w:w="-1" w:type="dxa"/>
              <w:right w:w="-1" w:type="dxa"/>
            </w:tcMar>
            <w:vAlign w:val="center"/>
          </w:tcPr>
          <w:p w14:paraId="3242A89D"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439.463</w:t>
            </w:r>
          </w:p>
        </w:tc>
        <w:tc>
          <w:tcPr>
            <w:tcW w:w="1123" w:type="dxa"/>
            <w:tcBorders>
              <w:top w:val="nil"/>
              <w:left w:val="nil"/>
              <w:bottom w:val="nil"/>
              <w:right w:val="nil"/>
            </w:tcBorders>
            <w:tcMar>
              <w:top w:w="-1" w:type="dxa"/>
              <w:left w:w="-1" w:type="dxa"/>
              <w:bottom w:w="-1" w:type="dxa"/>
              <w:right w:w="-1" w:type="dxa"/>
            </w:tcMar>
            <w:vAlign w:val="center"/>
          </w:tcPr>
          <w:p w14:paraId="424B5E02"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0</w:t>
            </w:r>
          </w:p>
        </w:tc>
        <w:tc>
          <w:tcPr>
            <w:tcW w:w="1203" w:type="dxa"/>
            <w:tcBorders>
              <w:top w:val="nil"/>
              <w:left w:val="nil"/>
              <w:bottom w:val="nil"/>
              <w:right w:val="nil"/>
            </w:tcBorders>
            <w:tcMar>
              <w:top w:w="-1" w:type="dxa"/>
              <w:left w:w="-1" w:type="dxa"/>
              <w:bottom w:w="-1" w:type="dxa"/>
              <w:right w:w="-1" w:type="dxa"/>
            </w:tcMar>
            <w:vAlign w:val="center"/>
          </w:tcPr>
          <w:p w14:paraId="60625DCC"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3232</w:t>
            </w:r>
          </w:p>
        </w:tc>
      </w:tr>
      <w:tr w:rsidR="004B3261" w14:paraId="530884D2" w14:textId="77777777">
        <w:trPr>
          <w:jc w:val="center"/>
        </w:trPr>
        <w:tc>
          <w:tcPr>
            <w:tcW w:w="1696" w:type="dxa"/>
            <w:tcBorders>
              <w:top w:val="nil"/>
              <w:left w:val="nil"/>
              <w:bottom w:val="single" w:sz="12" w:space="0" w:color="auto"/>
              <w:right w:val="nil"/>
            </w:tcBorders>
            <w:tcMar>
              <w:top w:w="-1" w:type="dxa"/>
              <w:left w:w="-1" w:type="dxa"/>
              <w:bottom w:w="-1" w:type="dxa"/>
              <w:right w:w="-1" w:type="dxa"/>
            </w:tcMar>
            <w:vAlign w:val="center"/>
          </w:tcPr>
          <w:p w14:paraId="1DFBDA94"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水灾受灾面积</w:t>
            </w:r>
          </w:p>
        </w:tc>
        <w:tc>
          <w:tcPr>
            <w:tcW w:w="1011" w:type="dxa"/>
            <w:tcBorders>
              <w:top w:val="nil"/>
              <w:left w:val="nil"/>
              <w:bottom w:val="single" w:sz="12" w:space="0" w:color="auto"/>
              <w:right w:val="nil"/>
            </w:tcBorders>
            <w:tcMar>
              <w:top w:w="-1" w:type="dxa"/>
              <w:left w:w="-1" w:type="dxa"/>
              <w:bottom w:w="-1" w:type="dxa"/>
              <w:right w:w="-1" w:type="dxa"/>
            </w:tcMar>
            <w:vAlign w:val="center"/>
          </w:tcPr>
          <w:p w14:paraId="61FD1111"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Flood_A</w:t>
            </w:r>
          </w:p>
        </w:tc>
        <w:tc>
          <w:tcPr>
            <w:tcW w:w="1037" w:type="dxa"/>
            <w:tcBorders>
              <w:top w:val="nil"/>
              <w:left w:val="nil"/>
              <w:bottom w:val="single" w:sz="12" w:space="0" w:color="auto"/>
              <w:right w:val="nil"/>
            </w:tcBorders>
            <w:tcMar>
              <w:top w:w="-1" w:type="dxa"/>
              <w:left w:w="-1" w:type="dxa"/>
              <w:bottom w:w="-1" w:type="dxa"/>
              <w:right w:w="-1" w:type="dxa"/>
            </w:tcMar>
            <w:vAlign w:val="center"/>
          </w:tcPr>
          <w:p w14:paraId="4484A6F2"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403</w:t>
            </w:r>
          </w:p>
        </w:tc>
        <w:tc>
          <w:tcPr>
            <w:tcW w:w="1250" w:type="dxa"/>
            <w:tcBorders>
              <w:top w:val="nil"/>
              <w:left w:val="nil"/>
              <w:bottom w:val="single" w:sz="12" w:space="0" w:color="auto"/>
              <w:right w:val="nil"/>
            </w:tcBorders>
            <w:tcMar>
              <w:top w:w="-1" w:type="dxa"/>
              <w:left w:w="-1" w:type="dxa"/>
              <w:bottom w:w="-1" w:type="dxa"/>
              <w:right w:w="-1" w:type="dxa"/>
            </w:tcMar>
            <w:vAlign w:val="center"/>
          </w:tcPr>
          <w:p w14:paraId="30056FBA"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185.076</w:t>
            </w:r>
          </w:p>
        </w:tc>
        <w:tc>
          <w:tcPr>
            <w:tcW w:w="1202" w:type="dxa"/>
            <w:tcBorders>
              <w:top w:val="nil"/>
              <w:left w:val="nil"/>
              <w:bottom w:val="single" w:sz="12" w:space="0" w:color="auto"/>
              <w:right w:val="nil"/>
            </w:tcBorders>
            <w:tcMar>
              <w:top w:w="-1" w:type="dxa"/>
              <w:left w:w="-1" w:type="dxa"/>
              <w:bottom w:w="-1" w:type="dxa"/>
              <w:right w:w="-1" w:type="dxa"/>
            </w:tcMar>
            <w:vAlign w:val="center"/>
          </w:tcPr>
          <w:p w14:paraId="5B9BF5EE"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289.471</w:t>
            </w:r>
          </w:p>
        </w:tc>
        <w:tc>
          <w:tcPr>
            <w:tcW w:w="1123" w:type="dxa"/>
            <w:tcBorders>
              <w:top w:val="nil"/>
              <w:left w:val="nil"/>
              <w:bottom w:val="single" w:sz="12" w:space="0" w:color="auto"/>
              <w:right w:val="nil"/>
            </w:tcBorders>
            <w:tcMar>
              <w:top w:w="-1" w:type="dxa"/>
              <w:left w:w="-1" w:type="dxa"/>
              <w:bottom w:w="-1" w:type="dxa"/>
              <w:right w:w="-1" w:type="dxa"/>
            </w:tcMar>
            <w:vAlign w:val="center"/>
          </w:tcPr>
          <w:p w14:paraId="0936909E"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0</w:t>
            </w:r>
          </w:p>
        </w:tc>
        <w:tc>
          <w:tcPr>
            <w:tcW w:w="1203" w:type="dxa"/>
            <w:tcBorders>
              <w:top w:val="nil"/>
              <w:left w:val="nil"/>
              <w:bottom w:val="single" w:sz="12" w:space="0" w:color="auto"/>
              <w:right w:val="nil"/>
            </w:tcBorders>
            <w:tcMar>
              <w:top w:w="-1" w:type="dxa"/>
              <w:left w:w="-1" w:type="dxa"/>
              <w:bottom w:w="-1" w:type="dxa"/>
              <w:right w:w="-1" w:type="dxa"/>
            </w:tcMar>
            <w:vAlign w:val="center"/>
          </w:tcPr>
          <w:p w14:paraId="0D56B91F" w14:textId="77777777" w:rsidR="004B3261" w:rsidRDefault="00000000">
            <w:pPr>
              <w:widowControl/>
              <w:snapToGrid w:val="0"/>
              <w:jc w:val="center"/>
              <w:textAlignment w:val="bottom"/>
              <w:rPr>
                <w:rFonts w:ascii="宋体" w:eastAsia="宋体"/>
                <w:sz w:val="22"/>
              </w:rPr>
            </w:pPr>
            <w:r>
              <w:rPr>
                <w:rFonts w:ascii="宋体" w:eastAsia="宋体" w:hAnsi="宋体" w:cs="宋体" w:hint="eastAsia"/>
                <w:color w:val="000000"/>
                <w:kern w:val="0"/>
                <w:sz w:val="22"/>
                <w:lang w:bidi="ar"/>
              </w:rPr>
              <w:t>2501.9</w:t>
            </w:r>
          </w:p>
        </w:tc>
      </w:tr>
    </w:tbl>
    <w:p w14:paraId="08DC4CBA" w14:textId="77777777" w:rsidR="004B3261" w:rsidRDefault="00000000">
      <w:pPr>
        <w:pStyle w:val="a3"/>
      </w:pPr>
      <w:r>
        <w:rPr>
          <w:rFonts w:hint="eastAsia"/>
        </w:rPr>
        <w:t>从统计结果可以看出以下几点：</w:t>
      </w:r>
    </w:p>
    <w:p w14:paraId="06782649" w14:textId="77777777" w:rsidR="004B3261" w:rsidRDefault="00000000">
      <w:pPr>
        <w:pStyle w:val="a3"/>
      </w:pPr>
      <w:r>
        <w:rPr>
          <w:rFonts w:hint="eastAsia"/>
        </w:rPr>
        <w:t>①粮食单产风险分布特征</w:t>
      </w:r>
    </w:p>
    <w:p w14:paraId="4A616029" w14:textId="77777777" w:rsidR="004B3261" w:rsidRDefault="00000000">
      <w:pPr>
        <w:pStyle w:val="a3"/>
      </w:pPr>
      <w:r>
        <w:rPr>
          <w:rFonts w:hint="eastAsia"/>
        </w:rPr>
        <w:t>粮食单产风险</w:t>
      </w:r>
      <w:r>
        <w:rPr>
          <w:rFonts w:hint="eastAsia"/>
        </w:rPr>
        <w:t>Y</w:t>
      </w:r>
      <w:r>
        <w:rPr>
          <w:rFonts w:hint="eastAsia"/>
        </w:rPr>
        <w:t>的均值为</w:t>
      </w:r>
      <w:r>
        <w:rPr>
          <w:rFonts w:hint="eastAsia"/>
        </w:rPr>
        <w:t>0.023</w:t>
      </w:r>
      <w:r>
        <w:rPr>
          <w:rFonts w:hint="eastAsia"/>
        </w:rPr>
        <w:t>，标准差为</w:t>
      </w:r>
      <w:r>
        <w:rPr>
          <w:rFonts w:hint="eastAsia"/>
        </w:rPr>
        <w:t>0.007</w:t>
      </w:r>
      <w:r>
        <w:rPr>
          <w:rFonts w:hint="eastAsia"/>
        </w:rPr>
        <w:t>。从极值来看，最小值</w:t>
      </w:r>
      <w:r>
        <w:rPr>
          <w:rFonts w:hint="eastAsia"/>
        </w:rPr>
        <w:t>0.011</w:t>
      </w:r>
      <w:r>
        <w:rPr>
          <w:rFonts w:hint="eastAsia"/>
        </w:rPr>
        <w:t>与最大值</w:t>
      </w:r>
      <w:r>
        <w:rPr>
          <w:rFonts w:hint="eastAsia"/>
        </w:rPr>
        <w:t>0.043</w:t>
      </w:r>
      <w:r>
        <w:rPr>
          <w:rFonts w:hint="eastAsia"/>
        </w:rPr>
        <w:t>之间相差近</w:t>
      </w:r>
      <w:r>
        <w:rPr>
          <w:rFonts w:hint="eastAsia"/>
        </w:rPr>
        <w:t>4</w:t>
      </w:r>
      <w:r>
        <w:rPr>
          <w:rFonts w:hint="eastAsia"/>
        </w:rPr>
        <w:t>倍，说明研究期内不同省份、不同年份之间粮食生产波动的差异相当明显，粮食生产确实面临着不可忽视的外部随机风险。</w:t>
      </w:r>
    </w:p>
    <w:p w14:paraId="14B2F417" w14:textId="77777777" w:rsidR="004B3261" w:rsidRDefault="00000000">
      <w:pPr>
        <w:pStyle w:val="a3"/>
      </w:pPr>
      <w:r>
        <w:rPr>
          <w:rFonts w:hint="eastAsia"/>
        </w:rPr>
        <w:t>②气候与致灾因子波动特征</w:t>
      </w:r>
    </w:p>
    <w:p w14:paraId="304ADF1D" w14:textId="77777777" w:rsidR="004B3261" w:rsidRDefault="00000000">
      <w:pPr>
        <w:pStyle w:val="a3"/>
      </w:pPr>
      <w:r>
        <w:rPr>
          <w:rFonts w:hint="eastAsia"/>
        </w:rPr>
        <w:t>气候因子具有很强的极端性。干旱指数</w:t>
      </w:r>
      <w:r>
        <w:rPr>
          <w:rFonts w:hint="eastAsia"/>
        </w:rPr>
        <w:t>SPEI</w:t>
      </w:r>
      <w:r>
        <w:rPr>
          <w:rFonts w:hint="eastAsia"/>
        </w:rPr>
        <w:t>的均值为</w:t>
      </w:r>
      <w:r>
        <w:rPr>
          <w:rFonts w:hint="eastAsia"/>
        </w:rPr>
        <w:t>-0.077</w:t>
      </w:r>
      <w:r>
        <w:rPr>
          <w:rFonts w:hint="eastAsia"/>
        </w:rPr>
        <w:t>，但是最小值达到</w:t>
      </w:r>
      <w:r>
        <w:rPr>
          <w:rFonts w:hint="eastAsia"/>
        </w:rPr>
        <w:t>-2.522</w:t>
      </w:r>
      <w:r>
        <w:rPr>
          <w:rFonts w:hint="eastAsia"/>
        </w:rPr>
        <w:t>，说明样本中有比较严重的极端干旱事件。降水量由</w:t>
      </w:r>
      <w:r>
        <w:rPr>
          <w:rFonts w:hint="eastAsia"/>
        </w:rPr>
        <w:t>35.03mm</w:t>
      </w:r>
      <w:r>
        <w:rPr>
          <w:rFonts w:hint="eastAsia"/>
        </w:rPr>
        <w:t>至</w:t>
      </w:r>
      <w:r>
        <w:rPr>
          <w:rFonts w:hint="eastAsia"/>
        </w:rPr>
        <w:t>2305.58mm</w:t>
      </w:r>
      <w:r>
        <w:rPr>
          <w:rFonts w:hint="eastAsia"/>
        </w:rPr>
        <w:t>变化，跨度很大，标准差为</w:t>
      </w:r>
      <w:r>
        <w:rPr>
          <w:rFonts w:hint="eastAsia"/>
        </w:rPr>
        <w:t>465.111</w:t>
      </w:r>
      <w:r>
        <w:rPr>
          <w:rFonts w:hint="eastAsia"/>
        </w:rPr>
        <w:t>，说明我国降水资源的时空分布很不均匀。除此之外，洪涝占比最大值为</w:t>
      </w:r>
      <w:r>
        <w:rPr>
          <w:rFonts w:hint="eastAsia"/>
        </w:rPr>
        <w:t>23.65%</w:t>
      </w:r>
      <w:r>
        <w:rPr>
          <w:rFonts w:hint="eastAsia"/>
        </w:rPr>
        <w:t>，旱灾和水灾受灾面积标准差都远远大于均值，说明气象灾害对粮食生产的影响具有很强的局部爆发性、突发性。</w:t>
      </w:r>
    </w:p>
    <w:p w14:paraId="435E1D53" w14:textId="77777777" w:rsidR="004B3261" w:rsidRDefault="00000000">
      <w:pPr>
        <w:pStyle w:val="a3"/>
      </w:pPr>
      <w:r>
        <w:rPr>
          <w:rFonts w:hint="eastAsia"/>
        </w:rPr>
        <w:lastRenderedPageBreak/>
        <w:t>③农业生产韧性水平分析</w:t>
      </w:r>
    </w:p>
    <w:p w14:paraId="0C97BF10" w14:textId="77777777" w:rsidR="004B3261" w:rsidRDefault="00000000">
      <w:pPr>
        <w:pStyle w:val="a3"/>
        <w:rPr>
          <w:rFonts w:eastAsia="黑体" w:hAnsi="Times New Roman"/>
          <w:b/>
          <w:kern w:val="2"/>
          <w:sz w:val="28"/>
          <w:szCs w:val="24"/>
        </w:rPr>
      </w:pPr>
      <w:r>
        <w:rPr>
          <w:rFonts w:hint="eastAsia"/>
        </w:rPr>
        <w:t>韧性因子上我国农田有效灌溉率均值为</w:t>
      </w:r>
      <w:r>
        <w:rPr>
          <w:rFonts w:hint="eastAsia"/>
        </w:rPr>
        <w:t>56.69%</w:t>
      </w:r>
      <w:r>
        <w:rPr>
          <w:rFonts w:hint="eastAsia"/>
        </w:rPr>
        <w:t>，说明农田水利设施有较好的保障作用。但是灌溉率标准差大（</w:t>
      </w:r>
      <w:r>
        <w:rPr>
          <w:rFonts w:hint="eastAsia"/>
        </w:rPr>
        <w:t>24.438</w:t>
      </w:r>
      <w:r>
        <w:rPr>
          <w:rFonts w:hint="eastAsia"/>
        </w:rPr>
        <w:t>），部分地区的灌溉率偏低，说明各地抵御气候灾害的能力存在较大的差异，地域分布不均。农机总动力和化肥施用量存在较大差异，为之后研究机械化水平和投入强度对气候风险的影响提供足够的样本。</w:t>
      </w:r>
    </w:p>
    <w:p w14:paraId="34898E59" w14:textId="77777777" w:rsidR="004B3261" w:rsidRDefault="00000000">
      <w:pPr>
        <w:pStyle w:val="2"/>
        <w:keepNext/>
        <w:spacing w:before="156" w:after="156"/>
      </w:pPr>
      <w:bookmarkStart w:id="13" w:name="_Toc722"/>
      <w:bookmarkStart w:id="14" w:name="_Toc19165"/>
      <w:bookmarkStart w:id="15" w:name="_Toc29209"/>
      <w:r>
        <w:rPr>
          <w:rFonts w:hint="eastAsia"/>
        </w:rPr>
        <w:t>（三）</w:t>
      </w:r>
      <w:bookmarkEnd w:id="13"/>
      <w:bookmarkEnd w:id="14"/>
      <w:bookmarkEnd w:id="15"/>
      <w:r>
        <w:rPr>
          <w:rFonts w:hint="eastAsia"/>
        </w:rPr>
        <w:t>核心建模方法原理</w:t>
      </w:r>
    </w:p>
    <w:p w14:paraId="1C26B564" w14:textId="77777777" w:rsidR="004B3261" w:rsidRDefault="00000000">
      <w:pPr>
        <w:pStyle w:val="3"/>
        <w:spacing w:before="156" w:after="156"/>
      </w:pPr>
      <w:r>
        <w:rPr>
          <w:rFonts w:hint="eastAsia"/>
        </w:rPr>
        <w:t>1.</w:t>
      </w:r>
      <w:r>
        <w:rPr>
          <w:rFonts w:hint="eastAsia"/>
        </w:rPr>
        <w:t>基于</w:t>
      </w:r>
      <w:r>
        <w:rPr>
          <w:rFonts w:hint="eastAsia"/>
        </w:rPr>
        <w:t>XGBoost</w:t>
      </w:r>
      <w:r>
        <w:rPr>
          <w:rFonts w:hint="eastAsia"/>
        </w:rPr>
        <w:t>的风险拟合模型</w:t>
      </w:r>
    </w:p>
    <w:p w14:paraId="140974A1" w14:textId="77777777" w:rsidR="004B3261" w:rsidRDefault="00000000">
      <w:pPr>
        <w:ind w:firstLineChars="200" w:firstLine="420"/>
        <w:rPr>
          <w:rFonts w:ascii="Times New Roman" w:eastAsia="宋体" w:hAnsi="Calibri" w:cs="Times New Roman"/>
        </w:rPr>
      </w:pPr>
      <w:r>
        <w:rPr>
          <w:rFonts w:ascii="Times New Roman" w:eastAsia="宋体" w:hAnsi="Calibri" w:cs="Times New Roman"/>
        </w:rPr>
        <w:t>XGBoost</w:t>
      </w:r>
      <w:r>
        <w:rPr>
          <w:rFonts w:ascii="Times New Roman" w:eastAsia="宋体" w:hAnsi="Calibri" w:cs="Times New Roman"/>
        </w:rPr>
        <w:t>算法的基本思想就是用分步增量的方式来建立决策树，不断减小预测结果和目标值的残差。该种集成学习方法既保证了预测的准确性，又具有较强的因子重要性量化能力，在性能和可解释性之间取得较好的平衡，比较适合于处理粮食生产影响因子等非线性、多耦合关系的数据。</w:t>
      </w:r>
      <w:r>
        <w:rPr>
          <w:rFonts w:ascii="Times New Roman" w:eastAsia="宋体" w:hAnsi="Calibri" w:cs="Times New Roman"/>
        </w:rPr>
        <w:t>XGBoost</w:t>
      </w:r>
      <w:r>
        <w:rPr>
          <w:rFonts w:ascii="Times New Roman" w:eastAsia="宋体" w:hAnsi="Calibri" w:cs="Times New Roman"/>
        </w:rPr>
        <w:t>模型用加法模型的形式来表示，最终预测结果是由</w:t>
      </w:r>
      <w:r>
        <w:rPr>
          <w:rFonts w:ascii="Times New Roman" w:eastAsia="宋体" w:hAnsi="Calibri" w:cs="Times New Roman"/>
        </w:rPr>
        <w:t>K</w:t>
      </w:r>
      <w:r>
        <w:rPr>
          <w:rFonts w:ascii="Times New Roman" w:eastAsia="宋体" w:hAnsi="Calibri" w:cs="Times New Roman"/>
        </w:rPr>
        <w:t>棵决策树的输出共同决定的，表达式为：</w:t>
      </w:r>
    </w:p>
    <w:p w14:paraId="49CBF9E9" w14:textId="77777777" w:rsidR="004B3261" w:rsidRDefault="00000000">
      <w:pPr>
        <w:pStyle w:val="a3"/>
      </w:pPr>
      <m:oMathPara>
        <m:oMath>
          <m:sSub>
            <m:sSubPr>
              <m:ctrlPr>
                <w:rPr>
                  <w:rFonts w:ascii="Cambria Math" w:hAnsi="Cambria Math"/>
                </w:rPr>
              </m:ctrlPr>
            </m:sSubPr>
            <m:e>
              <m:acc>
                <m:accPr>
                  <m:ctrlPr>
                    <w:rPr>
                      <w:rFonts w:ascii="Cambria Math" w:hAnsi="Cambria Math"/>
                    </w:rPr>
                  </m:ctrlPr>
                </m:accPr>
                <m:e>
                  <m:r>
                    <m:rPr>
                      <m:sty m:val="p"/>
                    </m:rPr>
                    <w:rPr>
                      <w:rFonts w:hAnsi="Times New Roman"/>
                    </w:rPr>
                    <m:t>y</m:t>
                  </m:r>
                </m:e>
              </m:acc>
            </m:e>
            <m:sub>
              <m:r>
                <m:rPr>
                  <m:sty m:val="p"/>
                </m:rPr>
                <w:rPr>
                  <w:rFonts w:hAnsi="Times New Roman"/>
                </w:rPr>
                <m:t>i</m:t>
              </m:r>
            </m:sub>
          </m:sSub>
          <m:r>
            <m:rPr>
              <m:sty m:val="p"/>
            </m:rPr>
            <w:rPr>
              <w:rFonts w:hAnsi="Times New Roman"/>
            </w:rPr>
            <m:t>=</m:t>
          </m:r>
          <m:nary>
            <m:naryPr>
              <m:chr m:val="∑"/>
              <m:limLoc m:val="subSup"/>
              <m:ctrlPr>
                <w:rPr>
                  <w:rFonts w:ascii="Cambria Math" w:hAnsi="Cambria Math"/>
                </w:rPr>
              </m:ctrlPr>
            </m:naryPr>
            <m:sub>
              <m:r>
                <m:rPr>
                  <m:sty m:val="p"/>
                </m:rPr>
                <w:rPr>
                  <w:rFonts w:hAnsi="Times New Roman"/>
                </w:rPr>
                <m:t>k=1</m:t>
              </m:r>
            </m:sub>
            <m:sup>
              <m:r>
                <m:rPr>
                  <m:sty m:val="p"/>
                </m:rPr>
                <w:rPr>
                  <w:rFonts w:hAnsi="Times New Roman"/>
                </w:rPr>
                <m:t>K</m:t>
              </m:r>
            </m:sup>
            <m:e>
              <m:sSub>
                <m:sSubPr>
                  <m:ctrlPr>
                    <w:rPr>
                      <w:rFonts w:ascii="Cambria Math" w:hAnsi="Cambria Math"/>
                    </w:rPr>
                  </m:ctrlPr>
                </m:sSubPr>
                <m:e>
                  <m:r>
                    <m:rPr>
                      <m:sty m:val="p"/>
                    </m:rPr>
                    <w:rPr>
                      <w:rFonts w:hAnsi="Times New Roman"/>
                    </w:rPr>
                    <m:t>f</m:t>
                  </m:r>
                </m:e>
                <m:sub>
                  <m:r>
                    <m:rPr>
                      <m:sty m:val="p"/>
                    </m:rPr>
                    <w:rPr>
                      <w:rFonts w:hAnsi="Times New Roman"/>
                    </w:rPr>
                    <m:t>k</m:t>
                  </m:r>
                </m:sub>
              </m:sSub>
            </m:e>
          </m:nary>
          <m:r>
            <m:rPr>
              <m:sty m:val="p"/>
            </m:rPr>
            <w:rPr>
              <w:rFonts w:hAnsi="Times New Roman"/>
            </w:rPr>
            <m:t>(</m:t>
          </m:r>
          <m:sSub>
            <m:sSubPr>
              <m:ctrlPr>
                <w:rPr>
                  <w:rFonts w:ascii="Cambria Math" w:hAnsi="Cambria Math"/>
                </w:rPr>
              </m:ctrlPr>
            </m:sSubPr>
            <m:e>
              <m:r>
                <m:rPr>
                  <m:sty m:val="p"/>
                </m:rPr>
                <w:rPr>
                  <w:rFonts w:hAnsi="Times New Roman"/>
                </w:rPr>
                <m:t>x</m:t>
              </m:r>
            </m:e>
            <m:sub>
              <m:r>
                <m:rPr>
                  <m:sty m:val="p"/>
                </m:rPr>
                <w:rPr>
                  <w:rFonts w:hAnsi="Times New Roman"/>
                </w:rPr>
                <m:t>i</m:t>
              </m:r>
            </m:sub>
          </m:sSub>
          <m:r>
            <m:rPr>
              <m:sty m:val="p"/>
            </m:rPr>
            <w:rPr>
              <w:rFonts w:hAnsi="Times New Roman"/>
            </w:rPr>
            <m:t>), </m:t>
          </m:r>
          <m:sSub>
            <m:sSubPr>
              <m:ctrlPr>
                <w:rPr>
                  <w:rFonts w:ascii="Cambria Math" w:hAnsi="Cambria Math"/>
                </w:rPr>
              </m:ctrlPr>
            </m:sSubPr>
            <m:e>
              <m:r>
                <m:rPr>
                  <m:sty m:val="p"/>
                </m:rPr>
                <w:rPr>
                  <w:rFonts w:hAnsi="Times New Roman"/>
                </w:rPr>
                <m:t>f</m:t>
              </m:r>
            </m:e>
            <m:sub>
              <m:r>
                <m:rPr>
                  <m:sty m:val="p"/>
                </m:rPr>
                <w:rPr>
                  <w:rFonts w:hAnsi="Times New Roman"/>
                </w:rPr>
                <m:t>k</m:t>
              </m:r>
            </m:sub>
          </m:sSub>
          <m:r>
            <m:rPr>
              <m:scr m:val="script"/>
              <m:sty m:val="p"/>
            </m:rPr>
            <w:rPr>
              <w:rFonts w:hAnsi="Times New Roman"/>
            </w:rPr>
            <m:t>∈F</m:t>
          </m:r>
        </m:oMath>
      </m:oMathPara>
    </w:p>
    <w:p w14:paraId="313F4D0B" w14:textId="77777777" w:rsidR="004B3261" w:rsidRDefault="00000000">
      <w:pPr>
        <w:pStyle w:val="a3"/>
      </w:pPr>
      <w:r>
        <w:rPr>
          <w:rFonts w:hint="eastAsia"/>
        </w:rPr>
        <w:t>其中，</w:t>
      </w:r>
      <m:oMath>
        <m:sSub>
          <m:sSubPr>
            <m:ctrlPr>
              <w:rPr>
                <w:rFonts w:ascii="Cambria Math" w:hAnsi="Cambria Math"/>
              </w:rPr>
            </m:ctrlPr>
          </m:sSubPr>
          <m:e>
            <m:acc>
              <m:accPr>
                <m:ctrlPr>
                  <w:rPr>
                    <w:rFonts w:ascii="Cambria Math" w:hAnsi="Cambria Math"/>
                  </w:rPr>
                </m:ctrlPr>
              </m:accPr>
              <m:e>
                <m:r>
                  <m:rPr>
                    <m:sty m:val="p"/>
                  </m:rPr>
                  <w:rPr>
                    <w:rFonts w:hAnsi="Times New Roman"/>
                  </w:rPr>
                  <m:t>y</m:t>
                </m:r>
              </m:e>
            </m:acc>
          </m:e>
          <m:sub>
            <m:r>
              <m:rPr>
                <m:sty m:val="p"/>
              </m:rPr>
              <w:rPr>
                <w:rFonts w:hAnsi="Times New Roman"/>
              </w:rPr>
              <m:t>i</m:t>
            </m:r>
          </m:sub>
        </m:sSub>
      </m:oMath>
      <w:r>
        <w:t>为样本</w:t>
      </w:r>
      <w:r>
        <w:t>i</w:t>
      </w:r>
      <w:r>
        <w:t>的预测值</w:t>
      </w:r>
      <w:r>
        <w:rPr>
          <w:rFonts w:hint="eastAsia"/>
        </w:rPr>
        <w:t>，</w:t>
      </w:r>
      <m:oMath>
        <m:sSub>
          <m:sSubPr>
            <m:ctrlPr>
              <w:rPr>
                <w:rFonts w:ascii="Cambria Math" w:hAnsi="Cambria Math"/>
              </w:rPr>
            </m:ctrlPr>
          </m:sSubPr>
          <m:e>
            <m:r>
              <m:rPr>
                <m:sty m:val="p"/>
              </m:rPr>
              <w:rPr>
                <w:rFonts w:hAnsi="Times New Roman"/>
              </w:rPr>
              <m:t>f</m:t>
            </m:r>
          </m:e>
          <m:sub>
            <m:r>
              <m:rPr>
                <m:sty m:val="p"/>
              </m:rPr>
              <w:rPr>
                <w:rFonts w:hAnsi="Times New Roman"/>
              </w:rPr>
              <m:t>k</m:t>
            </m:r>
          </m:sub>
        </m:sSub>
      </m:oMath>
      <w:r>
        <w:t>为第</w:t>
      </w:r>
      <w:r>
        <w:t>k</w:t>
      </w:r>
      <w:r>
        <w:t>棵决策树</w:t>
      </w:r>
      <w:r>
        <w:rPr>
          <w:rFonts w:hint="eastAsia"/>
        </w:rPr>
        <w:t>，</w:t>
      </w:r>
      <m:oMath>
        <m:r>
          <m:rPr>
            <m:scr m:val="script"/>
            <m:sty m:val="p"/>
          </m:rPr>
          <w:rPr>
            <w:rFonts w:hAnsi="Times New Roman"/>
          </w:rPr>
          <m:t>F</m:t>
        </m:r>
      </m:oMath>
      <w:r>
        <w:t>为所有决策树的集合。</w:t>
      </w:r>
    </w:p>
    <w:p w14:paraId="647B59F6" w14:textId="77777777" w:rsidR="004B3261" w:rsidRDefault="00000000">
      <w:pPr>
        <w:rPr>
          <w:rFonts w:ascii="Times New Roman" w:eastAsia="宋体" w:hAnsi="Calibri" w:cs="Times New Roman"/>
        </w:rPr>
      </w:pPr>
      <w:r>
        <w:rPr>
          <w:rFonts w:ascii="Times New Roman" w:eastAsia="宋体" w:hAnsi="Calibri" w:cs="Times New Roman"/>
        </w:rPr>
        <w:t>本文所用的目标函数同时考虑了残差减小和复杂度惩罚两个方面，利用正则化机制来动态控制模型的过拟合风险，其形式为：</w:t>
      </w:r>
    </w:p>
    <w:p w14:paraId="6B3730B2" w14:textId="77777777" w:rsidR="004B3261" w:rsidRDefault="00000000">
      <w:pPr>
        <w:pStyle w:val="a3"/>
      </w:pPr>
      <m:oMathPara>
        <m:oMath>
          <m:r>
            <m:rPr>
              <m:sty m:val="p"/>
            </m:rPr>
            <w:rPr>
              <w:rFonts w:hAnsi="Times New Roman"/>
            </w:rPr>
            <m:t>Obj=</m:t>
          </m:r>
          <m:nary>
            <m:naryPr>
              <m:chr m:val="∑"/>
              <m:limLoc m:val="subSup"/>
              <m:ctrlPr>
                <w:rPr>
                  <w:rFonts w:ascii="Cambria Math" w:hAnsi="Cambria Math"/>
                </w:rPr>
              </m:ctrlPr>
            </m:naryPr>
            <m:sub>
              <m:r>
                <m:rPr>
                  <m:sty m:val="p"/>
                </m:rPr>
                <w:rPr>
                  <w:rFonts w:hAnsi="Times New Roman"/>
                </w:rPr>
                <m:t>i=1</m:t>
              </m:r>
            </m:sub>
            <m:sup>
              <m:r>
                <m:rPr>
                  <m:sty m:val="p"/>
                </m:rPr>
                <w:rPr>
                  <w:rFonts w:hAnsi="Times New Roman"/>
                </w:rPr>
                <m:t>n</m:t>
              </m:r>
            </m:sup>
            <m:e>
              <m:r>
                <m:rPr>
                  <m:sty m:val="p"/>
                </m:rPr>
                <w:rPr>
                  <w:rFonts w:hAnsi="Times New Roman"/>
                </w:rPr>
                <m:t>L</m:t>
              </m:r>
            </m:e>
          </m:nary>
          <m:r>
            <m:rPr>
              <m:sty m:val="p"/>
            </m:rPr>
            <w:rPr>
              <w:rFonts w:hAnsi="Times New Roman"/>
            </w:rPr>
            <m:t>(</m:t>
          </m:r>
          <m:sSub>
            <m:sSubPr>
              <m:ctrlPr>
                <w:rPr>
                  <w:rFonts w:ascii="Cambria Math" w:hAnsi="Cambria Math"/>
                </w:rPr>
              </m:ctrlPr>
            </m:sSubPr>
            <m:e>
              <m:r>
                <m:rPr>
                  <m:sty m:val="p"/>
                </m:rPr>
                <w:rPr>
                  <w:rFonts w:hAnsi="Times New Roman"/>
                </w:rPr>
                <m:t>y</m:t>
              </m:r>
            </m:e>
            <m:sub>
              <m:r>
                <m:rPr>
                  <m:sty m:val="p"/>
                </m:rPr>
                <w:rPr>
                  <w:rFonts w:hAnsi="Times New Roman"/>
                </w:rPr>
                <m:t>i</m:t>
              </m:r>
            </m:sub>
          </m:sSub>
          <m:r>
            <m:rPr>
              <m:sty m:val="p"/>
            </m:rPr>
            <w:rPr>
              <w:rFonts w:hAnsi="Times New Roman"/>
            </w:rPr>
            <m:t>,</m:t>
          </m:r>
          <m:sSub>
            <m:sSubPr>
              <m:ctrlPr>
                <w:rPr>
                  <w:rFonts w:ascii="Cambria Math" w:hAnsi="Cambria Math"/>
                </w:rPr>
              </m:ctrlPr>
            </m:sSubPr>
            <m:e>
              <m:acc>
                <m:accPr>
                  <m:ctrlPr>
                    <w:rPr>
                      <w:rFonts w:ascii="Cambria Math" w:hAnsi="Cambria Math"/>
                    </w:rPr>
                  </m:ctrlPr>
                </m:accPr>
                <m:e>
                  <m:r>
                    <m:rPr>
                      <m:sty m:val="p"/>
                    </m:rPr>
                    <w:rPr>
                      <w:rFonts w:hAnsi="Times New Roman"/>
                    </w:rPr>
                    <m:t>y</m:t>
                  </m:r>
                </m:e>
              </m:acc>
            </m:e>
            <m:sub>
              <m:r>
                <m:rPr>
                  <m:sty m:val="p"/>
                </m:rPr>
                <w:rPr>
                  <w:rFonts w:hAnsi="Times New Roman"/>
                </w:rPr>
                <m:t>i</m:t>
              </m:r>
            </m:sub>
          </m:sSub>
          <m:r>
            <m:rPr>
              <m:sty m:val="p"/>
            </m:rPr>
            <w:rPr>
              <w:rFonts w:hAnsi="Times New Roman"/>
            </w:rPr>
            <m:t>)+</m:t>
          </m:r>
          <m:nary>
            <m:naryPr>
              <m:chr m:val="∑"/>
              <m:limLoc m:val="subSup"/>
              <m:ctrlPr>
                <w:rPr>
                  <w:rFonts w:ascii="Cambria Math" w:hAnsi="Cambria Math"/>
                </w:rPr>
              </m:ctrlPr>
            </m:naryPr>
            <m:sub>
              <m:r>
                <m:rPr>
                  <m:sty m:val="p"/>
                </m:rPr>
                <w:rPr>
                  <w:rFonts w:hAnsi="Times New Roman"/>
                </w:rPr>
                <m:t>k=1</m:t>
              </m:r>
            </m:sub>
            <m:sup>
              <m:r>
                <m:rPr>
                  <m:sty m:val="p"/>
                </m:rPr>
                <w:rPr>
                  <w:rFonts w:hAnsi="Times New Roman"/>
                </w:rPr>
                <m:t>K</m:t>
              </m:r>
            </m:sup>
            <m:e>
              <m:r>
                <m:rPr>
                  <m:sty m:val="p"/>
                </m:rPr>
                <w:rPr>
                  <w:rFonts w:hAnsi="Times New Roman"/>
                </w:rPr>
                <m:t>Ω</m:t>
              </m:r>
            </m:e>
          </m:nary>
          <m:r>
            <m:rPr>
              <m:sty m:val="p"/>
            </m:rPr>
            <w:rPr>
              <w:rFonts w:hAnsi="Times New Roman"/>
            </w:rPr>
            <m:t>(</m:t>
          </m:r>
          <m:sSub>
            <m:sSubPr>
              <m:ctrlPr>
                <w:rPr>
                  <w:rFonts w:ascii="Cambria Math" w:hAnsi="Cambria Math"/>
                </w:rPr>
              </m:ctrlPr>
            </m:sSubPr>
            <m:e>
              <m:r>
                <m:rPr>
                  <m:sty m:val="p"/>
                </m:rPr>
                <w:rPr>
                  <w:rFonts w:hAnsi="Times New Roman"/>
                </w:rPr>
                <m:t>f</m:t>
              </m:r>
            </m:e>
            <m:sub>
              <m:r>
                <m:rPr>
                  <m:sty m:val="p"/>
                </m:rPr>
                <w:rPr>
                  <w:rFonts w:hAnsi="Times New Roman"/>
                </w:rPr>
                <m:t>k</m:t>
              </m:r>
            </m:sub>
          </m:sSub>
          <m:r>
            <m:rPr>
              <m:sty m:val="p"/>
            </m:rPr>
            <w:rPr>
              <w:rFonts w:hAnsi="Times New Roman"/>
            </w:rPr>
            <m:t>)</m:t>
          </m:r>
        </m:oMath>
      </m:oMathPara>
    </w:p>
    <w:p w14:paraId="3F53FFF2" w14:textId="77777777" w:rsidR="004B3261" w:rsidRDefault="00000000">
      <w:pPr>
        <w:pStyle w:val="a3"/>
      </w:pPr>
      <w:r>
        <w:t>其中正则项定义为：</w:t>
      </w:r>
    </w:p>
    <w:p w14:paraId="148EB451" w14:textId="77777777" w:rsidR="004B3261" w:rsidRDefault="00000000">
      <w:pPr>
        <w:pStyle w:val="a3"/>
      </w:pPr>
      <m:oMathPara>
        <m:oMath>
          <m:r>
            <m:rPr>
              <m:sty m:val="p"/>
            </m:rPr>
            <w:rPr>
              <w:rFonts w:hAnsi="Times New Roman"/>
            </w:rPr>
            <m:t>Ω(f)=γT+</m:t>
          </m:r>
          <m:f>
            <m:fPr>
              <m:ctrlPr>
                <w:rPr>
                  <w:rFonts w:ascii="Cambria Math" w:hAnsi="Cambria Math"/>
                </w:rPr>
              </m:ctrlPr>
            </m:fPr>
            <m:num>
              <m:r>
                <m:rPr>
                  <m:sty m:val="p"/>
                </m:rPr>
                <w:rPr>
                  <w:rFonts w:hAnsi="Times New Roman"/>
                </w:rPr>
                <m:t>1</m:t>
              </m:r>
            </m:num>
            <m:den>
              <m:r>
                <m:rPr>
                  <m:sty m:val="p"/>
                </m:rPr>
                <w:rPr>
                  <w:rFonts w:hAnsi="Times New Roman"/>
                </w:rPr>
                <m:t>2</m:t>
              </m:r>
            </m:den>
          </m:f>
          <m:r>
            <m:rPr>
              <m:sty m:val="p"/>
            </m:rPr>
            <w:rPr>
              <w:rFonts w:hAnsi="Times New Roman"/>
            </w:rPr>
            <m:t>λ‖ω</m:t>
          </m:r>
          <m:sSup>
            <m:sSupPr>
              <m:ctrlPr>
                <w:rPr>
                  <w:rFonts w:ascii="Cambria Math" w:hAnsi="Cambria Math"/>
                </w:rPr>
              </m:ctrlPr>
            </m:sSupPr>
            <m:e>
              <m:r>
                <m:rPr>
                  <m:sty m:val="p"/>
                </m:rPr>
                <w:rPr>
                  <w:rFonts w:hAnsi="Times New Roman"/>
                </w:rPr>
                <m:t>‖</m:t>
              </m:r>
            </m:e>
            <m:sup>
              <m:r>
                <m:rPr>
                  <m:sty m:val="p"/>
                </m:rPr>
                <w:rPr>
                  <w:rFonts w:hAnsi="Times New Roman"/>
                </w:rPr>
                <m:t>2</m:t>
              </m:r>
            </m:sup>
          </m:sSup>
        </m:oMath>
      </m:oMathPara>
    </w:p>
    <w:p w14:paraId="41A85341" w14:textId="77777777" w:rsidR="004B3261" w:rsidRDefault="00000000">
      <w:pPr>
        <w:pStyle w:val="a3"/>
      </w:pPr>
      <w:r>
        <w:rPr>
          <w:rFonts w:hint="eastAsia"/>
        </w:rPr>
        <w:t>其中，</w:t>
      </w:r>
      <m:oMath>
        <m:r>
          <m:rPr>
            <m:sty m:val="p"/>
          </m:rPr>
          <w:rPr>
            <w:rFonts w:hAnsi="Times New Roman"/>
          </w:rPr>
          <m:t>L(</m:t>
        </m:r>
        <m:sSub>
          <m:sSubPr>
            <m:ctrlPr>
              <w:rPr>
                <w:rFonts w:ascii="Cambria Math" w:hAnsi="Cambria Math"/>
              </w:rPr>
            </m:ctrlPr>
          </m:sSubPr>
          <m:e>
            <m:r>
              <m:rPr>
                <m:sty m:val="p"/>
              </m:rPr>
              <w:rPr>
                <w:rFonts w:hAnsi="Times New Roman"/>
              </w:rPr>
              <m:t>y</m:t>
            </m:r>
          </m:e>
          <m:sub>
            <m:r>
              <m:rPr>
                <m:sty m:val="p"/>
              </m:rPr>
              <w:rPr>
                <w:rFonts w:hAnsi="Times New Roman"/>
              </w:rPr>
              <m:t>i</m:t>
            </m:r>
          </m:sub>
        </m:sSub>
        <m:r>
          <m:rPr>
            <m:sty m:val="p"/>
          </m:rPr>
          <w:rPr>
            <w:rFonts w:hAnsi="Times New Roman"/>
          </w:rPr>
          <m:t>,</m:t>
        </m:r>
        <m:sSub>
          <m:sSubPr>
            <m:ctrlPr>
              <w:rPr>
                <w:rFonts w:ascii="Cambria Math" w:hAnsi="Cambria Math"/>
              </w:rPr>
            </m:ctrlPr>
          </m:sSubPr>
          <m:e>
            <m:acc>
              <m:accPr>
                <m:ctrlPr>
                  <w:rPr>
                    <w:rFonts w:ascii="Cambria Math" w:hAnsi="Cambria Math"/>
                  </w:rPr>
                </m:ctrlPr>
              </m:accPr>
              <m:e>
                <m:r>
                  <m:rPr>
                    <m:sty m:val="p"/>
                  </m:rPr>
                  <w:rPr>
                    <w:rFonts w:hAnsi="Times New Roman"/>
                  </w:rPr>
                  <m:t>y</m:t>
                </m:r>
              </m:e>
            </m:acc>
          </m:e>
          <m:sub>
            <m:r>
              <m:rPr>
                <m:sty m:val="p"/>
              </m:rPr>
              <w:rPr>
                <w:rFonts w:hAnsi="Times New Roman"/>
              </w:rPr>
              <m:t>i</m:t>
            </m:r>
          </m:sub>
        </m:sSub>
        <m:r>
          <m:rPr>
            <m:sty m:val="p"/>
          </m:rPr>
          <w:rPr>
            <w:rFonts w:hAnsi="Times New Roman"/>
          </w:rPr>
          <m:t>)</m:t>
        </m:r>
      </m:oMath>
      <w:r>
        <w:t>为损失函数，衡量真实值与预测值的误差</w:t>
      </w:r>
      <w:r>
        <w:rPr>
          <w:rFonts w:hint="eastAsia"/>
        </w:rPr>
        <w:t>，</w:t>
      </w:r>
      <m:oMath>
        <m:r>
          <m:rPr>
            <m:sty m:val="p"/>
          </m:rPr>
          <w:rPr>
            <w:rFonts w:hAnsi="Times New Roman"/>
          </w:rPr>
          <m:t>Ω(</m:t>
        </m:r>
        <m:sSub>
          <m:sSubPr>
            <m:ctrlPr>
              <w:rPr>
                <w:rFonts w:ascii="Cambria Math" w:hAnsi="Cambria Math"/>
              </w:rPr>
            </m:ctrlPr>
          </m:sSubPr>
          <m:e>
            <m:r>
              <m:rPr>
                <m:sty m:val="p"/>
              </m:rPr>
              <w:rPr>
                <w:rFonts w:hAnsi="Times New Roman"/>
              </w:rPr>
              <m:t>f</m:t>
            </m:r>
          </m:e>
          <m:sub>
            <m:r>
              <m:rPr>
                <m:sty m:val="p"/>
              </m:rPr>
              <w:rPr>
                <w:rFonts w:hAnsi="Times New Roman"/>
              </w:rPr>
              <m:t>k</m:t>
            </m:r>
          </m:sub>
        </m:sSub>
        <m:r>
          <m:rPr>
            <m:sty m:val="p"/>
          </m:rPr>
          <w:rPr>
            <w:rFonts w:hAnsi="Times New Roman"/>
          </w:rPr>
          <m:t>)</m:t>
        </m:r>
      </m:oMath>
      <w:r>
        <w:t>为决策树复杂度惩罚项</w:t>
      </w:r>
      <w:r>
        <w:rPr>
          <w:rFonts w:hint="eastAsia"/>
        </w:rPr>
        <w:t>，</w:t>
      </w:r>
      <m:oMath>
        <m:r>
          <m:rPr>
            <m:sty m:val="p"/>
          </m:rPr>
          <w:rPr>
            <w:rFonts w:hAnsi="Times New Roman"/>
          </w:rPr>
          <m:t>T</m:t>
        </m:r>
      </m:oMath>
      <w:r>
        <w:t>为决策树叶子节点数量</w:t>
      </w:r>
      <w:r>
        <w:rPr>
          <w:rFonts w:hint="eastAsia"/>
        </w:rPr>
        <w:t>，</w:t>
      </w:r>
      <m:oMath>
        <m:r>
          <m:rPr>
            <m:sty m:val="p"/>
          </m:rPr>
          <w:rPr>
            <w:rFonts w:hAnsi="Times New Roman"/>
          </w:rPr>
          <m:t>ω</m:t>
        </m:r>
      </m:oMath>
      <w:r>
        <w:t>为叶子节点权重</w:t>
      </w:r>
      <w:r>
        <w:rPr>
          <w:rFonts w:hint="eastAsia"/>
        </w:rPr>
        <w:t>，</w:t>
      </w:r>
      <m:oMath>
        <m:r>
          <m:rPr>
            <m:sty m:val="p"/>
          </m:rPr>
          <w:rPr>
            <w:rFonts w:hAnsi="Times New Roman"/>
          </w:rPr>
          <m:t>γ</m:t>
        </m:r>
        <m:r>
          <m:rPr>
            <m:sty m:val="p"/>
          </m:rPr>
          <w:rPr>
            <w:rFonts w:hAnsi="Times New Roman"/>
          </w:rPr>
          <m:t>、</m:t>
        </m:r>
        <m:r>
          <m:rPr>
            <m:sty m:val="p"/>
          </m:rPr>
          <w:rPr>
            <w:rFonts w:hAnsi="Times New Roman"/>
          </w:rPr>
          <m:t>λ</m:t>
        </m:r>
      </m:oMath>
      <w:r>
        <w:t>分别为叶子节点数与权重的惩罚系数，用于控制模型复杂度。</w:t>
      </w:r>
    </w:p>
    <w:p w14:paraId="718EB78E" w14:textId="77777777" w:rsidR="004B3261" w:rsidRDefault="00000000">
      <w:pPr>
        <w:pStyle w:val="3"/>
        <w:spacing w:before="156" w:after="156"/>
      </w:pPr>
      <w:r>
        <w:rPr>
          <w:rFonts w:hint="eastAsia"/>
        </w:rPr>
        <w:t>2.</w:t>
      </w:r>
      <w:r>
        <w:rPr>
          <w:rFonts w:hint="eastAsia"/>
        </w:rPr>
        <w:t>基于</w:t>
      </w:r>
      <w:r>
        <w:rPr>
          <w:rFonts w:hint="eastAsia"/>
        </w:rPr>
        <w:t>SHAP</w:t>
      </w:r>
      <w:r>
        <w:rPr>
          <w:rFonts w:hint="eastAsia"/>
        </w:rPr>
        <w:t>值的特征重要性归因</w:t>
      </w:r>
    </w:p>
    <w:p w14:paraId="0B24C5B7" w14:textId="77777777" w:rsidR="004B3261" w:rsidRDefault="00000000">
      <w:pPr>
        <w:pStyle w:val="a3"/>
      </w:pPr>
      <w:r>
        <w:t>虽然</w:t>
      </w:r>
      <w:r>
        <w:t>XGBoost</w:t>
      </w:r>
      <w:r>
        <w:t>有许多优点，但是它也存在着一些不足，例如不能直接量化各个因子对粮食生产风险的影响程度和方向。因此本文引入</w:t>
      </w:r>
      <w:r>
        <w:t>SHAP</w:t>
      </w:r>
      <w:r>
        <w:t>模型以及</w:t>
      </w:r>
      <w:r>
        <w:t>SHAP</w:t>
      </w:r>
      <w:r>
        <w:t>模型与之配合使用，将模型预测结果分解成各个因子的贡献值，从而实现对预测结果的精确量化，最终得到全局和局部层面的可解释性。</w:t>
      </w:r>
    </w:p>
    <w:p w14:paraId="1CC1AC2A" w14:textId="77777777" w:rsidR="004B3261" w:rsidRDefault="00000000">
      <w:pPr>
        <w:pStyle w:val="a3"/>
      </w:pPr>
      <w:r>
        <w:t>为了度量第</w:t>
      </w:r>
      <w:r>
        <w:t>j</w:t>
      </w:r>
      <w:r>
        <w:t>个变量对第</w:t>
      </w:r>
      <w:r>
        <w:t>i</w:t>
      </w:r>
      <w:r>
        <w:t>个具体预测值的影响程度，</w:t>
      </w:r>
      <w:r>
        <w:t>SHAP</w:t>
      </w:r>
      <w:r>
        <w:t>值的计算逻辑为：</w:t>
      </w:r>
    </w:p>
    <w:p w14:paraId="4CF680F4" w14:textId="77777777" w:rsidR="004B3261" w:rsidRDefault="00000000">
      <w:pPr>
        <w:pStyle w:val="a3"/>
      </w:pPr>
      <m:oMathPara>
        <m:oMath>
          <m:sSub>
            <m:sSubPr>
              <m:ctrlPr>
                <w:rPr>
                  <w:rFonts w:ascii="Cambria Math" w:hAnsi="Cambria Math"/>
                </w:rPr>
              </m:ctrlPr>
            </m:sSubPr>
            <m:e>
              <m:r>
                <m:rPr>
                  <m:sty m:val="p"/>
                </m:rPr>
                <w:rPr>
                  <w:rFonts w:hAnsi="Times New Roman"/>
                </w:rPr>
                <m:t>ϕ</m:t>
              </m:r>
            </m:e>
            <m:sub>
              <m:r>
                <m:rPr>
                  <m:sty m:val="p"/>
                </m:rPr>
                <w:rPr>
                  <w:rFonts w:hAnsi="Times New Roman"/>
                </w:rPr>
                <m:t>j</m:t>
              </m:r>
            </m:sub>
          </m:sSub>
          <m:r>
            <m:rPr>
              <m:sty m:val="p"/>
            </m:rPr>
            <w:rPr>
              <w:rFonts w:hAnsi="Times New Roman"/>
            </w:rPr>
            <m:t>=</m:t>
          </m:r>
          <m:nary>
            <m:naryPr>
              <m:chr m:val="∑"/>
              <m:limLoc m:val="subSup"/>
              <m:supHide m:val="1"/>
              <m:ctrlPr>
                <w:rPr>
                  <w:rFonts w:ascii="Cambria Math" w:hAnsi="Cambria Math"/>
                </w:rPr>
              </m:ctrlPr>
            </m:naryPr>
            <m:sub>
              <m:r>
                <m:rPr>
                  <m:sty m:val="p"/>
                </m:rPr>
                <w:rPr>
                  <w:rFonts w:hAnsi="Times New Roman"/>
                </w:rPr>
                <m:t>S⊆M∖{j}</m:t>
              </m:r>
            </m:sub>
            <m:sup/>
            <m:e>
              <m:f>
                <m:fPr>
                  <m:ctrlPr>
                    <w:rPr>
                      <w:rFonts w:ascii="Cambria Math" w:hAnsi="Cambria Math"/>
                    </w:rPr>
                  </m:ctrlPr>
                </m:fPr>
                <m:num>
                  <m:r>
                    <m:rPr>
                      <m:sty m:val="p"/>
                    </m:rPr>
                    <w:rPr>
                      <w:rFonts w:hAnsi="Times New Roman"/>
                    </w:rPr>
                    <m:t>|S|!(M-|S|-1)!</m:t>
                  </m:r>
                </m:num>
                <m:den>
                  <m:r>
                    <m:rPr>
                      <m:sty m:val="p"/>
                    </m:rPr>
                    <w:rPr>
                      <w:rFonts w:hAnsi="Times New Roman"/>
                    </w:rPr>
                    <m:t>M!</m:t>
                  </m:r>
                </m:den>
              </m:f>
            </m:e>
          </m:nary>
          <m:r>
            <m:rPr>
              <m:sty m:val="p"/>
            </m:rPr>
            <w:rPr>
              <w:rFonts w:hAnsi="Times New Roman"/>
            </w:rPr>
            <m:t>[f(S∪{j})-f(S)]</m:t>
          </m:r>
        </m:oMath>
      </m:oMathPara>
    </w:p>
    <w:p w14:paraId="27BDE53D" w14:textId="77777777" w:rsidR="004B3261" w:rsidRDefault="00000000">
      <w:pPr>
        <w:pStyle w:val="a3"/>
      </w:pPr>
      <w:r>
        <w:t>模型最终预测结果可分解为基值与各特征</w:t>
      </w:r>
      <w:r>
        <w:t>SHAP</w:t>
      </w:r>
      <w:r>
        <w:t>值之和，公式如下：</w:t>
      </w:r>
    </w:p>
    <w:p w14:paraId="3B100B69" w14:textId="77777777" w:rsidR="004B3261" w:rsidRDefault="00000000">
      <w:pPr>
        <w:pStyle w:val="a3"/>
      </w:pPr>
      <m:oMathPara>
        <m:oMath>
          <m:sSub>
            <m:sSubPr>
              <m:ctrlPr>
                <w:rPr>
                  <w:rFonts w:ascii="Cambria Math" w:hAnsi="Cambria Math"/>
                </w:rPr>
              </m:ctrlPr>
            </m:sSubPr>
            <m:e>
              <m:acc>
                <m:accPr>
                  <m:ctrlPr>
                    <w:rPr>
                      <w:rFonts w:ascii="Cambria Math" w:hAnsi="Cambria Math"/>
                    </w:rPr>
                  </m:ctrlPr>
                </m:accPr>
                <m:e>
                  <m:r>
                    <m:rPr>
                      <m:sty m:val="p"/>
                    </m:rPr>
                    <w:rPr>
                      <w:rFonts w:hAnsi="Times New Roman"/>
                    </w:rPr>
                    <m:t>y</m:t>
                  </m:r>
                </m:e>
              </m:acc>
            </m:e>
            <m:sub>
              <m:r>
                <m:rPr>
                  <m:sty m:val="p"/>
                </m:rPr>
                <w:rPr>
                  <w:rFonts w:hAnsi="Times New Roman"/>
                </w:rPr>
                <m:t>i</m:t>
              </m:r>
            </m:sub>
          </m:sSub>
          <m:r>
            <m:rPr>
              <m:sty m:val="p"/>
            </m:rPr>
            <w:rPr>
              <w:rFonts w:hAnsi="Times New Roman"/>
            </w:rPr>
            <m:t>=</m:t>
          </m:r>
          <m:sSub>
            <m:sSubPr>
              <m:ctrlPr>
                <w:rPr>
                  <w:rFonts w:ascii="Cambria Math" w:hAnsi="Cambria Math"/>
                </w:rPr>
              </m:ctrlPr>
            </m:sSubPr>
            <m:e>
              <m:r>
                <m:rPr>
                  <m:sty m:val="p"/>
                </m:rPr>
                <w:rPr>
                  <w:rFonts w:hAnsi="Times New Roman"/>
                </w:rPr>
                <m:t>ϕ</m:t>
              </m:r>
            </m:e>
            <m:sub>
              <m:r>
                <m:rPr>
                  <m:sty m:val="p"/>
                </m:rPr>
                <w:rPr>
                  <w:rFonts w:hAnsi="Times New Roman"/>
                </w:rPr>
                <m:t>0</m:t>
              </m:r>
            </m:sub>
          </m:sSub>
          <m:r>
            <m:rPr>
              <m:sty m:val="p"/>
            </m:rPr>
            <w:rPr>
              <w:rFonts w:hAnsi="Times New Roman"/>
            </w:rPr>
            <m:t>+</m:t>
          </m:r>
          <m:nary>
            <m:naryPr>
              <m:chr m:val="∑"/>
              <m:limLoc m:val="subSup"/>
              <m:ctrlPr>
                <w:rPr>
                  <w:rFonts w:ascii="Cambria Math" w:hAnsi="Cambria Math"/>
                </w:rPr>
              </m:ctrlPr>
            </m:naryPr>
            <m:sub>
              <m:r>
                <m:rPr>
                  <m:sty m:val="p"/>
                </m:rPr>
                <w:rPr>
                  <w:rFonts w:hAnsi="Times New Roman"/>
                </w:rPr>
                <m:t>j=1</m:t>
              </m:r>
            </m:sub>
            <m:sup>
              <m:r>
                <m:rPr>
                  <m:sty m:val="p"/>
                </m:rPr>
                <w:rPr>
                  <w:rFonts w:hAnsi="Times New Roman"/>
                </w:rPr>
                <m:t>M</m:t>
              </m:r>
            </m:sup>
            <m:e>
              <m:sSub>
                <m:sSubPr>
                  <m:ctrlPr>
                    <w:rPr>
                      <w:rFonts w:ascii="Cambria Math" w:hAnsi="Cambria Math"/>
                    </w:rPr>
                  </m:ctrlPr>
                </m:sSubPr>
                <m:e>
                  <m:r>
                    <m:rPr>
                      <m:sty m:val="p"/>
                    </m:rPr>
                    <w:rPr>
                      <w:rFonts w:hAnsi="Times New Roman"/>
                    </w:rPr>
                    <m:t>ϕ</m:t>
                  </m:r>
                </m:e>
                <m:sub>
                  <m:r>
                    <m:rPr>
                      <m:sty m:val="p"/>
                    </m:rPr>
                    <w:rPr>
                      <w:rFonts w:hAnsi="Times New Roman"/>
                    </w:rPr>
                    <m:t>ij</m:t>
                  </m:r>
                </m:sub>
              </m:sSub>
            </m:e>
          </m:nary>
        </m:oMath>
      </m:oMathPara>
    </w:p>
    <w:p w14:paraId="71928219" w14:textId="77777777" w:rsidR="004B3261" w:rsidRDefault="00000000">
      <w:pPr>
        <w:pStyle w:val="a3"/>
      </w:pPr>
      <w:r>
        <w:rPr>
          <w:rFonts w:hint="eastAsia"/>
        </w:rPr>
        <w:t>其中，</w:t>
      </w:r>
      <m:oMath>
        <m:sSub>
          <m:sSubPr>
            <m:ctrlPr>
              <w:rPr>
                <w:rFonts w:ascii="Cambria Math" w:hAnsi="Cambria Math"/>
              </w:rPr>
            </m:ctrlPr>
          </m:sSubPr>
          <m:e>
            <m:r>
              <m:rPr>
                <m:sty m:val="p"/>
              </m:rPr>
              <w:rPr>
                <w:rFonts w:hAnsi="Times New Roman"/>
              </w:rPr>
              <m:t>ϕ</m:t>
            </m:r>
          </m:e>
          <m:sub>
            <m:r>
              <m:rPr>
                <m:sty m:val="p"/>
              </m:rPr>
              <w:rPr>
                <w:rFonts w:hAnsi="Times New Roman"/>
              </w:rPr>
              <m:t>0</m:t>
            </m:r>
          </m:sub>
        </m:sSub>
      </m:oMath>
      <w:r>
        <w:t>为模型预测基值</w:t>
      </w:r>
      <w:r>
        <w:rPr>
          <w:rFonts w:hint="eastAsia"/>
        </w:rPr>
        <w:t>，</w:t>
      </w:r>
      <m:oMath>
        <m:sSub>
          <m:sSubPr>
            <m:ctrlPr>
              <w:rPr>
                <w:rFonts w:ascii="Cambria Math" w:hAnsi="Cambria Math"/>
              </w:rPr>
            </m:ctrlPr>
          </m:sSubPr>
          <m:e>
            <m:r>
              <m:rPr>
                <m:sty m:val="p"/>
              </m:rPr>
              <w:rPr>
                <w:rFonts w:hAnsi="Times New Roman"/>
              </w:rPr>
              <m:t>ϕ</m:t>
            </m:r>
          </m:e>
          <m:sub>
            <m:r>
              <m:rPr>
                <m:sty m:val="p"/>
              </m:rPr>
              <w:rPr>
                <w:rFonts w:hAnsi="Times New Roman"/>
              </w:rPr>
              <m:t>ij</m:t>
            </m:r>
          </m:sub>
        </m:sSub>
      </m:oMath>
      <w:r>
        <w:t>为第</w:t>
      </w:r>
      <w:r>
        <w:t>j</w:t>
      </w:r>
      <w:r>
        <w:t>个特征对第</w:t>
      </w:r>
      <w:r>
        <w:t>i</w:t>
      </w:r>
      <w:r>
        <w:t>个样本预测结果的贡献值</w:t>
      </w:r>
      <w:r>
        <w:rPr>
          <w:rFonts w:hint="eastAsia"/>
        </w:rPr>
        <w:t>，</w:t>
      </w:r>
      <m:oMath>
        <m:r>
          <m:rPr>
            <m:sty m:val="p"/>
          </m:rPr>
          <w:rPr>
            <w:rFonts w:hAnsi="Times New Roman"/>
          </w:rPr>
          <m:t>M</m:t>
        </m:r>
      </m:oMath>
      <w:r>
        <w:t>为特征总数量</w:t>
      </w:r>
      <w:r>
        <w:rPr>
          <w:rFonts w:hint="eastAsia"/>
        </w:rPr>
        <w:t>，</w:t>
      </w:r>
      <w:r>
        <w:t>S</w:t>
      </w:r>
      <w:r>
        <w:t>为特征子集。通过</w:t>
      </w:r>
      <w:r>
        <w:t>SHAP</w:t>
      </w:r>
      <w:r>
        <w:t>值分析，可以比较准确地识别出极端气候下粮食生产风</w:t>
      </w:r>
      <w:r>
        <w:lastRenderedPageBreak/>
        <w:t>险的核心驱动因子，并明确各因子的影响机制。</w:t>
      </w:r>
    </w:p>
    <w:p w14:paraId="1C95F9D0" w14:textId="77777777" w:rsidR="004B3261" w:rsidRDefault="00000000">
      <w:pPr>
        <w:pStyle w:val="3"/>
        <w:spacing w:before="156" w:after="156"/>
      </w:pPr>
      <w:r>
        <w:rPr>
          <w:rFonts w:hint="eastAsia"/>
        </w:rPr>
        <w:t>3.</w:t>
      </w:r>
      <w:r>
        <w:rPr>
          <w:rFonts w:hint="eastAsia"/>
        </w:rPr>
        <w:t>基于</w:t>
      </w:r>
      <w:r>
        <w:rPr>
          <w:rFonts w:hint="eastAsia"/>
        </w:rPr>
        <w:t>LSTM</w:t>
      </w:r>
      <w:r>
        <w:rPr>
          <w:rFonts w:hint="eastAsia"/>
        </w:rPr>
        <w:t>的深度学习验证模型</w:t>
      </w:r>
    </w:p>
    <w:p w14:paraId="409D5670" w14:textId="77777777" w:rsidR="004B3261" w:rsidRDefault="00000000">
      <w:pPr>
        <w:pStyle w:val="a3"/>
      </w:pPr>
      <w:bookmarkStart w:id="16" w:name="_Toc16553"/>
      <w:bookmarkStart w:id="17" w:name="_Toc28845"/>
      <w:bookmarkStart w:id="18" w:name="_Toc9718"/>
      <w:r>
        <w:t>LSTM</w:t>
      </w:r>
      <w:r>
        <w:t>是循环神经网络的基础上发展起来的深度学习模型。它主要是通过引入遗忘门、输入门、输出门这三个门控机制以及细胞状态来实现对面板数据时序特征的捕捉，即长期演变趋势和短期波动特征。相比于传统的循环神经网络，</w:t>
      </w:r>
      <w:r>
        <w:t>LSTM</w:t>
      </w:r>
      <w:r>
        <w:t>可以较好地解决时序数据处理中出现的梯度消失、梯度爆炸等问题，因此更适合用来做粮食生产韧性动态评价和时序预测。为了在处理长时序数据的时候做到信息的定向保留和更新，</w:t>
      </w:r>
      <w:r>
        <w:t>LSTM</w:t>
      </w:r>
      <w:r>
        <w:t>使用了特殊的门控递归结构，其核心状态转移函数如下：</w:t>
      </w:r>
    </w:p>
    <w:p w14:paraId="6F09D12A" w14:textId="77777777" w:rsidR="004B3261" w:rsidRDefault="00000000">
      <w:pPr>
        <w:pStyle w:val="a3"/>
        <w:ind w:firstLineChars="0"/>
      </w:pPr>
      <w:r>
        <w:rPr>
          <w:rFonts w:hint="eastAsia"/>
        </w:rPr>
        <w:t xml:space="preserve">1. </w:t>
      </w:r>
      <w:r>
        <w:t>遗忘门：控制细胞状态中历史信息的保留与遗忘，筛选需要丢弃的无效信息</w:t>
      </w:r>
    </w:p>
    <w:p w14:paraId="66AA2739" w14:textId="77777777" w:rsidR="004B3261" w:rsidRDefault="00000000">
      <w:pPr>
        <w:pStyle w:val="a3"/>
      </w:pPr>
      <m:oMathPara>
        <m:oMath>
          <m:sSub>
            <m:sSubPr>
              <m:ctrlPr>
                <w:rPr>
                  <w:rFonts w:ascii="Cambria Math" w:hAnsi="Cambria Math"/>
                </w:rPr>
              </m:ctrlPr>
            </m:sSubPr>
            <m:e>
              <m:r>
                <w:rPr>
                  <w:rFonts w:hAnsi="Times New Roman"/>
                </w:rPr>
                <m:t>f</m:t>
              </m:r>
            </m:e>
            <m:sub>
              <m:r>
                <w:rPr>
                  <w:rFonts w:hAnsi="Times New Roman"/>
                </w:rPr>
                <m:t>t</m:t>
              </m:r>
            </m:sub>
          </m:sSub>
          <m:r>
            <w:rPr>
              <w:rFonts w:hAnsi="Times New Roman"/>
            </w:rPr>
            <m:t>=σ(</m:t>
          </m:r>
          <m:sSub>
            <m:sSubPr>
              <m:ctrlPr>
                <w:rPr>
                  <w:rFonts w:ascii="Cambria Math" w:hAnsi="Cambria Math"/>
                </w:rPr>
              </m:ctrlPr>
            </m:sSubPr>
            <m:e>
              <m:r>
                <w:rPr>
                  <w:rFonts w:hAnsi="Times New Roman"/>
                </w:rPr>
                <m:t>W</m:t>
              </m:r>
            </m:e>
            <m:sub>
              <m:r>
                <w:rPr>
                  <w:rFonts w:hAnsi="Times New Roman"/>
                </w:rPr>
                <m:t>f</m:t>
              </m:r>
            </m:sub>
          </m:sSub>
          <m:r>
            <w:rPr>
              <w:rFonts w:hAnsi="Times New Roman"/>
            </w:rPr>
            <m:t>⋅[</m:t>
          </m:r>
          <m:sSub>
            <m:sSubPr>
              <m:ctrlPr>
                <w:rPr>
                  <w:rFonts w:ascii="Cambria Math" w:hAnsi="Cambria Math"/>
                </w:rPr>
              </m:ctrlPr>
            </m:sSubPr>
            <m:e>
              <m:r>
                <w:rPr>
                  <w:rFonts w:hAnsi="Times New Roman"/>
                </w:rPr>
                <m:t>h</m:t>
              </m:r>
            </m:e>
            <m:sub>
              <m:r>
                <w:rPr>
                  <w:rFonts w:hAnsi="Times New Roman"/>
                </w:rPr>
                <m:t>t-1</m:t>
              </m:r>
            </m:sub>
          </m:sSub>
          <m:r>
            <w:rPr>
              <w:rFonts w:hAnsi="Times New Roman"/>
            </w:rPr>
            <m:t>,</m:t>
          </m:r>
          <m:sSub>
            <m:sSubPr>
              <m:ctrlPr>
                <w:rPr>
                  <w:rFonts w:ascii="Cambria Math" w:hAnsi="Cambria Math"/>
                </w:rPr>
              </m:ctrlPr>
            </m:sSubPr>
            <m:e>
              <m:r>
                <w:rPr>
                  <w:rFonts w:hAnsi="Times New Roman"/>
                </w:rPr>
                <m:t>x</m:t>
              </m:r>
            </m:e>
            <m:sub>
              <m:r>
                <w:rPr>
                  <w:rFonts w:hAnsi="Times New Roman"/>
                </w:rPr>
                <m:t>t</m:t>
              </m:r>
            </m:sub>
          </m:sSub>
          <m:r>
            <w:rPr>
              <w:rFonts w:hAnsi="Times New Roman"/>
            </w:rPr>
            <m:t>]+</m:t>
          </m:r>
          <m:sSub>
            <m:sSubPr>
              <m:ctrlPr>
                <w:rPr>
                  <w:rFonts w:ascii="Cambria Math" w:hAnsi="Cambria Math"/>
                </w:rPr>
              </m:ctrlPr>
            </m:sSubPr>
            <m:e>
              <m:r>
                <w:rPr>
                  <w:rFonts w:hAnsi="Times New Roman"/>
                </w:rPr>
                <m:t>b</m:t>
              </m:r>
            </m:e>
            <m:sub>
              <m:r>
                <w:rPr>
                  <w:rFonts w:hAnsi="Times New Roman"/>
                </w:rPr>
                <m:t>f</m:t>
              </m:r>
            </m:sub>
          </m:sSub>
          <m:r>
            <w:rPr>
              <w:rFonts w:hAnsi="Times New Roman"/>
            </w:rPr>
            <m:t>)</m:t>
          </m:r>
        </m:oMath>
      </m:oMathPara>
    </w:p>
    <w:p w14:paraId="28AFB65C" w14:textId="77777777" w:rsidR="004B3261" w:rsidRDefault="00000000">
      <w:pPr>
        <w:pStyle w:val="a3"/>
        <w:ind w:firstLineChars="0"/>
      </w:pPr>
      <w:r>
        <w:rPr>
          <w:rFonts w:hint="eastAsia"/>
        </w:rPr>
        <w:t xml:space="preserve">2. </w:t>
      </w:r>
      <w:r>
        <w:t>输入门：控制新信息的输入，更新细胞状态内容</w:t>
      </w:r>
    </w:p>
    <w:p w14:paraId="77F3BC8A" w14:textId="77777777" w:rsidR="004B3261" w:rsidRDefault="00000000">
      <w:pPr>
        <w:pStyle w:val="a3"/>
      </w:pPr>
      <m:oMathPara>
        <m:oMath>
          <m:sSub>
            <m:sSubPr>
              <m:ctrlPr>
                <w:rPr>
                  <w:rFonts w:ascii="Cambria Math" w:hAnsi="Cambria Math"/>
                </w:rPr>
              </m:ctrlPr>
            </m:sSubPr>
            <m:e>
              <m:r>
                <w:rPr>
                  <w:rFonts w:hAnsi="Times New Roman"/>
                </w:rPr>
                <m:t>i</m:t>
              </m:r>
            </m:e>
            <m:sub>
              <m:r>
                <w:rPr>
                  <w:rFonts w:hAnsi="Times New Roman"/>
                </w:rPr>
                <m:t>t</m:t>
              </m:r>
            </m:sub>
          </m:sSub>
          <m:r>
            <w:rPr>
              <w:rFonts w:hAnsi="Times New Roman"/>
            </w:rPr>
            <m:t>=σ(</m:t>
          </m:r>
          <m:sSub>
            <m:sSubPr>
              <m:ctrlPr>
                <w:rPr>
                  <w:rFonts w:ascii="Cambria Math" w:hAnsi="Cambria Math"/>
                </w:rPr>
              </m:ctrlPr>
            </m:sSubPr>
            <m:e>
              <m:r>
                <w:rPr>
                  <w:rFonts w:hAnsi="Times New Roman"/>
                </w:rPr>
                <m:t>W</m:t>
              </m:r>
            </m:e>
            <m:sub>
              <m:r>
                <w:rPr>
                  <w:rFonts w:hAnsi="Times New Roman"/>
                </w:rPr>
                <m:t>i</m:t>
              </m:r>
            </m:sub>
          </m:sSub>
          <m:r>
            <w:rPr>
              <w:rFonts w:hAnsi="Times New Roman"/>
            </w:rPr>
            <m:t>⋅[</m:t>
          </m:r>
          <m:sSub>
            <m:sSubPr>
              <m:ctrlPr>
                <w:rPr>
                  <w:rFonts w:ascii="Cambria Math" w:hAnsi="Cambria Math"/>
                </w:rPr>
              </m:ctrlPr>
            </m:sSubPr>
            <m:e>
              <m:r>
                <w:rPr>
                  <w:rFonts w:hAnsi="Times New Roman"/>
                </w:rPr>
                <m:t>h</m:t>
              </m:r>
            </m:e>
            <m:sub>
              <m:r>
                <w:rPr>
                  <w:rFonts w:hAnsi="Times New Roman"/>
                </w:rPr>
                <m:t>t-1</m:t>
              </m:r>
            </m:sub>
          </m:sSub>
          <m:r>
            <w:rPr>
              <w:rFonts w:hAnsi="Times New Roman"/>
            </w:rPr>
            <m:t>,</m:t>
          </m:r>
          <m:sSub>
            <m:sSubPr>
              <m:ctrlPr>
                <w:rPr>
                  <w:rFonts w:ascii="Cambria Math" w:hAnsi="Cambria Math"/>
                </w:rPr>
              </m:ctrlPr>
            </m:sSubPr>
            <m:e>
              <m:r>
                <w:rPr>
                  <w:rFonts w:hAnsi="Times New Roman"/>
                </w:rPr>
                <m:t>x</m:t>
              </m:r>
            </m:e>
            <m:sub>
              <m:r>
                <w:rPr>
                  <w:rFonts w:hAnsi="Times New Roman"/>
                </w:rPr>
                <m:t>t</m:t>
              </m:r>
            </m:sub>
          </m:sSub>
          <m:r>
            <w:rPr>
              <w:rFonts w:hAnsi="Times New Roman"/>
            </w:rPr>
            <m:t>]+</m:t>
          </m:r>
          <m:sSub>
            <m:sSubPr>
              <m:ctrlPr>
                <w:rPr>
                  <w:rFonts w:ascii="Cambria Math" w:hAnsi="Cambria Math"/>
                </w:rPr>
              </m:ctrlPr>
            </m:sSubPr>
            <m:e>
              <m:r>
                <w:rPr>
                  <w:rFonts w:hAnsi="Times New Roman"/>
                </w:rPr>
                <m:t>b</m:t>
              </m:r>
            </m:e>
            <m:sub>
              <m:r>
                <w:rPr>
                  <w:rFonts w:hAnsi="Times New Roman"/>
                </w:rPr>
                <m:t>i</m:t>
              </m:r>
            </m:sub>
          </m:sSub>
          <m:r>
            <w:rPr>
              <w:rFonts w:hAnsi="Times New Roman"/>
            </w:rPr>
            <m:t>)</m:t>
          </m:r>
        </m:oMath>
      </m:oMathPara>
    </w:p>
    <w:p w14:paraId="5C94E128" w14:textId="77777777" w:rsidR="004B3261" w:rsidRDefault="00000000">
      <w:pPr>
        <w:pStyle w:val="a3"/>
        <w:ind w:firstLineChars="0"/>
      </w:pPr>
      <w:r>
        <w:rPr>
          <w:rFonts w:hint="eastAsia"/>
        </w:rPr>
        <w:t xml:space="preserve">3. </w:t>
      </w:r>
      <w:r>
        <w:t>候选细胞状态：生成待更新的细胞状态信息</w:t>
      </w:r>
    </w:p>
    <w:p w14:paraId="568EB271" w14:textId="77777777" w:rsidR="004B3261" w:rsidRDefault="00000000">
      <w:pPr>
        <w:pStyle w:val="a3"/>
      </w:pPr>
      <m:oMathPara>
        <m:oMath>
          <m:sSub>
            <m:sSubPr>
              <m:ctrlPr>
                <w:rPr>
                  <w:rFonts w:ascii="Cambria Math" w:hAnsi="Cambria Math"/>
                </w:rPr>
              </m:ctrlPr>
            </m:sSubPr>
            <m:e>
              <m:acc>
                <m:accPr>
                  <m:chr m:val="̃"/>
                  <m:ctrlPr>
                    <w:rPr>
                      <w:rFonts w:ascii="Cambria Math" w:hAnsi="Cambria Math"/>
                    </w:rPr>
                  </m:ctrlPr>
                </m:accPr>
                <m:e>
                  <m:r>
                    <w:rPr>
                      <w:rFonts w:hAnsi="Times New Roman"/>
                    </w:rPr>
                    <m:t>C</m:t>
                  </m:r>
                </m:e>
              </m:acc>
            </m:e>
            <m:sub>
              <m:r>
                <w:rPr>
                  <w:rFonts w:hAnsi="Times New Roman"/>
                </w:rPr>
                <m:t>t</m:t>
              </m:r>
            </m:sub>
          </m:sSub>
          <m:r>
            <w:rPr>
              <w:rFonts w:hAnsi="Times New Roman"/>
            </w:rPr>
            <m:t>=</m:t>
          </m:r>
          <m:func>
            <m:funcPr>
              <m:ctrlPr>
                <w:rPr>
                  <w:rFonts w:ascii="Cambria Math" w:hAnsi="Cambria Math"/>
                </w:rPr>
              </m:ctrlPr>
            </m:funcPr>
            <m:fName>
              <m:r>
                <m:rPr>
                  <m:sty m:val="p"/>
                </m:rPr>
                <w:rPr>
                  <w:rFonts w:hAnsi="Times New Roman"/>
                </w:rPr>
                <m:t>tanh</m:t>
              </m:r>
            </m:fName>
            <m:e>
              <m:r>
                <w:rPr>
                  <w:rFonts w:hAnsi="Times New Roman"/>
                </w:rPr>
                <m:t>(</m:t>
              </m:r>
            </m:e>
          </m:func>
          <m:sSub>
            <m:sSubPr>
              <m:ctrlPr>
                <w:rPr>
                  <w:rFonts w:ascii="Cambria Math" w:hAnsi="Cambria Math"/>
                </w:rPr>
              </m:ctrlPr>
            </m:sSubPr>
            <m:e>
              <m:r>
                <w:rPr>
                  <w:rFonts w:hAnsi="Times New Roman"/>
                </w:rPr>
                <m:t>W</m:t>
              </m:r>
            </m:e>
            <m:sub>
              <m:r>
                <w:rPr>
                  <w:rFonts w:hAnsi="Times New Roman"/>
                </w:rPr>
                <m:t>C</m:t>
              </m:r>
            </m:sub>
          </m:sSub>
          <m:r>
            <w:rPr>
              <w:rFonts w:hAnsi="Times New Roman"/>
            </w:rPr>
            <m:t>⋅[</m:t>
          </m:r>
          <m:sSub>
            <m:sSubPr>
              <m:ctrlPr>
                <w:rPr>
                  <w:rFonts w:ascii="Cambria Math" w:hAnsi="Cambria Math"/>
                </w:rPr>
              </m:ctrlPr>
            </m:sSubPr>
            <m:e>
              <m:r>
                <w:rPr>
                  <w:rFonts w:hAnsi="Times New Roman"/>
                </w:rPr>
                <m:t>h</m:t>
              </m:r>
            </m:e>
            <m:sub>
              <m:r>
                <w:rPr>
                  <w:rFonts w:hAnsi="Times New Roman"/>
                </w:rPr>
                <m:t>t-1</m:t>
              </m:r>
            </m:sub>
          </m:sSub>
          <m:r>
            <w:rPr>
              <w:rFonts w:hAnsi="Times New Roman"/>
            </w:rPr>
            <m:t>,</m:t>
          </m:r>
          <m:sSub>
            <m:sSubPr>
              <m:ctrlPr>
                <w:rPr>
                  <w:rFonts w:ascii="Cambria Math" w:hAnsi="Cambria Math"/>
                </w:rPr>
              </m:ctrlPr>
            </m:sSubPr>
            <m:e>
              <m:r>
                <w:rPr>
                  <w:rFonts w:hAnsi="Times New Roman"/>
                </w:rPr>
                <m:t>x</m:t>
              </m:r>
            </m:e>
            <m:sub>
              <m:r>
                <w:rPr>
                  <w:rFonts w:hAnsi="Times New Roman"/>
                </w:rPr>
                <m:t>t</m:t>
              </m:r>
            </m:sub>
          </m:sSub>
          <m:r>
            <w:rPr>
              <w:rFonts w:hAnsi="Times New Roman"/>
            </w:rPr>
            <m:t>]+</m:t>
          </m:r>
          <m:sSub>
            <m:sSubPr>
              <m:ctrlPr>
                <w:rPr>
                  <w:rFonts w:ascii="Cambria Math" w:hAnsi="Cambria Math"/>
                </w:rPr>
              </m:ctrlPr>
            </m:sSubPr>
            <m:e>
              <m:r>
                <w:rPr>
                  <w:rFonts w:hAnsi="Times New Roman"/>
                </w:rPr>
                <m:t>b</m:t>
              </m:r>
            </m:e>
            <m:sub>
              <m:r>
                <w:rPr>
                  <w:rFonts w:hAnsi="Times New Roman"/>
                </w:rPr>
                <m:t>C</m:t>
              </m:r>
            </m:sub>
          </m:sSub>
          <m:r>
            <w:rPr>
              <w:rFonts w:hAnsi="Times New Roman"/>
            </w:rPr>
            <m:t>)</m:t>
          </m:r>
        </m:oMath>
      </m:oMathPara>
    </w:p>
    <w:p w14:paraId="3B607D01" w14:textId="77777777" w:rsidR="004B3261" w:rsidRDefault="00000000">
      <w:pPr>
        <w:pStyle w:val="a3"/>
        <w:ind w:firstLineChars="0"/>
      </w:pPr>
      <w:r>
        <w:rPr>
          <w:rFonts w:hint="eastAsia"/>
        </w:rPr>
        <w:t xml:space="preserve">4. </w:t>
      </w:r>
      <w:r>
        <w:t>细胞状态更新：整合遗忘门与输入门结果，更新细胞状态</w:t>
      </w:r>
    </w:p>
    <w:p w14:paraId="7FA8750A" w14:textId="77777777" w:rsidR="004B3261" w:rsidRDefault="00000000">
      <w:pPr>
        <w:pStyle w:val="a3"/>
      </w:pPr>
      <m:oMathPara>
        <m:oMath>
          <m:sSub>
            <m:sSubPr>
              <m:ctrlPr>
                <w:rPr>
                  <w:rFonts w:ascii="Cambria Math" w:hAnsi="Cambria Math"/>
                </w:rPr>
              </m:ctrlPr>
            </m:sSubPr>
            <m:e>
              <m:r>
                <w:rPr>
                  <w:rFonts w:hAnsi="Times New Roman"/>
                </w:rPr>
                <m:t>C</m:t>
              </m:r>
            </m:e>
            <m:sub>
              <m:r>
                <w:rPr>
                  <w:rFonts w:hAnsi="Times New Roman"/>
                </w:rPr>
                <m:t>t</m:t>
              </m:r>
            </m:sub>
          </m:sSub>
          <m:r>
            <w:rPr>
              <w:rFonts w:hAnsi="Times New Roman"/>
            </w:rPr>
            <m:t>=</m:t>
          </m:r>
          <m:sSub>
            <m:sSubPr>
              <m:ctrlPr>
                <w:rPr>
                  <w:rFonts w:ascii="Cambria Math" w:hAnsi="Cambria Math"/>
                </w:rPr>
              </m:ctrlPr>
            </m:sSubPr>
            <m:e>
              <m:r>
                <w:rPr>
                  <w:rFonts w:hAnsi="Times New Roman"/>
                </w:rPr>
                <m:t>f</m:t>
              </m:r>
            </m:e>
            <m:sub>
              <m:r>
                <w:rPr>
                  <w:rFonts w:hAnsi="Times New Roman"/>
                </w:rPr>
                <m:t>t</m:t>
              </m:r>
            </m:sub>
          </m:sSub>
          <m:r>
            <w:rPr>
              <w:rFonts w:hAnsi="Times New Roman"/>
            </w:rPr>
            <m:t>⊙</m:t>
          </m:r>
          <m:sSub>
            <m:sSubPr>
              <m:ctrlPr>
                <w:rPr>
                  <w:rFonts w:ascii="Cambria Math" w:hAnsi="Cambria Math"/>
                </w:rPr>
              </m:ctrlPr>
            </m:sSubPr>
            <m:e>
              <m:r>
                <w:rPr>
                  <w:rFonts w:hAnsi="Times New Roman"/>
                </w:rPr>
                <m:t>C</m:t>
              </m:r>
            </m:e>
            <m:sub>
              <m:r>
                <w:rPr>
                  <w:rFonts w:hAnsi="Times New Roman"/>
                </w:rPr>
                <m:t>t-1</m:t>
              </m:r>
            </m:sub>
          </m:sSub>
          <m:r>
            <w:rPr>
              <w:rFonts w:hAnsi="Times New Roman"/>
            </w:rPr>
            <m:t>+</m:t>
          </m:r>
          <m:sSub>
            <m:sSubPr>
              <m:ctrlPr>
                <w:rPr>
                  <w:rFonts w:ascii="Cambria Math" w:hAnsi="Cambria Math"/>
                </w:rPr>
              </m:ctrlPr>
            </m:sSubPr>
            <m:e>
              <m:r>
                <w:rPr>
                  <w:rFonts w:hAnsi="Times New Roman"/>
                </w:rPr>
                <m:t>i</m:t>
              </m:r>
            </m:e>
            <m:sub>
              <m:r>
                <w:rPr>
                  <w:rFonts w:hAnsi="Times New Roman"/>
                </w:rPr>
                <m:t>t</m:t>
              </m:r>
            </m:sub>
          </m:sSub>
          <m:r>
            <w:rPr>
              <w:rFonts w:hAnsi="Times New Roman"/>
            </w:rPr>
            <m:t>⊙</m:t>
          </m:r>
          <m:sSub>
            <m:sSubPr>
              <m:ctrlPr>
                <w:rPr>
                  <w:rFonts w:ascii="Cambria Math" w:hAnsi="Cambria Math"/>
                </w:rPr>
              </m:ctrlPr>
            </m:sSubPr>
            <m:e>
              <m:acc>
                <m:accPr>
                  <m:chr m:val="̃"/>
                  <m:ctrlPr>
                    <w:rPr>
                      <w:rFonts w:ascii="Cambria Math" w:hAnsi="Cambria Math"/>
                    </w:rPr>
                  </m:ctrlPr>
                </m:accPr>
                <m:e>
                  <m:r>
                    <w:rPr>
                      <w:rFonts w:hAnsi="Times New Roman"/>
                    </w:rPr>
                    <m:t>C</m:t>
                  </m:r>
                </m:e>
              </m:acc>
            </m:e>
            <m:sub>
              <m:r>
                <w:rPr>
                  <w:rFonts w:hAnsi="Times New Roman"/>
                </w:rPr>
                <m:t>t</m:t>
              </m:r>
            </m:sub>
          </m:sSub>
        </m:oMath>
      </m:oMathPara>
    </w:p>
    <w:p w14:paraId="7C9EED20" w14:textId="77777777" w:rsidR="004B3261" w:rsidRDefault="00000000">
      <w:pPr>
        <w:pStyle w:val="a3"/>
        <w:ind w:firstLineChars="0"/>
      </w:pPr>
      <w:r>
        <w:rPr>
          <w:rFonts w:hint="eastAsia"/>
        </w:rPr>
        <w:t xml:space="preserve">5. </w:t>
      </w:r>
      <w:r>
        <w:t>输出门：控制模型输出信息，生成当前时刻隐状态</w:t>
      </w:r>
    </w:p>
    <w:p w14:paraId="77FBE56C" w14:textId="77777777" w:rsidR="004B3261" w:rsidRDefault="00000000">
      <w:pPr>
        <w:pStyle w:val="a3"/>
      </w:pPr>
      <m:oMathPara>
        <m:oMath>
          <m:sSub>
            <m:sSubPr>
              <m:ctrlPr>
                <w:rPr>
                  <w:rFonts w:ascii="Cambria Math" w:hAnsi="Cambria Math"/>
                </w:rPr>
              </m:ctrlPr>
            </m:sSubPr>
            <m:e>
              <m:r>
                <w:rPr>
                  <w:rFonts w:hAnsi="Times New Roman"/>
                </w:rPr>
                <m:t>o</m:t>
              </m:r>
            </m:e>
            <m:sub>
              <m:r>
                <w:rPr>
                  <w:rFonts w:hAnsi="Times New Roman"/>
                </w:rPr>
                <m:t>t</m:t>
              </m:r>
            </m:sub>
          </m:sSub>
          <m:r>
            <w:rPr>
              <w:rFonts w:hAnsi="Times New Roman"/>
            </w:rPr>
            <m:t>=σ(</m:t>
          </m:r>
          <m:sSub>
            <m:sSubPr>
              <m:ctrlPr>
                <w:rPr>
                  <w:rFonts w:ascii="Cambria Math" w:hAnsi="Cambria Math"/>
                </w:rPr>
              </m:ctrlPr>
            </m:sSubPr>
            <m:e>
              <m:r>
                <w:rPr>
                  <w:rFonts w:hAnsi="Times New Roman"/>
                </w:rPr>
                <m:t>W</m:t>
              </m:r>
            </m:e>
            <m:sub>
              <m:r>
                <w:rPr>
                  <w:rFonts w:hAnsi="Times New Roman"/>
                </w:rPr>
                <m:t>o</m:t>
              </m:r>
            </m:sub>
          </m:sSub>
          <m:r>
            <w:rPr>
              <w:rFonts w:hAnsi="Times New Roman"/>
            </w:rPr>
            <m:t>⋅[</m:t>
          </m:r>
          <m:sSub>
            <m:sSubPr>
              <m:ctrlPr>
                <w:rPr>
                  <w:rFonts w:ascii="Cambria Math" w:hAnsi="Cambria Math"/>
                </w:rPr>
              </m:ctrlPr>
            </m:sSubPr>
            <m:e>
              <m:r>
                <w:rPr>
                  <w:rFonts w:hAnsi="Times New Roman"/>
                </w:rPr>
                <m:t>h</m:t>
              </m:r>
            </m:e>
            <m:sub>
              <m:r>
                <w:rPr>
                  <w:rFonts w:hAnsi="Times New Roman"/>
                </w:rPr>
                <m:t>t-1</m:t>
              </m:r>
            </m:sub>
          </m:sSub>
          <m:r>
            <w:rPr>
              <w:rFonts w:hAnsi="Times New Roman"/>
            </w:rPr>
            <m:t>,</m:t>
          </m:r>
          <m:sSub>
            <m:sSubPr>
              <m:ctrlPr>
                <w:rPr>
                  <w:rFonts w:ascii="Cambria Math" w:hAnsi="Cambria Math"/>
                </w:rPr>
              </m:ctrlPr>
            </m:sSubPr>
            <m:e>
              <m:r>
                <w:rPr>
                  <w:rFonts w:hAnsi="Times New Roman"/>
                </w:rPr>
                <m:t>x</m:t>
              </m:r>
            </m:e>
            <m:sub>
              <m:r>
                <w:rPr>
                  <w:rFonts w:hAnsi="Times New Roman"/>
                </w:rPr>
                <m:t>t</m:t>
              </m:r>
            </m:sub>
          </m:sSub>
          <m:r>
            <w:rPr>
              <w:rFonts w:hAnsi="Times New Roman"/>
            </w:rPr>
            <m:t>]+</m:t>
          </m:r>
          <m:sSub>
            <m:sSubPr>
              <m:ctrlPr>
                <w:rPr>
                  <w:rFonts w:ascii="Cambria Math" w:hAnsi="Cambria Math"/>
                </w:rPr>
              </m:ctrlPr>
            </m:sSubPr>
            <m:e>
              <m:r>
                <w:rPr>
                  <w:rFonts w:hAnsi="Times New Roman"/>
                </w:rPr>
                <m:t>b</m:t>
              </m:r>
            </m:e>
            <m:sub>
              <m:r>
                <w:rPr>
                  <w:rFonts w:hAnsi="Times New Roman"/>
                </w:rPr>
                <m:t>o</m:t>
              </m:r>
            </m:sub>
          </m:sSub>
          <m:r>
            <w:rPr>
              <w:rFonts w:hAnsi="Times New Roman"/>
            </w:rPr>
            <m:t>)</m:t>
          </m:r>
        </m:oMath>
      </m:oMathPara>
    </w:p>
    <w:p w14:paraId="159D69BB" w14:textId="77777777" w:rsidR="004B3261" w:rsidRDefault="00000000">
      <w:pPr>
        <w:pStyle w:val="a3"/>
      </w:pPr>
      <m:oMathPara>
        <m:oMath>
          <m:sSub>
            <m:sSubPr>
              <m:ctrlPr>
                <w:rPr>
                  <w:rFonts w:ascii="Cambria Math" w:hAnsi="Cambria Math"/>
                </w:rPr>
              </m:ctrlPr>
            </m:sSubPr>
            <m:e>
              <m:r>
                <w:rPr>
                  <w:rFonts w:hAnsi="Times New Roman"/>
                </w:rPr>
                <m:t>h</m:t>
              </m:r>
            </m:e>
            <m:sub>
              <m:r>
                <w:rPr>
                  <w:rFonts w:hAnsi="Times New Roman"/>
                </w:rPr>
                <m:t>t</m:t>
              </m:r>
            </m:sub>
          </m:sSub>
          <m:r>
            <w:rPr>
              <w:rFonts w:hAnsi="Times New Roman"/>
            </w:rPr>
            <m:t>=</m:t>
          </m:r>
          <m:sSub>
            <m:sSubPr>
              <m:ctrlPr>
                <w:rPr>
                  <w:rFonts w:ascii="Cambria Math" w:hAnsi="Cambria Math"/>
                </w:rPr>
              </m:ctrlPr>
            </m:sSubPr>
            <m:e>
              <m:r>
                <w:rPr>
                  <w:rFonts w:hAnsi="Times New Roman"/>
                </w:rPr>
                <m:t>o</m:t>
              </m:r>
            </m:e>
            <m:sub>
              <m:r>
                <w:rPr>
                  <w:rFonts w:hAnsi="Times New Roman"/>
                </w:rPr>
                <m:t>t</m:t>
              </m:r>
            </m:sub>
          </m:sSub>
          <m:r>
            <w:rPr>
              <w:rFonts w:hAnsi="Times New Roman"/>
            </w:rPr>
            <m:t>⊙</m:t>
          </m:r>
          <m:func>
            <m:funcPr>
              <m:ctrlPr>
                <w:rPr>
                  <w:rFonts w:ascii="Cambria Math" w:hAnsi="Cambria Math"/>
                </w:rPr>
              </m:ctrlPr>
            </m:funcPr>
            <m:fName>
              <m:r>
                <m:rPr>
                  <m:sty m:val="p"/>
                </m:rPr>
                <w:rPr>
                  <w:rFonts w:hAnsi="Times New Roman"/>
                </w:rPr>
                <m:t>tanh</m:t>
              </m:r>
            </m:fName>
            <m:e>
              <m:r>
                <w:rPr>
                  <w:rFonts w:hAnsi="Times New Roman"/>
                </w:rPr>
                <m:t>(</m:t>
              </m:r>
            </m:e>
          </m:func>
          <m:sSub>
            <m:sSubPr>
              <m:ctrlPr>
                <w:rPr>
                  <w:rFonts w:ascii="Cambria Math" w:hAnsi="Cambria Math"/>
                </w:rPr>
              </m:ctrlPr>
            </m:sSubPr>
            <m:e>
              <m:r>
                <w:rPr>
                  <w:rFonts w:hAnsi="Times New Roman"/>
                </w:rPr>
                <m:t>C</m:t>
              </m:r>
            </m:e>
            <m:sub>
              <m:r>
                <w:rPr>
                  <w:rFonts w:hAnsi="Times New Roman"/>
                </w:rPr>
                <m:t>t</m:t>
              </m:r>
            </m:sub>
          </m:sSub>
          <m:r>
            <w:rPr>
              <w:rFonts w:hAnsi="Times New Roman"/>
            </w:rPr>
            <m:t>)</m:t>
          </m:r>
        </m:oMath>
      </m:oMathPara>
    </w:p>
    <w:p w14:paraId="52EDEA66" w14:textId="77777777" w:rsidR="004B3261" w:rsidRDefault="00000000">
      <w:pPr>
        <w:pStyle w:val="a3"/>
      </w:pPr>
      <w:r>
        <w:rPr>
          <w:rFonts w:hint="eastAsia"/>
        </w:rPr>
        <w:t>其中，</w:t>
      </w:r>
      <m:oMath>
        <m:sSub>
          <m:sSubPr>
            <m:ctrlPr>
              <w:rPr>
                <w:rFonts w:ascii="Cambria Math" w:hAnsi="Cambria Math"/>
              </w:rPr>
            </m:ctrlPr>
          </m:sSubPr>
          <m:e>
            <m:r>
              <w:rPr>
                <w:rFonts w:hAnsi="Times New Roman"/>
              </w:rPr>
              <m:t>x</m:t>
            </m:r>
          </m:e>
          <m:sub>
            <m:r>
              <w:rPr>
                <w:rFonts w:hAnsi="Times New Roman"/>
              </w:rPr>
              <m:t>t</m:t>
            </m:r>
          </m:sub>
        </m:sSub>
      </m:oMath>
      <w:r>
        <w:t>为</w:t>
      </w:r>
      <m:oMath>
        <m:r>
          <m:rPr>
            <m:sty m:val="p"/>
          </m:rPr>
          <w:rPr>
            <w:rFonts w:hAnsi="Times New Roman"/>
          </w:rPr>
          <m:t>t</m:t>
        </m:r>
      </m:oMath>
      <w:r>
        <w:t>时刻输入特征</w:t>
      </w:r>
      <w:r>
        <w:rPr>
          <w:rFonts w:hint="eastAsia"/>
        </w:rPr>
        <w:t>，</w:t>
      </w:r>
      <m:oMath>
        <m:sSub>
          <m:sSubPr>
            <m:ctrlPr>
              <w:rPr>
                <w:rFonts w:ascii="Cambria Math" w:hAnsi="Cambria Math"/>
              </w:rPr>
            </m:ctrlPr>
          </m:sSubPr>
          <m:e>
            <m:r>
              <w:rPr>
                <w:rFonts w:hAnsi="Times New Roman"/>
              </w:rPr>
              <m:t>h</m:t>
            </m:r>
          </m:e>
          <m:sub>
            <m:r>
              <w:rPr>
                <w:rFonts w:hAnsi="Times New Roman"/>
              </w:rPr>
              <m:t>t-1</m:t>
            </m:r>
          </m:sub>
        </m:sSub>
        <m:r>
          <w:rPr>
            <w:rFonts w:hAnsi="Times New Roman"/>
          </w:rPr>
          <m:t>为</m:t>
        </m:r>
      </m:oMath>
      <w:r>
        <w:t>t-1</w:t>
      </w:r>
      <w:r>
        <w:t>时刻隐状态</w:t>
      </w:r>
      <w:r>
        <w:rPr>
          <w:rFonts w:hint="eastAsia"/>
        </w:rPr>
        <w:t>，</w:t>
      </w:r>
      <m:oMath>
        <m:sSub>
          <m:sSubPr>
            <m:ctrlPr>
              <w:rPr>
                <w:rFonts w:ascii="Cambria Math" w:hAnsi="Cambria Math"/>
              </w:rPr>
            </m:ctrlPr>
          </m:sSubPr>
          <m:e>
            <m:r>
              <w:rPr>
                <w:rFonts w:hAnsi="Times New Roman"/>
              </w:rPr>
              <m:t>C</m:t>
            </m:r>
          </m:e>
          <m:sub>
            <m:r>
              <w:rPr>
                <w:rFonts w:hAnsi="Times New Roman"/>
              </w:rPr>
              <m:t>t-1</m:t>
            </m:r>
          </m:sub>
        </m:sSub>
      </m:oMath>
      <w:r>
        <w:t>为</w:t>
      </w:r>
      <w:r>
        <w:t>t-1</w:t>
      </w:r>
      <w:r>
        <w:t>时刻细胞状态</w:t>
      </w:r>
      <w:r>
        <w:rPr>
          <w:rFonts w:hint="eastAsia"/>
        </w:rPr>
        <w:t>，</w:t>
      </w:r>
      <m:oMath>
        <m:sSub>
          <m:sSubPr>
            <m:ctrlPr>
              <w:rPr>
                <w:rFonts w:ascii="Cambria Math" w:hAnsi="Cambria Math"/>
              </w:rPr>
            </m:ctrlPr>
          </m:sSubPr>
          <m:e>
            <m:r>
              <w:rPr>
                <w:rFonts w:hAnsi="Times New Roman"/>
              </w:rPr>
              <m:t>W</m:t>
            </m:r>
          </m:e>
          <m:sub>
            <m:r>
              <w:rPr>
                <w:rFonts w:hAnsi="Times New Roman"/>
              </w:rPr>
              <m:t>f</m:t>
            </m:r>
          </m:sub>
        </m:sSub>
        <m:r>
          <w:rPr>
            <w:rFonts w:hAnsi="Times New Roman"/>
          </w:rPr>
          <m:t>、</m:t>
        </m:r>
        <m:sSub>
          <m:sSubPr>
            <m:ctrlPr>
              <w:rPr>
                <w:rFonts w:ascii="Cambria Math" w:hAnsi="Cambria Math"/>
              </w:rPr>
            </m:ctrlPr>
          </m:sSubPr>
          <m:e>
            <m:r>
              <w:rPr>
                <w:rFonts w:hAnsi="Times New Roman"/>
              </w:rPr>
              <m:t>W</m:t>
            </m:r>
          </m:e>
          <m:sub>
            <m:r>
              <w:rPr>
                <w:rFonts w:hAnsi="Times New Roman"/>
              </w:rPr>
              <m:t>i</m:t>
            </m:r>
          </m:sub>
        </m:sSub>
        <m:r>
          <w:rPr>
            <w:rFonts w:hAnsi="Times New Roman"/>
          </w:rPr>
          <m:t>、</m:t>
        </m:r>
        <m:sSub>
          <m:sSubPr>
            <m:ctrlPr>
              <w:rPr>
                <w:rFonts w:ascii="Cambria Math" w:hAnsi="Cambria Math"/>
              </w:rPr>
            </m:ctrlPr>
          </m:sSubPr>
          <m:e>
            <m:r>
              <w:rPr>
                <w:rFonts w:hAnsi="Times New Roman"/>
              </w:rPr>
              <m:t>W</m:t>
            </m:r>
          </m:e>
          <m:sub>
            <m:r>
              <w:rPr>
                <w:rFonts w:hAnsi="Times New Roman"/>
              </w:rPr>
              <m:t>C</m:t>
            </m:r>
          </m:sub>
        </m:sSub>
        <m:r>
          <w:rPr>
            <w:rFonts w:hAnsi="Times New Roman"/>
          </w:rPr>
          <m:t>、</m:t>
        </m:r>
        <m:sSub>
          <m:sSubPr>
            <m:ctrlPr>
              <w:rPr>
                <w:rFonts w:ascii="Cambria Math" w:hAnsi="Cambria Math"/>
              </w:rPr>
            </m:ctrlPr>
          </m:sSubPr>
          <m:e>
            <m:r>
              <w:rPr>
                <w:rFonts w:hAnsi="Times New Roman"/>
              </w:rPr>
              <m:t>W</m:t>
            </m:r>
          </m:e>
          <m:sub>
            <m:r>
              <w:rPr>
                <w:rFonts w:hAnsi="Times New Roman"/>
              </w:rPr>
              <m:t>o</m:t>
            </m:r>
          </m:sub>
        </m:sSub>
      </m:oMath>
      <w:r>
        <w:t>为权重矩阵</w:t>
      </w:r>
      <w:r>
        <w:rPr>
          <w:rFonts w:hint="eastAsia"/>
        </w:rPr>
        <w:t>，</w:t>
      </w:r>
      <m:oMath>
        <m:sSub>
          <m:sSubPr>
            <m:ctrlPr>
              <w:rPr>
                <w:rFonts w:ascii="Cambria Math" w:hAnsi="Cambria Math"/>
              </w:rPr>
            </m:ctrlPr>
          </m:sSubPr>
          <m:e>
            <m:r>
              <w:rPr>
                <w:rFonts w:hAnsi="Times New Roman"/>
              </w:rPr>
              <m:t>b</m:t>
            </m:r>
          </m:e>
          <m:sub>
            <m:r>
              <w:rPr>
                <w:rFonts w:hAnsi="Times New Roman"/>
              </w:rPr>
              <m:t>f</m:t>
            </m:r>
          </m:sub>
        </m:sSub>
        <m:r>
          <w:rPr>
            <w:rFonts w:hAnsi="Times New Roman"/>
          </w:rPr>
          <m:t>、</m:t>
        </m:r>
        <m:sSub>
          <m:sSubPr>
            <m:ctrlPr>
              <w:rPr>
                <w:rFonts w:ascii="Cambria Math" w:hAnsi="Cambria Math"/>
              </w:rPr>
            </m:ctrlPr>
          </m:sSubPr>
          <m:e>
            <m:r>
              <w:rPr>
                <w:rFonts w:hAnsi="Times New Roman"/>
              </w:rPr>
              <m:t>b</m:t>
            </m:r>
          </m:e>
          <m:sub>
            <m:r>
              <w:rPr>
                <w:rFonts w:hAnsi="Times New Roman"/>
              </w:rPr>
              <m:t>i</m:t>
            </m:r>
          </m:sub>
        </m:sSub>
        <m:r>
          <w:rPr>
            <w:rFonts w:hAnsi="Times New Roman"/>
          </w:rPr>
          <m:t>、</m:t>
        </m:r>
        <m:sSub>
          <m:sSubPr>
            <m:ctrlPr>
              <w:rPr>
                <w:rFonts w:ascii="Cambria Math" w:hAnsi="Cambria Math"/>
              </w:rPr>
            </m:ctrlPr>
          </m:sSubPr>
          <m:e>
            <m:r>
              <w:rPr>
                <w:rFonts w:hAnsi="Times New Roman"/>
              </w:rPr>
              <m:t>b</m:t>
            </m:r>
          </m:e>
          <m:sub>
            <m:r>
              <w:rPr>
                <w:rFonts w:hAnsi="Times New Roman"/>
              </w:rPr>
              <m:t>C</m:t>
            </m:r>
          </m:sub>
        </m:sSub>
        <m:r>
          <w:rPr>
            <w:rFonts w:hAnsi="Times New Roman"/>
          </w:rPr>
          <m:t>、</m:t>
        </m:r>
        <m:sSub>
          <m:sSubPr>
            <m:ctrlPr>
              <w:rPr>
                <w:rFonts w:ascii="Cambria Math" w:hAnsi="Cambria Math"/>
              </w:rPr>
            </m:ctrlPr>
          </m:sSubPr>
          <m:e>
            <m:r>
              <w:rPr>
                <w:rFonts w:hAnsi="Times New Roman"/>
              </w:rPr>
              <m:t>b</m:t>
            </m:r>
          </m:e>
          <m:sub>
            <m:r>
              <w:rPr>
                <w:rFonts w:hAnsi="Times New Roman"/>
              </w:rPr>
              <m:t>o</m:t>
            </m:r>
          </m:sub>
        </m:sSub>
      </m:oMath>
      <w:r>
        <w:t>为偏置项</w:t>
      </w:r>
      <w:r>
        <w:rPr>
          <w:rFonts w:hint="eastAsia"/>
        </w:rPr>
        <w:t>，</w:t>
      </w:r>
      <m:oMath>
        <m:r>
          <w:rPr>
            <w:rFonts w:hAnsi="Times New Roman"/>
          </w:rPr>
          <m:t>σ</m:t>
        </m:r>
        <m:r>
          <w:rPr>
            <w:rFonts w:hAnsi="Times New Roman"/>
          </w:rPr>
          <m:t>为</m:t>
        </m:r>
        <m:r>
          <w:rPr>
            <w:rFonts w:hAnsi="Times New Roman"/>
          </w:rPr>
          <m:t>Sigmoid</m:t>
        </m:r>
      </m:oMath>
      <w:r>
        <w:t>激活函数</w:t>
      </w:r>
      <w:r>
        <w:rPr>
          <w:rFonts w:hint="eastAsia"/>
        </w:rPr>
        <w:t>，</w:t>
      </w:r>
      <m:oMath>
        <m:r>
          <w:rPr>
            <w:rFonts w:hAnsi="Times New Roman"/>
          </w:rPr>
          <m:t>⊙</m:t>
        </m:r>
      </m:oMath>
      <w:r>
        <w:t>为哈达玛积。</w:t>
      </w:r>
    </w:p>
    <w:p w14:paraId="0C461F21" w14:textId="77777777" w:rsidR="004B3261" w:rsidRDefault="00000000">
      <w:pPr>
        <w:pStyle w:val="3"/>
        <w:spacing w:before="156" w:after="156"/>
      </w:pPr>
      <w:bookmarkStart w:id="19" w:name="_Toc7772"/>
      <w:bookmarkStart w:id="20" w:name="_Toc19125"/>
      <w:bookmarkStart w:id="21" w:name="_Toc18224"/>
      <w:r>
        <w:rPr>
          <w:rFonts w:hint="eastAsia"/>
        </w:rPr>
        <w:t>4.</w:t>
      </w:r>
      <w:r>
        <w:t>模型输出与双重验证逻辑</w:t>
      </w:r>
      <w:bookmarkEnd w:id="19"/>
      <w:bookmarkEnd w:id="20"/>
      <w:bookmarkEnd w:id="21"/>
    </w:p>
    <w:p w14:paraId="7924E0D1" w14:textId="77777777" w:rsidR="004B3261" w:rsidRDefault="00000000">
      <w:pPr>
        <w:pStyle w:val="a3"/>
      </w:pPr>
      <w:r>
        <w:t>LSTM</w:t>
      </w:r>
      <w:r>
        <w:t>模型最终预测输出公式为：</w:t>
      </w:r>
    </w:p>
    <w:p w14:paraId="16D1BC19" w14:textId="77777777" w:rsidR="004B3261" w:rsidRDefault="00000000">
      <w:pPr>
        <w:pStyle w:val="a3"/>
      </w:pPr>
      <m:oMathPara>
        <m:oMath>
          <m:sSub>
            <m:sSubPr>
              <m:ctrlPr>
                <w:rPr>
                  <w:rFonts w:ascii="Cambria Math" w:hAnsi="Cambria Math"/>
                </w:rPr>
              </m:ctrlPr>
            </m:sSubPr>
            <m:e>
              <m:acc>
                <m:accPr>
                  <m:ctrlPr>
                    <w:rPr>
                      <w:rFonts w:ascii="Cambria Math" w:hAnsi="Cambria Math"/>
                    </w:rPr>
                  </m:ctrlPr>
                </m:accPr>
                <m:e>
                  <m:r>
                    <w:rPr>
                      <w:rFonts w:hAnsi="Times New Roman"/>
                    </w:rPr>
                    <m:t>y</m:t>
                  </m:r>
                </m:e>
              </m:acc>
            </m:e>
            <m:sub>
              <m:r>
                <w:rPr>
                  <w:rFonts w:hAnsi="Times New Roman"/>
                </w:rPr>
                <m:t>t</m:t>
              </m:r>
            </m:sub>
          </m:sSub>
          <m:r>
            <w:rPr>
              <w:rFonts w:hAnsi="Times New Roman"/>
            </w:rPr>
            <m:t>=W⋅</m:t>
          </m:r>
          <m:sSub>
            <m:sSubPr>
              <m:ctrlPr>
                <w:rPr>
                  <w:rFonts w:ascii="Cambria Math" w:hAnsi="Cambria Math"/>
                </w:rPr>
              </m:ctrlPr>
            </m:sSubPr>
            <m:e>
              <m:r>
                <w:rPr>
                  <w:rFonts w:hAnsi="Times New Roman"/>
                </w:rPr>
                <m:t>h</m:t>
              </m:r>
            </m:e>
            <m:sub>
              <m:r>
                <w:rPr>
                  <w:rFonts w:hAnsi="Times New Roman"/>
                </w:rPr>
                <m:t>t</m:t>
              </m:r>
            </m:sub>
          </m:sSub>
          <m:r>
            <w:rPr>
              <w:rFonts w:hAnsi="Times New Roman"/>
            </w:rPr>
            <m:t>+b</m:t>
          </m:r>
        </m:oMath>
      </m:oMathPara>
    </w:p>
    <w:p w14:paraId="0729BC77" w14:textId="77777777" w:rsidR="004B3261" w:rsidRDefault="00000000">
      <w:pPr>
        <w:pStyle w:val="a3"/>
      </w:pPr>
      <w:r>
        <w:rPr>
          <w:rFonts w:hint="eastAsia"/>
        </w:rPr>
        <w:t>其中，</w:t>
      </w:r>
      <m:oMath>
        <m:sSub>
          <m:sSubPr>
            <m:ctrlPr>
              <w:rPr>
                <w:rFonts w:ascii="Cambria Math" w:hAnsi="Cambria Math"/>
              </w:rPr>
            </m:ctrlPr>
          </m:sSubPr>
          <m:e>
            <m:acc>
              <m:accPr>
                <m:ctrlPr>
                  <w:rPr>
                    <w:rFonts w:ascii="Cambria Math" w:hAnsi="Cambria Math"/>
                  </w:rPr>
                </m:ctrlPr>
              </m:accPr>
              <m:e>
                <m:r>
                  <w:rPr>
                    <w:rFonts w:hAnsi="Times New Roman"/>
                  </w:rPr>
                  <m:t>y</m:t>
                </m:r>
              </m:e>
            </m:acc>
          </m:e>
          <m:sub>
            <m:r>
              <w:rPr>
                <w:rFonts w:hAnsi="Times New Roman"/>
              </w:rPr>
              <m:t>t</m:t>
            </m:r>
          </m:sub>
        </m:sSub>
      </m:oMath>
      <w:r>
        <w:t>为</w:t>
      </w:r>
      <w:r>
        <w:t>t</w:t>
      </w:r>
      <w:r>
        <w:t>时刻模型预测值</w:t>
      </w:r>
      <w:r>
        <w:rPr>
          <w:rFonts w:hint="eastAsia"/>
        </w:rPr>
        <w:t>，</w:t>
      </w:r>
      <m:oMath>
        <m:r>
          <w:rPr>
            <w:rFonts w:hAnsi="Times New Roman"/>
          </w:rPr>
          <m:t>W</m:t>
        </m:r>
        <m:r>
          <w:rPr>
            <w:rFonts w:hAnsi="Times New Roman"/>
          </w:rPr>
          <m:t>、</m:t>
        </m:r>
        <m:r>
          <w:rPr>
            <w:rFonts w:hAnsi="Times New Roman"/>
          </w:rPr>
          <m:t>b</m:t>
        </m:r>
      </m:oMath>
      <w:r>
        <w:t>分别为输出层权重与偏置项。</w:t>
      </w:r>
    </w:p>
    <w:p w14:paraId="672FC93D" w14:textId="77777777" w:rsidR="004B3261" w:rsidRDefault="00000000">
      <w:pPr>
        <w:pStyle w:val="a3"/>
      </w:pPr>
      <w:r>
        <w:t>两类模型互为补充、互为验证，提升了研究的准确性、可靠性、科学性。</w:t>
      </w:r>
    </w:p>
    <w:p w14:paraId="2F482937" w14:textId="77777777" w:rsidR="004B3261" w:rsidRDefault="00000000">
      <w:pPr>
        <w:pStyle w:val="2"/>
        <w:keepNext/>
        <w:spacing w:before="156" w:after="156"/>
      </w:pPr>
      <w:r>
        <w:rPr>
          <w:rFonts w:hint="eastAsia"/>
        </w:rPr>
        <w:t>（四）</w:t>
      </w:r>
      <w:r>
        <w:t>模型评价指标</w:t>
      </w:r>
      <w:bookmarkEnd w:id="16"/>
      <w:bookmarkEnd w:id="17"/>
      <w:bookmarkEnd w:id="18"/>
    </w:p>
    <w:p w14:paraId="7E61E6B6" w14:textId="77777777" w:rsidR="004B3261" w:rsidRDefault="00000000">
      <w:pPr>
        <w:pStyle w:val="a3"/>
      </w:pPr>
      <w:r>
        <w:t>为了更科学</w:t>
      </w:r>
      <w:r>
        <w:rPr>
          <w:rFonts w:hint="eastAsia"/>
        </w:rPr>
        <w:t>地</w:t>
      </w:r>
      <w:r>
        <w:t>检验</w:t>
      </w:r>
      <w:r>
        <w:t>XGboost-SHAP</w:t>
      </w:r>
      <w:r>
        <w:t>模型与</w:t>
      </w:r>
      <w:r>
        <w:t>LSTM</w:t>
      </w:r>
      <w:r>
        <w:t>模型的预测准确性</w:t>
      </w:r>
      <w:r>
        <w:rPr>
          <w:rFonts w:hint="eastAsia"/>
        </w:rPr>
        <w:t>和</w:t>
      </w:r>
      <w:r>
        <w:t>拟合效果，本文选取了两大指标评价模型的拟合效果与离散程度两大方面，各指标计算公式如下：</w:t>
      </w:r>
    </w:p>
    <w:p w14:paraId="0CDCDC1E" w14:textId="77777777" w:rsidR="004B3261" w:rsidRDefault="00000000">
      <w:pPr>
        <w:pStyle w:val="3"/>
        <w:spacing w:before="156" w:after="156"/>
      </w:pPr>
      <w:bookmarkStart w:id="22" w:name="_Toc7857"/>
      <w:bookmarkStart w:id="23" w:name="_Toc22600"/>
      <w:bookmarkStart w:id="24" w:name="_Toc25675"/>
      <w:r>
        <w:rPr>
          <w:rFonts w:hint="eastAsia"/>
        </w:rPr>
        <w:t>1.</w:t>
      </w:r>
      <w:r>
        <w:t>决定系数</w:t>
      </w:r>
      <m:oMath>
        <m:sSup>
          <m:sSupPr>
            <m:ctrlPr>
              <w:rPr>
                <w:rFonts w:ascii="Cambria Math" w:hAnsi="Cambria Math"/>
              </w:rPr>
            </m:ctrlPr>
          </m:sSupPr>
          <m:e>
            <m:r>
              <m:rPr>
                <m:sty m:val="b"/>
              </m:rPr>
              <m:t>R</m:t>
            </m:r>
          </m:e>
          <m:sup>
            <m:r>
              <m:rPr>
                <m:sty m:val="b"/>
              </m:rPr>
              <m:t>2</m:t>
            </m:r>
          </m:sup>
        </m:sSup>
      </m:oMath>
      <w:bookmarkEnd w:id="22"/>
      <w:bookmarkEnd w:id="23"/>
      <w:bookmarkEnd w:id="24"/>
    </w:p>
    <w:p w14:paraId="0FF51217" w14:textId="77777777" w:rsidR="004B3261" w:rsidRDefault="00000000">
      <w:pPr>
        <w:pStyle w:val="a3"/>
      </w:pPr>
      <w:r>
        <w:rPr>
          <w:rFonts w:hint="eastAsia"/>
        </w:rPr>
        <w:t>该指标是评估模型性能的核心参数，反映自变量对因变量离散程度的解释能力。当</w:t>
      </w:r>
      <m:oMath>
        <m:sSup>
          <m:sSupPr>
            <m:ctrlPr>
              <w:rPr>
                <w:rFonts w:ascii="Cambria Math" w:hAnsi="Cambria Math" w:hint="eastAsia"/>
              </w:rPr>
            </m:ctrlPr>
          </m:sSupPr>
          <m:e>
            <m:r>
              <m:rPr>
                <m:sty m:val="p"/>
              </m:rPr>
              <w:rPr>
                <w:rFonts w:hAnsi="Times New Roman" w:hint="eastAsia"/>
              </w:rPr>
              <m:t>R</m:t>
            </m:r>
          </m:e>
          <m:sup>
            <m:r>
              <m:rPr>
                <m:sty m:val="p"/>
              </m:rPr>
              <w:rPr>
                <w:rFonts w:hAnsi="Times New Roman" w:hint="eastAsia"/>
              </w:rPr>
              <m:t>2</m:t>
            </m:r>
          </m:sup>
        </m:sSup>
      </m:oMath>
      <w:r>
        <w:t>接近</w:t>
      </w:r>
      <w:r>
        <w:t>1</w:t>
      </w:r>
      <w:r>
        <w:t>时，说明模型能够解释绝大部分的样本方差，拟合效果较好：</w:t>
      </w:r>
    </w:p>
    <w:p w14:paraId="47C3AFC2" w14:textId="77777777" w:rsidR="004B3261" w:rsidRDefault="00000000">
      <w:pPr>
        <w:pStyle w:val="a3"/>
      </w:pPr>
      <m:oMathPara>
        <m:oMath>
          <m:sSup>
            <m:sSupPr>
              <m:ctrlPr>
                <w:rPr>
                  <w:rFonts w:ascii="Cambria Math" w:hAnsi="Cambria Math"/>
                </w:rPr>
              </m:ctrlPr>
            </m:sSupPr>
            <m:e>
              <m:r>
                <w:rPr>
                  <w:rFonts w:hAnsi="Times New Roman"/>
                </w:rPr>
                <m:t>R</m:t>
              </m:r>
            </m:e>
            <m:sup>
              <m:r>
                <w:rPr>
                  <w:rFonts w:hAnsi="Times New Roman"/>
                </w:rPr>
                <m:t>2</m:t>
              </m:r>
            </m:sup>
          </m:sSup>
          <m:r>
            <w:rPr>
              <w:rFonts w:hAnsi="Times New Roman"/>
            </w:rPr>
            <m:t>=1-</m:t>
          </m:r>
          <m:f>
            <m:fPr>
              <m:ctrlPr>
                <w:rPr>
                  <w:rFonts w:ascii="Cambria Math" w:hAnsi="Cambria Math"/>
                </w:rPr>
              </m:ctrlPr>
            </m:fPr>
            <m:num>
              <m:nary>
                <m:naryPr>
                  <m:chr m:val="∑"/>
                  <m:limLoc m:val="subSup"/>
                  <m:ctrlPr>
                    <w:rPr>
                      <w:rFonts w:ascii="Cambria Math" w:hAnsi="Cambria Math"/>
                    </w:rPr>
                  </m:ctrlPr>
                </m:naryPr>
                <m:sub>
                  <m:r>
                    <w:rPr>
                      <w:rFonts w:hAnsi="Times New Roman"/>
                    </w:rPr>
                    <m:t>i=1</m:t>
                  </m:r>
                </m:sub>
                <m:sup>
                  <m:r>
                    <w:rPr>
                      <w:rFonts w:hAnsi="Times New Roman"/>
                    </w:rPr>
                    <m:t>n</m:t>
                  </m:r>
                </m:sup>
                <m:e>
                  <m:r>
                    <w:rPr>
                      <w:rFonts w:hAnsi="Times New Roman"/>
                    </w:rPr>
                    <m:t>(</m:t>
                  </m:r>
                </m:e>
              </m:nary>
              <m:sSub>
                <m:sSubPr>
                  <m:ctrlPr>
                    <w:rPr>
                      <w:rFonts w:ascii="Cambria Math" w:hAnsi="Cambria Math"/>
                    </w:rPr>
                  </m:ctrlPr>
                </m:sSubPr>
                <m:e>
                  <m:r>
                    <w:rPr>
                      <w:rFonts w:hAnsi="Times New Roman"/>
                    </w:rPr>
                    <m:t>y</m:t>
                  </m:r>
                </m:e>
                <m:sub>
                  <m:r>
                    <w:rPr>
                      <w:rFonts w:hAnsi="Times New Roman"/>
                    </w:rPr>
                    <m:t>i</m:t>
                  </m:r>
                </m:sub>
              </m:sSub>
              <m:r>
                <w:rPr>
                  <w:rFonts w:hAnsi="Times New Roman"/>
                </w:rPr>
                <m:t>-</m:t>
              </m:r>
              <m:sSub>
                <m:sSubPr>
                  <m:ctrlPr>
                    <w:rPr>
                      <w:rFonts w:ascii="Cambria Math" w:hAnsi="Cambria Math"/>
                    </w:rPr>
                  </m:ctrlPr>
                </m:sSubPr>
                <m:e>
                  <m:acc>
                    <m:accPr>
                      <m:ctrlPr>
                        <w:rPr>
                          <w:rFonts w:ascii="Cambria Math" w:hAnsi="Cambria Math"/>
                        </w:rPr>
                      </m:ctrlPr>
                    </m:accPr>
                    <m:e>
                      <m:r>
                        <w:rPr>
                          <w:rFonts w:hAnsi="Times New Roman"/>
                        </w:rPr>
                        <m:t>y</m:t>
                      </m:r>
                    </m:e>
                  </m:acc>
                </m:e>
                <m:sub>
                  <m:r>
                    <w:rPr>
                      <w:rFonts w:hAnsi="Times New Roman"/>
                    </w:rPr>
                    <m:t>i</m:t>
                  </m:r>
                </m:sub>
              </m:sSub>
              <m:sSup>
                <m:sSupPr>
                  <m:ctrlPr>
                    <w:rPr>
                      <w:rFonts w:ascii="Cambria Math" w:hAnsi="Cambria Math"/>
                    </w:rPr>
                  </m:ctrlPr>
                </m:sSupPr>
                <m:e>
                  <m:r>
                    <w:rPr>
                      <w:rFonts w:hAnsi="Times New Roman"/>
                    </w:rPr>
                    <m:t>)</m:t>
                  </m:r>
                </m:e>
                <m:sup>
                  <m:r>
                    <w:rPr>
                      <w:rFonts w:hAnsi="Times New Roman"/>
                    </w:rPr>
                    <m:t>2</m:t>
                  </m:r>
                </m:sup>
              </m:sSup>
            </m:num>
            <m:den>
              <m:nary>
                <m:naryPr>
                  <m:chr m:val="∑"/>
                  <m:limLoc m:val="subSup"/>
                  <m:ctrlPr>
                    <w:rPr>
                      <w:rFonts w:ascii="Cambria Math" w:hAnsi="Cambria Math"/>
                    </w:rPr>
                  </m:ctrlPr>
                </m:naryPr>
                <m:sub>
                  <m:r>
                    <w:rPr>
                      <w:rFonts w:hAnsi="Times New Roman"/>
                    </w:rPr>
                    <m:t>i=1</m:t>
                  </m:r>
                </m:sub>
                <m:sup>
                  <m:r>
                    <w:rPr>
                      <w:rFonts w:hAnsi="Times New Roman"/>
                    </w:rPr>
                    <m:t>n</m:t>
                  </m:r>
                </m:sup>
                <m:e>
                  <m:r>
                    <w:rPr>
                      <w:rFonts w:hAnsi="Times New Roman"/>
                    </w:rPr>
                    <m:t>(</m:t>
                  </m:r>
                </m:e>
              </m:nary>
              <m:sSub>
                <m:sSubPr>
                  <m:ctrlPr>
                    <w:rPr>
                      <w:rFonts w:ascii="Cambria Math" w:hAnsi="Cambria Math"/>
                    </w:rPr>
                  </m:ctrlPr>
                </m:sSubPr>
                <m:e>
                  <m:r>
                    <w:rPr>
                      <w:rFonts w:hAnsi="Times New Roman"/>
                    </w:rPr>
                    <m:t>y</m:t>
                  </m:r>
                </m:e>
                <m:sub>
                  <m:r>
                    <w:rPr>
                      <w:rFonts w:hAnsi="Times New Roman"/>
                    </w:rPr>
                    <m:t>i</m:t>
                  </m:r>
                </m:sub>
              </m:sSub>
              <m:r>
                <w:rPr>
                  <w:rFonts w:hAnsi="Times New Roman"/>
                </w:rPr>
                <m:t>-</m:t>
              </m:r>
              <m:acc>
                <m:accPr>
                  <m:chr m:val="̄"/>
                  <m:ctrlPr>
                    <w:rPr>
                      <w:rFonts w:ascii="Cambria Math" w:hAnsi="Cambria Math"/>
                    </w:rPr>
                  </m:ctrlPr>
                </m:accPr>
                <m:e>
                  <m:r>
                    <w:rPr>
                      <w:rFonts w:hAnsi="Times New Roman"/>
                    </w:rPr>
                    <m:t>y</m:t>
                  </m:r>
                </m:e>
              </m:acc>
              <m:sSup>
                <m:sSupPr>
                  <m:ctrlPr>
                    <w:rPr>
                      <w:rFonts w:ascii="Cambria Math" w:hAnsi="Cambria Math"/>
                    </w:rPr>
                  </m:ctrlPr>
                </m:sSupPr>
                <m:e>
                  <m:r>
                    <w:rPr>
                      <w:rFonts w:hAnsi="Times New Roman"/>
                    </w:rPr>
                    <m:t>)</m:t>
                  </m:r>
                </m:e>
                <m:sup>
                  <m:r>
                    <w:rPr>
                      <w:rFonts w:hAnsi="Times New Roman"/>
                    </w:rPr>
                    <m:t>2</m:t>
                  </m:r>
                </m:sup>
              </m:sSup>
            </m:den>
          </m:f>
        </m:oMath>
      </m:oMathPara>
    </w:p>
    <w:p w14:paraId="393A702E" w14:textId="77777777" w:rsidR="004B3261" w:rsidRDefault="00000000">
      <w:pPr>
        <w:pStyle w:val="a3"/>
      </w:pPr>
      <w:r>
        <w:rPr>
          <w:rFonts w:hint="eastAsia"/>
        </w:rPr>
        <w:lastRenderedPageBreak/>
        <w:t>其中，</w:t>
      </w:r>
      <m:oMath>
        <m:sSub>
          <m:sSubPr>
            <m:ctrlPr>
              <w:rPr>
                <w:rFonts w:ascii="Cambria Math" w:hAnsi="Cambria Math"/>
              </w:rPr>
            </m:ctrlPr>
          </m:sSubPr>
          <m:e>
            <m:r>
              <w:rPr>
                <w:rFonts w:hAnsi="Times New Roman"/>
              </w:rPr>
              <m:t>y</m:t>
            </m:r>
          </m:e>
          <m:sub>
            <m:r>
              <w:rPr>
                <w:rFonts w:hAnsi="Times New Roman"/>
              </w:rPr>
              <m:t>i</m:t>
            </m:r>
          </m:sub>
        </m:sSub>
      </m:oMath>
      <w:r>
        <w:t>为真实值</w:t>
      </w:r>
      <w:r>
        <w:rPr>
          <w:rFonts w:hint="eastAsia"/>
        </w:rPr>
        <w:t>，</w:t>
      </w:r>
      <m:oMath>
        <m:sSub>
          <m:sSubPr>
            <m:ctrlPr>
              <w:rPr>
                <w:rFonts w:ascii="Cambria Math" w:hAnsi="Cambria Math"/>
              </w:rPr>
            </m:ctrlPr>
          </m:sSubPr>
          <m:e>
            <m:acc>
              <m:accPr>
                <m:ctrlPr>
                  <w:rPr>
                    <w:rFonts w:ascii="Cambria Math" w:hAnsi="Cambria Math"/>
                  </w:rPr>
                </m:ctrlPr>
              </m:accPr>
              <m:e>
                <m:r>
                  <w:rPr>
                    <w:rFonts w:hAnsi="Times New Roman"/>
                  </w:rPr>
                  <m:t>y</m:t>
                </m:r>
              </m:e>
            </m:acc>
          </m:e>
          <m:sub>
            <m:r>
              <w:rPr>
                <w:rFonts w:hAnsi="Times New Roman"/>
              </w:rPr>
              <m:t>i</m:t>
            </m:r>
          </m:sub>
        </m:sSub>
      </m:oMath>
      <w:r>
        <w:t>为模型预测值</w:t>
      </w:r>
      <w:r>
        <w:rPr>
          <w:rFonts w:hint="eastAsia"/>
        </w:rPr>
        <w:t>，</w:t>
      </w:r>
      <m:oMath>
        <m:acc>
          <m:accPr>
            <m:chr m:val="̄"/>
            <m:ctrlPr>
              <w:rPr>
                <w:rFonts w:ascii="Cambria Math" w:hAnsi="Cambria Math"/>
              </w:rPr>
            </m:ctrlPr>
          </m:accPr>
          <m:e>
            <m:r>
              <w:rPr>
                <w:rFonts w:hAnsi="Times New Roman"/>
              </w:rPr>
              <m:t>y</m:t>
            </m:r>
          </m:e>
        </m:acc>
      </m:oMath>
      <w:r>
        <w:t>为真实值平均值</w:t>
      </w:r>
      <w:r>
        <w:rPr>
          <w:rFonts w:hint="eastAsia"/>
        </w:rPr>
        <w:t>，</w:t>
      </w:r>
      <m:oMath>
        <m:r>
          <w:rPr>
            <w:rFonts w:hAnsi="Times New Roman"/>
          </w:rPr>
          <m:t>n</m:t>
        </m:r>
      </m:oMath>
      <w:r>
        <w:t>为样本总量。</w:t>
      </w:r>
    </w:p>
    <w:p w14:paraId="11EE7239" w14:textId="77777777" w:rsidR="004B3261" w:rsidRDefault="00000000">
      <w:pPr>
        <w:pStyle w:val="3"/>
        <w:spacing w:before="156" w:after="156"/>
      </w:pPr>
      <w:bookmarkStart w:id="25" w:name="_Toc2484"/>
      <w:bookmarkStart w:id="26" w:name="_Toc15925"/>
      <w:bookmarkStart w:id="27" w:name="_Toc27075"/>
      <w:r>
        <w:rPr>
          <w:rFonts w:hint="eastAsia"/>
        </w:rPr>
        <w:t>2.</w:t>
      </w:r>
      <w:r>
        <w:t>均方根误差</w:t>
      </w:r>
      <w:r>
        <w:t>RMSE</w:t>
      </w:r>
      <w:bookmarkEnd w:id="25"/>
      <w:bookmarkEnd w:id="26"/>
      <w:bookmarkEnd w:id="27"/>
    </w:p>
    <w:p w14:paraId="03A0C290" w14:textId="77777777" w:rsidR="004B3261" w:rsidRDefault="00000000">
      <w:pPr>
        <w:rPr>
          <w:rFonts w:ascii="Times New Roman" w:eastAsia="宋体" w:hAnsi="Calibri" w:cs="Times New Roman"/>
        </w:rPr>
      </w:pPr>
      <w:r>
        <w:rPr>
          <w:rFonts w:cs="Times New Roman" w:hint="eastAsia"/>
        </w:rPr>
        <w:t>该指标用来衡量模型预测值和实际观测值的差距。</w:t>
      </w:r>
      <w:r>
        <w:rPr>
          <w:rFonts w:cs="Times New Roman" w:hint="eastAsia"/>
        </w:rPr>
        <w:t>RMSE</w:t>
      </w:r>
      <w:r>
        <w:rPr>
          <w:rFonts w:cs="Times New Roman" w:hint="eastAsia"/>
        </w:rPr>
        <w:t>数值越小，就代表模型对实际产量的刻画越准确，拟合性能越高</w:t>
      </w:r>
      <w:r>
        <w:rPr>
          <w:rFonts w:ascii="Times New Roman" w:eastAsia="宋体" w:hAnsi="Calibri" w:cs="Times New Roman"/>
        </w:rPr>
        <w:t>：</w:t>
      </w:r>
    </w:p>
    <w:p w14:paraId="4954B739" w14:textId="77777777" w:rsidR="004B3261" w:rsidRDefault="00000000">
      <w:pPr>
        <w:pStyle w:val="a3"/>
      </w:pPr>
      <m:oMathPara>
        <m:oMath>
          <m:r>
            <w:rPr>
              <w:rFonts w:hAnsi="Times New Roman"/>
            </w:rPr>
            <m:t>RMSE=</m:t>
          </m:r>
          <m:rad>
            <m:radPr>
              <m:degHide m:val="1"/>
              <m:ctrlPr>
                <w:rPr>
                  <w:rFonts w:ascii="Cambria Math" w:hAnsi="Cambria Math"/>
                </w:rPr>
              </m:ctrlPr>
            </m:radPr>
            <m:deg/>
            <m:e>
              <m:f>
                <m:fPr>
                  <m:ctrlPr>
                    <w:rPr>
                      <w:rFonts w:ascii="Cambria Math" w:hAnsi="Cambria Math"/>
                    </w:rPr>
                  </m:ctrlPr>
                </m:fPr>
                <m:num>
                  <m:r>
                    <w:rPr>
                      <w:rFonts w:hAnsi="Times New Roman"/>
                    </w:rPr>
                    <m:t>1</m:t>
                  </m:r>
                </m:num>
                <m:den>
                  <m:r>
                    <w:rPr>
                      <w:rFonts w:hAnsi="Times New Roman"/>
                    </w:rPr>
                    <m:t>n</m:t>
                  </m:r>
                </m:den>
              </m:f>
              <m:nary>
                <m:naryPr>
                  <m:chr m:val="∑"/>
                  <m:limLoc m:val="subSup"/>
                  <m:ctrlPr>
                    <w:rPr>
                      <w:rFonts w:ascii="Cambria Math" w:hAnsi="Cambria Math"/>
                    </w:rPr>
                  </m:ctrlPr>
                </m:naryPr>
                <m:sub>
                  <m:r>
                    <w:rPr>
                      <w:rFonts w:hAnsi="Times New Roman"/>
                    </w:rPr>
                    <m:t>i=1</m:t>
                  </m:r>
                </m:sub>
                <m:sup>
                  <m:r>
                    <w:rPr>
                      <w:rFonts w:hAnsi="Times New Roman"/>
                    </w:rPr>
                    <m:t>n</m:t>
                  </m:r>
                </m:sup>
                <m:e>
                  <m:r>
                    <w:rPr>
                      <w:rFonts w:hAnsi="Times New Roman"/>
                    </w:rPr>
                    <m:t>(</m:t>
                  </m:r>
                </m:e>
              </m:nary>
              <m:sSub>
                <m:sSubPr>
                  <m:ctrlPr>
                    <w:rPr>
                      <w:rFonts w:ascii="Cambria Math" w:hAnsi="Cambria Math"/>
                    </w:rPr>
                  </m:ctrlPr>
                </m:sSubPr>
                <m:e>
                  <m:r>
                    <w:rPr>
                      <w:rFonts w:hAnsi="Times New Roman"/>
                    </w:rPr>
                    <m:t>y</m:t>
                  </m:r>
                </m:e>
                <m:sub>
                  <m:r>
                    <w:rPr>
                      <w:rFonts w:hAnsi="Times New Roman"/>
                    </w:rPr>
                    <m:t>i</m:t>
                  </m:r>
                </m:sub>
              </m:sSub>
              <m:r>
                <w:rPr>
                  <w:rFonts w:hAnsi="Times New Roman"/>
                </w:rPr>
                <m:t>-</m:t>
              </m:r>
              <m:sSub>
                <m:sSubPr>
                  <m:ctrlPr>
                    <w:rPr>
                      <w:rFonts w:ascii="Cambria Math" w:hAnsi="Cambria Math"/>
                    </w:rPr>
                  </m:ctrlPr>
                </m:sSubPr>
                <m:e>
                  <m:acc>
                    <m:accPr>
                      <m:ctrlPr>
                        <w:rPr>
                          <w:rFonts w:ascii="Cambria Math" w:hAnsi="Cambria Math"/>
                        </w:rPr>
                      </m:ctrlPr>
                    </m:accPr>
                    <m:e>
                      <m:r>
                        <w:rPr>
                          <w:rFonts w:hAnsi="Times New Roman"/>
                        </w:rPr>
                        <m:t>y</m:t>
                      </m:r>
                    </m:e>
                  </m:acc>
                </m:e>
                <m:sub>
                  <m:r>
                    <w:rPr>
                      <w:rFonts w:hAnsi="Times New Roman"/>
                    </w:rPr>
                    <m:t>i</m:t>
                  </m:r>
                </m:sub>
              </m:sSub>
              <m:sSup>
                <m:sSupPr>
                  <m:ctrlPr>
                    <w:rPr>
                      <w:rFonts w:ascii="Cambria Math" w:hAnsi="Cambria Math"/>
                    </w:rPr>
                  </m:ctrlPr>
                </m:sSupPr>
                <m:e>
                  <m:r>
                    <w:rPr>
                      <w:rFonts w:hAnsi="Times New Roman"/>
                    </w:rPr>
                    <m:t>)</m:t>
                  </m:r>
                </m:e>
                <m:sup>
                  <m:r>
                    <w:rPr>
                      <w:rFonts w:hAnsi="Times New Roman"/>
                    </w:rPr>
                    <m:t>2</m:t>
                  </m:r>
                </m:sup>
              </m:sSup>
            </m:e>
          </m:rad>
        </m:oMath>
      </m:oMathPara>
    </w:p>
    <w:p w14:paraId="5205E64A" w14:textId="77777777" w:rsidR="004B3261" w:rsidRDefault="00000000">
      <w:pPr>
        <w:pStyle w:val="a3"/>
      </w:pPr>
      <w:r>
        <w:rPr>
          <w:rFonts w:hint="eastAsia"/>
        </w:rPr>
        <w:t>其中，</w:t>
      </w:r>
      <m:oMath>
        <m:sSub>
          <m:sSubPr>
            <m:ctrlPr>
              <w:rPr>
                <w:rFonts w:ascii="Cambria Math" w:hAnsi="Cambria Math"/>
              </w:rPr>
            </m:ctrlPr>
          </m:sSubPr>
          <m:e>
            <m:r>
              <w:rPr>
                <w:rFonts w:hAnsi="Times New Roman"/>
              </w:rPr>
              <m:t>y</m:t>
            </m:r>
          </m:e>
          <m:sub>
            <m:r>
              <w:rPr>
                <w:rFonts w:hAnsi="Times New Roman"/>
              </w:rPr>
              <m:t>i</m:t>
            </m:r>
          </m:sub>
        </m:sSub>
      </m:oMath>
      <w:r>
        <w:t>为真实值</w:t>
      </w:r>
      <w:r>
        <w:rPr>
          <w:rFonts w:hint="eastAsia"/>
        </w:rPr>
        <w:t>，</w:t>
      </w:r>
      <m:oMath>
        <m:sSub>
          <m:sSubPr>
            <m:ctrlPr>
              <w:rPr>
                <w:rFonts w:ascii="Cambria Math" w:hAnsi="Cambria Math"/>
              </w:rPr>
            </m:ctrlPr>
          </m:sSubPr>
          <m:e>
            <m:acc>
              <m:accPr>
                <m:ctrlPr>
                  <w:rPr>
                    <w:rFonts w:ascii="Cambria Math" w:hAnsi="Cambria Math"/>
                  </w:rPr>
                </m:ctrlPr>
              </m:accPr>
              <m:e>
                <m:r>
                  <w:rPr>
                    <w:rFonts w:hAnsi="Times New Roman"/>
                  </w:rPr>
                  <m:t>y</m:t>
                </m:r>
              </m:e>
            </m:acc>
          </m:e>
          <m:sub>
            <m:r>
              <w:rPr>
                <w:rFonts w:hAnsi="Times New Roman"/>
              </w:rPr>
              <m:t>i</m:t>
            </m:r>
          </m:sub>
        </m:sSub>
      </m:oMath>
      <w:r>
        <w:t>为模型预测值</w:t>
      </w:r>
      <w:r>
        <w:rPr>
          <w:rFonts w:hint="eastAsia"/>
        </w:rPr>
        <w:t>，</w:t>
      </w:r>
      <m:oMath>
        <m:acc>
          <m:accPr>
            <m:chr m:val="̄"/>
            <m:ctrlPr>
              <w:rPr>
                <w:rFonts w:ascii="Cambria Math" w:hAnsi="Cambria Math"/>
              </w:rPr>
            </m:ctrlPr>
          </m:accPr>
          <m:e>
            <m:r>
              <w:rPr>
                <w:rFonts w:hAnsi="Times New Roman"/>
              </w:rPr>
              <m:t>y</m:t>
            </m:r>
          </m:e>
        </m:acc>
      </m:oMath>
      <w:r>
        <w:t>为真实值平均值</w:t>
      </w:r>
      <w:r>
        <w:rPr>
          <w:rFonts w:hint="eastAsia"/>
        </w:rPr>
        <w:t>，</w:t>
      </w:r>
      <m:oMath>
        <m:r>
          <w:rPr>
            <w:rFonts w:hAnsi="Times New Roman"/>
          </w:rPr>
          <m:t>n</m:t>
        </m:r>
      </m:oMath>
      <w:r>
        <w:t>为样本总量。</w:t>
      </w:r>
      <w:bookmarkStart w:id="28" w:name="_Toc29158"/>
      <w:bookmarkStart w:id="29" w:name="_Toc28016"/>
      <w:bookmarkStart w:id="30" w:name="_Toc5597"/>
    </w:p>
    <w:p w14:paraId="476083E4" w14:textId="77777777" w:rsidR="004B3261" w:rsidRDefault="00000000">
      <w:pPr>
        <w:pStyle w:val="a3"/>
        <w:ind w:firstLineChars="0" w:firstLine="0"/>
        <w:rPr>
          <w:rFonts w:ascii="黑体" w:eastAsia="黑体" w:hAnsi="黑体" w:cs="黑体"/>
          <w:b/>
          <w:bCs/>
          <w:sz w:val="32"/>
          <w:szCs w:val="32"/>
        </w:rPr>
      </w:pPr>
      <w:r>
        <w:rPr>
          <w:rFonts w:ascii="黑体" w:eastAsia="黑体" w:hAnsi="黑体" w:cs="黑体" w:hint="eastAsia"/>
          <w:b/>
          <w:bCs/>
          <w:sz w:val="32"/>
          <w:szCs w:val="32"/>
        </w:rPr>
        <w:t>四、基于XGBoost-SHAP的粮食生产风险核心因子识别</w:t>
      </w:r>
    </w:p>
    <w:p w14:paraId="5CB0A7F4" w14:textId="77777777" w:rsidR="004B3261" w:rsidRDefault="00000000">
      <w:pPr>
        <w:pStyle w:val="2"/>
        <w:keepNext/>
        <w:spacing w:before="156" w:after="156"/>
      </w:pPr>
      <w:r>
        <w:rPr>
          <w:rFonts w:hint="eastAsia"/>
        </w:rPr>
        <w:t>（一）探索性数据分析</w:t>
      </w:r>
      <w:r>
        <w:t>与拟合性能评估</w:t>
      </w:r>
      <w:bookmarkEnd w:id="28"/>
      <w:bookmarkEnd w:id="29"/>
      <w:bookmarkEnd w:id="30"/>
    </w:p>
    <w:p w14:paraId="00282B96" w14:textId="77777777" w:rsidR="004B3261" w:rsidRDefault="00000000">
      <w:r>
        <w:rPr>
          <w:rFonts w:ascii="黑体" w:eastAsia="黑体" w:hAnsi="黑体" w:cs="黑体" w:hint="eastAsia"/>
          <w:b/>
          <w:bCs/>
          <w:sz w:val="30"/>
          <w:szCs w:val="30"/>
        </w:rPr>
        <w:t>1. 变量相关性分析</w:t>
      </w:r>
    </w:p>
    <w:p w14:paraId="201CDB35" w14:textId="77777777" w:rsidR="004B3261" w:rsidRDefault="00000000">
      <w:pPr>
        <w:pStyle w:val="a3"/>
      </w:pPr>
      <w:r>
        <w:rPr>
          <w:rFonts w:hint="eastAsia"/>
        </w:rPr>
        <w:t>在建立预测模型之前，首先要确定各个气候因子和农业特征变量之间是否存在多重共线性问题，以保证模型输入的合理性。因此，本文首先用</w:t>
      </w:r>
      <w:r>
        <w:rPr>
          <w:rFonts w:hint="eastAsia"/>
        </w:rPr>
        <w:t>Pearson</w:t>
      </w:r>
      <w:r>
        <w:rPr>
          <w:rFonts w:hint="eastAsia"/>
        </w:rPr>
        <w:t>相关系数对解释变量和目标变量（粮食单产风险）的相关性进行了初步的分析，结果如图</w:t>
      </w:r>
      <w:r>
        <w:rPr>
          <w:rFonts w:hint="eastAsia"/>
        </w:rPr>
        <w:t>5-1</w:t>
      </w:r>
      <w:r>
        <w:rPr>
          <w:rFonts w:hint="eastAsia"/>
        </w:rPr>
        <w:t>所示。</w:t>
      </w:r>
    </w:p>
    <w:p w14:paraId="0E123F33" w14:textId="77777777" w:rsidR="004B3261" w:rsidRDefault="00000000">
      <w:pPr>
        <w:pStyle w:val="a3"/>
      </w:pPr>
      <w:r>
        <w:rPr>
          <w:rFonts w:hint="eastAsia"/>
          <w:noProof/>
        </w:rPr>
        <w:drawing>
          <wp:inline distT="0" distB="0" distL="114300" distR="114300" wp14:anchorId="1431145D" wp14:editId="39E6FAF8">
            <wp:extent cx="5266690" cy="3922395"/>
            <wp:effectExtent l="0" t="0" r="3810" b="1905"/>
            <wp:docPr id="1" name="图片 1" descr="839035f21e1d93b99c49b6e1af8df7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39035f21e1d93b99c49b6e1af8df74e"/>
                    <pic:cNvPicPr>
                      <a:picLocks noChangeAspect="1"/>
                    </pic:cNvPicPr>
                  </pic:nvPicPr>
                  <pic:blipFill>
                    <a:blip r:embed="rId9"/>
                    <a:stretch>
                      <a:fillRect/>
                    </a:stretch>
                  </pic:blipFill>
                  <pic:spPr>
                    <a:xfrm>
                      <a:off x="0" y="0"/>
                      <a:ext cx="5266690" cy="3922395"/>
                    </a:xfrm>
                    <a:prstGeom prst="rect">
                      <a:avLst/>
                    </a:prstGeom>
                  </pic:spPr>
                </pic:pic>
              </a:graphicData>
            </a:graphic>
          </wp:inline>
        </w:drawing>
      </w:r>
    </w:p>
    <w:p w14:paraId="6D0F3934" w14:textId="77777777" w:rsidR="004B3261" w:rsidRDefault="00000000">
      <w:pPr>
        <w:pStyle w:val="a3"/>
        <w:jc w:val="center"/>
      </w:pPr>
      <w:r>
        <w:rPr>
          <w:rFonts w:hint="eastAsia"/>
        </w:rPr>
        <w:t>图</w:t>
      </w:r>
      <w:r>
        <w:rPr>
          <w:rFonts w:hint="eastAsia"/>
        </w:rPr>
        <w:t xml:space="preserve"> 5-1 </w:t>
      </w:r>
      <w:r>
        <w:rPr>
          <w:rFonts w:hint="eastAsia"/>
        </w:rPr>
        <w:t>粮食生产风险影响因子相关性热力图</w:t>
      </w:r>
    </w:p>
    <w:p w14:paraId="7C126A23" w14:textId="77777777" w:rsidR="004B3261" w:rsidRDefault="00000000">
      <w:pPr>
        <w:pStyle w:val="a3"/>
      </w:pPr>
      <w:r>
        <w:rPr>
          <w:rFonts w:hint="eastAsia"/>
        </w:rPr>
        <w:t>从热力图上看，本研究所选取的灌溉率、平均气温、降水量和日照时数等主要变量同粮食单产风险</w:t>
      </w:r>
      <w:r>
        <w:rPr>
          <w:rFonts w:hint="eastAsia"/>
        </w:rPr>
        <w:t>Y</w:t>
      </w:r>
      <w:r>
        <w:rPr>
          <w:rFonts w:hint="eastAsia"/>
        </w:rPr>
        <w:t>之间整体的相关性不高。同时各个解释变量之间相关系数矩阵也没有发现高度共线性问题。这说明指标体系的选取在统计意义上是合理的，符合后续建模的前提。</w:t>
      </w:r>
    </w:p>
    <w:p w14:paraId="697EB06E" w14:textId="77777777" w:rsidR="004B3261" w:rsidRDefault="00000000">
      <w:pPr>
        <w:pStyle w:val="a3"/>
      </w:pPr>
      <w:r>
        <w:rPr>
          <w:rFonts w:hint="eastAsia"/>
        </w:rPr>
        <w:lastRenderedPageBreak/>
        <w:t>2.</w:t>
      </w:r>
      <w:r>
        <w:rPr>
          <w:rFonts w:hint="eastAsia"/>
        </w:rPr>
        <w:t>模型构建与拟合精度评估</w:t>
      </w:r>
    </w:p>
    <w:p w14:paraId="3C436592" w14:textId="77777777" w:rsidR="004B3261" w:rsidRDefault="00000000">
      <w:pPr>
        <w:pStyle w:val="a3"/>
      </w:pPr>
      <w:r>
        <w:rPr>
          <w:rFonts w:hint="eastAsia"/>
        </w:rPr>
        <w:t>经过数据探索之后，本文就建立了以</w:t>
      </w:r>
      <w:r>
        <w:rPr>
          <w:rFonts w:hint="eastAsia"/>
        </w:rPr>
        <w:t>XGBoost</w:t>
      </w:r>
      <w:r>
        <w:rPr>
          <w:rFonts w:hint="eastAsia"/>
        </w:rPr>
        <w:t>算法为基础的粮食生产风险识别模型。数据清洗之后，用</w:t>
      </w:r>
      <w:r>
        <w:rPr>
          <w:rFonts w:hint="eastAsia"/>
        </w:rPr>
        <w:t>8</w:t>
      </w:r>
      <w:r>
        <w:rPr>
          <w:rFonts w:hint="eastAsia"/>
        </w:rPr>
        <w:t>：</w:t>
      </w:r>
      <w:r>
        <w:rPr>
          <w:rFonts w:hint="eastAsia"/>
        </w:rPr>
        <w:t>2</w:t>
      </w:r>
      <w:r>
        <w:rPr>
          <w:rFonts w:hint="eastAsia"/>
        </w:rPr>
        <w:t>比例把数据集分成训练集和测试集。使用网格搜索（</w:t>
      </w:r>
      <w:r>
        <w:rPr>
          <w:rFonts w:hint="eastAsia"/>
        </w:rPr>
        <w:t>Grid Search</w:t>
      </w:r>
      <w:r>
        <w:rPr>
          <w:rFonts w:hint="eastAsia"/>
        </w:rPr>
        <w:t>）对模型的超参数进行优化，最终得到的学习率为</w:t>
      </w:r>
      <w:r>
        <w:rPr>
          <w:rFonts w:hint="eastAsia"/>
        </w:rPr>
        <w:t>0.1</w:t>
      </w:r>
      <w:r>
        <w:rPr>
          <w:rFonts w:hint="eastAsia"/>
        </w:rPr>
        <w:t>、最大深度为</w:t>
      </w:r>
      <w:r>
        <w:rPr>
          <w:rFonts w:hint="eastAsia"/>
        </w:rPr>
        <w:t>6</w:t>
      </w:r>
      <w:r>
        <w:rPr>
          <w:rFonts w:hint="eastAsia"/>
        </w:rPr>
        <w:t>、迭代次数为</w:t>
      </w:r>
      <w:r>
        <w:rPr>
          <w:rFonts w:hint="eastAsia"/>
        </w:rPr>
        <w:t>150</w:t>
      </w:r>
      <w:r>
        <w:rPr>
          <w:rFonts w:hint="eastAsia"/>
        </w:rPr>
        <w:t>次。</w:t>
      </w:r>
    </w:p>
    <w:p w14:paraId="009C6451" w14:textId="77777777" w:rsidR="004B3261" w:rsidRDefault="00000000">
      <w:pPr>
        <w:pStyle w:val="a3"/>
      </w:pPr>
      <w:r>
        <w:rPr>
          <w:rFonts w:hint="eastAsia"/>
        </w:rPr>
        <w:t>从实证预测效果看，在没有参与训练的测试样本上具有较好的泛化能力。图</w:t>
      </w:r>
      <w:r>
        <w:rPr>
          <w:rFonts w:hint="eastAsia"/>
        </w:rPr>
        <w:t>5-2</w:t>
      </w:r>
      <w:r>
        <w:rPr>
          <w:rFonts w:hint="eastAsia"/>
        </w:rPr>
        <w:t>展示了模型预测值与观测真实值之间的分布关系。</w:t>
      </w:r>
    </w:p>
    <w:p w14:paraId="0AC1157A" w14:textId="77777777" w:rsidR="004B3261" w:rsidRDefault="00000000">
      <w:pPr>
        <w:pStyle w:val="a3"/>
      </w:pPr>
      <w:r>
        <w:rPr>
          <w:noProof/>
        </w:rPr>
        <w:drawing>
          <wp:inline distT="0" distB="0" distL="114300" distR="114300" wp14:anchorId="6D36C4FF" wp14:editId="693060B9">
            <wp:extent cx="5273675" cy="3151505"/>
            <wp:effectExtent l="0" t="0" r="9525" b="10795"/>
            <wp:docPr id="5" name="图片 5"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
                    <pic:cNvPicPr>
                      <a:picLocks noChangeAspect="1"/>
                    </pic:cNvPicPr>
                  </pic:nvPicPr>
                  <pic:blipFill>
                    <a:blip r:embed="rId10"/>
                    <a:stretch>
                      <a:fillRect/>
                    </a:stretch>
                  </pic:blipFill>
                  <pic:spPr>
                    <a:xfrm>
                      <a:off x="0" y="0"/>
                      <a:ext cx="5273675" cy="3151505"/>
                    </a:xfrm>
                    <a:prstGeom prst="rect">
                      <a:avLst/>
                    </a:prstGeom>
                  </pic:spPr>
                </pic:pic>
              </a:graphicData>
            </a:graphic>
          </wp:inline>
        </w:drawing>
      </w:r>
    </w:p>
    <w:p w14:paraId="2C619694" w14:textId="77777777" w:rsidR="004B3261" w:rsidRDefault="00000000">
      <w:pPr>
        <w:pStyle w:val="a3"/>
        <w:jc w:val="center"/>
      </w:pPr>
      <w:r>
        <w:rPr>
          <w:rFonts w:hint="eastAsia"/>
        </w:rPr>
        <w:t>图</w:t>
      </w:r>
      <w:r>
        <w:rPr>
          <w:rFonts w:hint="eastAsia"/>
        </w:rPr>
        <w:t>5-2 XGBoost</w:t>
      </w:r>
      <w:r>
        <w:rPr>
          <w:rFonts w:hint="eastAsia"/>
        </w:rPr>
        <w:t>模型粮食生产风险预测值与真实值拟合散点图</w:t>
      </w:r>
    </w:p>
    <w:p w14:paraId="36DA8605" w14:textId="77777777" w:rsidR="004B3261" w:rsidRDefault="00000000">
      <w:pPr>
        <w:pStyle w:val="a3"/>
      </w:pPr>
      <w:r>
        <w:rPr>
          <w:rFonts w:hint="eastAsia"/>
        </w:rPr>
        <w:t>经过算法训练和超参数迭代优化之后，</w:t>
      </w:r>
      <w:r>
        <w:rPr>
          <w:rFonts w:hint="eastAsia"/>
        </w:rPr>
        <w:t>XGBoost</w:t>
      </w:r>
      <w:r>
        <w:rPr>
          <w:rFonts w:hint="eastAsia"/>
        </w:rPr>
        <w:t>模型对于独立测试样本的预测结果是比较好的，泛化稳健性好。其决定系数为</w:t>
      </w:r>
      <w:r>
        <w:rPr>
          <w:rFonts w:hint="eastAsia"/>
        </w:rPr>
        <w:t>0.6293</w:t>
      </w:r>
      <w:r>
        <w:rPr>
          <w:rFonts w:hint="eastAsia"/>
        </w:rPr>
        <w:t>，可以解释</w:t>
      </w:r>
      <w:r>
        <w:rPr>
          <w:rFonts w:hint="eastAsia"/>
        </w:rPr>
        <w:t>62.93%</w:t>
      </w:r>
      <w:r>
        <w:rPr>
          <w:rFonts w:hint="eastAsia"/>
        </w:rPr>
        <w:t>的单产风险变化，</w:t>
      </w:r>
      <w:r>
        <w:rPr>
          <w:rFonts w:hint="eastAsia"/>
        </w:rPr>
        <w:t>RMSE</w:t>
      </w:r>
      <w:r>
        <w:rPr>
          <w:rFonts w:hint="eastAsia"/>
        </w:rPr>
        <w:t>指标收敛到</w:t>
      </w:r>
      <w:r>
        <w:rPr>
          <w:rFonts w:hint="eastAsia"/>
        </w:rPr>
        <w:t>0.0051</w:t>
      </w:r>
      <w:r>
        <w:rPr>
          <w:rFonts w:hint="eastAsia"/>
        </w:rPr>
        <w:t>，说明模型在风险量化过程中预测不确定较小。根据上述结果可知，用</w:t>
      </w:r>
      <w:r>
        <w:rPr>
          <w:rFonts w:hint="eastAsia"/>
        </w:rPr>
        <w:t>XGBoost-SHAP</w:t>
      </w:r>
      <w:r>
        <w:rPr>
          <w:rFonts w:hint="eastAsia"/>
        </w:rPr>
        <w:t>得到的因子识别结果可信度较高。</w:t>
      </w:r>
    </w:p>
    <w:p w14:paraId="78542C44" w14:textId="77777777" w:rsidR="004B3261" w:rsidRDefault="00000000">
      <w:pPr>
        <w:pStyle w:val="a3"/>
      </w:pPr>
      <w:bookmarkStart w:id="31" w:name="_Toc5156"/>
      <w:bookmarkStart w:id="32" w:name="_Toc6715"/>
      <w:bookmarkStart w:id="33" w:name="_Toc2600"/>
      <w:r>
        <w:rPr>
          <w:rFonts w:hint="eastAsia"/>
        </w:rPr>
        <w:t>（二）特征重要性的全局分析</w:t>
      </w:r>
      <w:bookmarkEnd w:id="31"/>
      <w:bookmarkEnd w:id="32"/>
      <w:bookmarkEnd w:id="33"/>
    </w:p>
    <w:p w14:paraId="503328EF" w14:textId="77777777" w:rsidR="004B3261" w:rsidRDefault="00000000">
      <w:pPr>
        <w:pStyle w:val="a3"/>
      </w:pPr>
      <w:r>
        <w:rPr>
          <w:rFonts w:hint="eastAsia"/>
        </w:rPr>
        <w:t>为了从宏观上找出影响我国粮食生产风险的主要因素，本文用</w:t>
      </w:r>
      <w:r>
        <w:rPr>
          <w:rFonts w:hint="eastAsia"/>
        </w:rPr>
        <w:t>SHAP</w:t>
      </w:r>
      <w:r>
        <w:rPr>
          <w:rFonts w:hint="eastAsia"/>
        </w:rPr>
        <w:t>均值绝对值（</w:t>
      </w:r>
      <w:r>
        <w:rPr>
          <w:rFonts w:hint="eastAsia"/>
        </w:rPr>
        <w:t>Mean |SHAP value|</w:t>
      </w:r>
      <w:r>
        <w:rPr>
          <w:rFonts w:hint="eastAsia"/>
        </w:rPr>
        <w:t>）对各个特征的影响进行全局排序，得到各个解释变量对模型输出结果的平均贡献程度。</w:t>
      </w:r>
    </w:p>
    <w:p w14:paraId="55B638F5" w14:textId="77777777" w:rsidR="004B3261" w:rsidRDefault="00000000">
      <w:pPr>
        <w:pStyle w:val="a3"/>
      </w:pPr>
      <w:r>
        <w:rPr>
          <w:noProof/>
        </w:rPr>
        <w:lastRenderedPageBreak/>
        <w:drawing>
          <wp:inline distT="0" distB="0" distL="114300" distR="114300" wp14:anchorId="7FFB7D3C" wp14:editId="6E005371">
            <wp:extent cx="5268595" cy="3140075"/>
            <wp:effectExtent l="0" t="0" r="1905" b="9525"/>
            <wp:docPr id="9" name="图片 9"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5"/>
                    <pic:cNvPicPr>
                      <a:picLocks noChangeAspect="1"/>
                    </pic:cNvPicPr>
                  </pic:nvPicPr>
                  <pic:blipFill>
                    <a:blip r:embed="rId11"/>
                    <a:stretch>
                      <a:fillRect/>
                    </a:stretch>
                  </pic:blipFill>
                  <pic:spPr>
                    <a:xfrm>
                      <a:off x="0" y="0"/>
                      <a:ext cx="5268595" cy="3140075"/>
                    </a:xfrm>
                    <a:prstGeom prst="rect">
                      <a:avLst/>
                    </a:prstGeom>
                  </pic:spPr>
                </pic:pic>
              </a:graphicData>
            </a:graphic>
          </wp:inline>
        </w:drawing>
      </w:r>
    </w:p>
    <w:p w14:paraId="4AB3EA91" w14:textId="77777777" w:rsidR="004B3261" w:rsidRDefault="00000000">
      <w:pPr>
        <w:pStyle w:val="a3"/>
        <w:jc w:val="center"/>
      </w:pPr>
      <w:r>
        <w:rPr>
          <w:rFonts w:hint="eastAsia"/>
        </w:rPr>
        <w:t>图</w:t>
      </w:r>
      <w:r>
        <w:rPr>
          <w:rFonts w:hint="eastAsia"/>
        </w:rPr>
        <w:t xml:space="preserve">5-3 </w:t>
      </w:r>
      <w:r>
        <w:rPr>
          <w:rFonts w:hint="eastAsia"/>
        </w:rPr>
        <w:t>基于</w:t>
      </w:r>
      <w:r>
        <w:rPr>
          <w:rFonts w:hint="eastAsia"/>
        </w:rPr>
        <w:t xml:space="preserve"> SHAP </w:t>
      </w:r>
      <w:r>
        <w:rPr>
          <w:rFonts w:hint="eastAsia"/>
        </w:rPr>
        <w:t>全局重要性的特征排序图</w:t>
      </w:r>
    </w:p>
    <w:p w14:paraId="733A952A" w14:textId="77777777" w:rsidR="004B3261" w:rsidRDefault="00000000">
      <w:pPr>
        <w:pStyle w:val="a3"/>
      </w:pPr>
      <w:r>
        <w:rPr>
          <w:rFonts w:hint="eastAsia"/>
        </w:rPr>
        <w:t>从图</w:t>
      </w:r>
      <w:r>
        <w:rPr>
          <w:rFonts w:hint="eastAsia"/>
        </w:rPr>
        <w:t>5-3</w:t>
      </w:r>
      <w:r>
        <w:rPr>
          <w:rFonts w:hint="eastAsia"/>
        </w:rPr>
        <w:t>可以看出，灌溉率、洪涝占比和日照时数排在前三位，影响力最大。这说明在极端气候频发的背景下，以灌溉为代表的人为调控能力和以旱涝为代表的气候冲击，是主导粮食单产风险波动的核心力量。</w:t>
      </w:r>
    </w:p>
    <w:p w14:paraId="297959F4" w14:textId="77777777" w:rsidR="004B3261" w:rsidRDefault="00000000">
      <w:pPr>
        <w:pStyle w:val="a3"/>
      </w:pPr>
      <w:bookmarkStart w:id="34" w:name="_Toc29269"/>
      <w:bookmarkStart w:id="35" w:name="_Toc9420"/>
      <w:bookmarkStart w:id="36" w:name="_Toc15172"/>
      <w:r>
        <w:rPr>
          <w:rFonts w:hint="eastAsia"/>
        </w:rPr>
        <w:t>（三）基于</w:t>
      </w:r>
      <w:r>
        <w:rPr>
          <w:rFonts w:hint="eastAsia"/>
        </w:rPr>
        <w:t>SHAP</w:t>
      </w:r>
      <w:r>
        <w:rPr>
          <w:rFonts w:hint="eastAsia"/>
        </w:rPr>
        <w:t>蜂群图的核心因子解释</w:t>
      </w:r>
      <w:bookmarkEnd w:id="34"/>
      <w:bookmarkEnd w:id="35"/>
      <w:bookmarkEnd w:id="36"/>
    </w:p>
    <w:p w14:paraId="2F7CBC7C" w14:textId="77777777" w:rsidR="004B3261" w:rsidRDefault="00000000">
      <w:pPr>
        <w:pStyle w:val="a3"/>
      </w:pPr>
      <w:r>
        <w:rPr>
          <w:rFonts w:hint="eastAsia"/>
        </w:rPr>
        <w:t>为了更清楚地看出各个特征对于粮食生产风险的正负影响的方向和强度，本文画出了</w:t>
      </w:r>
      <w:r>
        <w:rPr>
          <w:rFonts w:hint="eastAsia"/>
        </w:rPr>
        <w:t>SHAP Summary Plot</w:t>
      </w:r>
      <w:r>
        <w:rPr>
          <w:rFonts w:hint="eastAsia"/>
        </w:rPr>
        <w:t>（蜂群图）。横坐标是</w:t>
      </w:r>
      <w:r>
        <w:rPr>
          <w:rFonts w:hint="eastAsia"/>
        </w:rPr>
        <w:t>SHAP</w:t>
      </w:r>
      <w:r>
        <w:rPr>
          <w:rFonts w:hint="eastAsia"/>
        </w:rPr>
        <w:t>值，正值增加风险，负值降低风险，颜色代表特征数值高低（红色为高值，蓝色为低值）。</w:t>
      </w:r>
    </w:p>
    <w:p w14:paraId="5F57A887" w14:textId="77777777" w:rsidR="004B3261" w:rsidRDefault="00000000">
      <w:pPr>
        <w:pStyle w:val="a3"/>
        <w:jc w:val="center"/>
      </w:pPr>
      <w:r>
        <w:rPr>
          <w:noProof/>
        </w:rPr>
        <w:drawing>
          <wp:inline distT="0" distB="0" distL="114300" distR="114300" wp14:anchorId="1D8DFE94" wp14:editId="6B6C363A">
            <wp:extent cx="5274310" cy="3348990"/>
            <wp:effectExtent l="0" t="0" r="8890" b="3810"/>
            <wp:docPr id="7" name="图片 7" descr="ee3faa7ce1f9a048aa6cec82dd4816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ee3faa7ce1f9a048aa6cec82dd4816f6"/>
                    <pic:cNvPicPr>
                      <a:picLocks noChangeAspect="1"/>
                    </pic:cNvPicPr>
                  </pic:nvPicPr>
                  <pic:blipFill>
                    <a:blip r:embed="rId12"/>
                    <a:stretch>
                      <a:fillRect/>
                    </a:stretch>
                  </pic:blipFill>
                  <pic:spPr>
                    <a:xfrm>
                      <a:off x="0" y="0"/>
                      <a:ext cx="5274310" cy="3348990"/>
                    </a:xfrm>
                    <a:prstGeom prst="rect">
                      <a:avLst/>
                    </a:prstGeom>
                  </pic:spPr>
                </pic:pic>
              </a:graphicData>
            </a:graphic>
          </wp:inline>
        </w:drawing>
      </w:r>
      <w:r>
        <w:rPr>
          <w:rFonts w:hint="eastAsia"/>
        </w:rPr>
        <w:t>图</w:t>
      </w:r>
      <w:r>
        <w:rPr>
          <w:rFonts w:hint="eastAsia"/>
        </w:rPr>
        <w:t xml:space="preserve"> 5-4 </w:t>
      </w:r>
      <w:r>
        <w:rPr>
          <w:rFonts w:hint="eastAsia"/>
        </w:rPr>
        <w:t>特征影响力</w:t>
      </w:r>
      <w:r>
        <w:rPr>
          <w:rFonts w:hint="eastAsia"/>
        </w:rPr>
        <w:t>SHAP</w:t>
      </w:r>
      <w:r>
        <w:rPr>
          <w:rFonts w:hint="eastAsia"/>
        </w:rPr>
        <w:t>蜂群总结图</w:t>
      </w:r>
    </w:p>
    <w:p w14:paraId="40E927D2" w14:textId="77777777" w:rsidR="004B3261" w:rsidRDefault="004B3261">
      <w:pPr>
        <w:pStyle w:val="a3"/>
      </w:pPr>
    </w:p>
    <w:p w14:paraId="4BA988E4" w14:textId="77777777" w:rsidR="004B3261" w:rsidRDefault="00000000">
      <w:pPr>
        <w:pStyle w:val="a3"/>
      </w:pPr>
      <w:r>
        <w:rPr>
          <w:rFonts w:hint="eastAsia"/>
        </w:rPr>
        <w:t>通过分析图</w:t>
      </w:r>
      <w:r>
        <w:rPr>
          <w:rFonts w:hint="eastAsia"/>
        </w:rPr>
        <w:t>5-4</w:t>
      </w:r>
      <w:r>
        <w:rPr>
          <w:rFonts w:hint="eastAsia"/>
        </w:rPr>
        <w:t>可以得出以下几点认识：</w:t>
      </w:r>
    </w:p>
    <w:p w14:paraId="41F5785B" w14:textId="77777777" w:rsidR="004B3261" w:rsidRDefault="00000000">
      <w:pPr>
        <w:pStyle w:val="a3"/>
      </w:pPr>
      <w:r>
        <w:lastRenderedPageBreak/>
        <w:t>韧性因子方面，灌溉率、日照时数的高值点（红色）主要分布在</w:t>
      </w:r>
      <w:r>
        <w:t>0</w:t>
      </w:r>
      <w:r>
        <w:t>轴左边，说明提高水利覆盖率、增加日照时数可以有效地降低风险值，起到比较明显的减损作用。</w:t>
      </w:r>
    </w:p>
    <w:p w14:paraId="0117199F" w14:textId="77777777" w:rsidR="004B3261" w:rsidRDefault="00000000">
      <w:pPr>
        <w:pStyle w:val="a3"/>
      </w:pPr>
      <w:r>
        <w:t>致灾因子方面，洪涝占比和降水量的高值点都在右侧，说明强降水冲击会直接推高单产风险，干旱指数（</w:t>
      </w:r>
      <w:r>
        <w:t>SPEI</w:t>
      </w:r>
      <w:r>
        <w:t>）的低值点（蓝色，干旱）</w:t>
      </w:r>
      <w:r>
        <w:t>SHAP</w:t>
      </w:r>
      <w:r>
        <w:t>值为正，也证明缺水对产量的严重损害是由上述基于</w:t>
      </w:r>
      <w:r>
        <w:t>XGBoost-SHAP</w:t>
      </w:r>
      <w:r>
        <w:t>的实证分析得到的。根据以上识别结果，提出提高农业生产系统韧性改进的方向</w:t>
      </w:r>
      <w:r>
        <w:rPr>
          <w:rFonts w:hint="eastAsia"/>
        </w:rPr>
        <w:t>。</w:t>
      </w:r>
    </w:p>
    <w:p w14:paraId="6E3EA514" w14:textId="77777777" w:rsidR="004B3261" w:rsidRDefault="00000000">
      <w:pPr>
        <w:pStyle w:val="2"/>
        <w:keepNext/>
        <w:spacing w:before="156" w:after="156"/>
        <w:ind w:firstLineChars="100" w:firstLine="301"/>
      </w:pPr>
      <w:bookmarkStart w:id="37" w:name="_Toc12413"/>
      <w:bookmarkStart w:id="38" w:name="_Toc3040"/>
      <w:bookmarkStart w:id="39" w:name="_Toc15980"/>
      <w:r>
        <w:rPr>
          <w:rFonts w:hint="eastAsia"/>
        </w:rPr>
        <w:t>（四）关键因子的交互效应研究</w:t>
      </w:r>
      <w:bookmarkEnd w:id="37"/>
      <w:bookmarkEnd w:id="38"/>
      <w:bookmarkEnd w:id="39"/>
    </w:p>
    <w:p w14:paraId="744FD292" w14:textId="77777777" w:rsidR="004B3261" w:rsidRDefault="00000000">
      <w:pPr>
        <w:pStyle w:val="a3"/>
      </w:pPr>
      <w:r>
        <w:rPr>
          <w:rFonts w:hint="eastAsia"/>
        </w:rPr>
        <w:t>为了进一步探究极端气候与农业韧性因子之间的交互响应机制，本研究绘制了灌溉率与平均气温的</w:t>
      </w:r>
      <w:r>
        <w:rPr>
          <w:rFonts w:hint="eastAsia"/>
        </w:rPr>
        <w:t>SHAP</w:t>
      </w:r>
      <w:r>
        <w:rPr>
          <w:rFonts w:hint="eastAsia"/>
        </w:rPr>
        <w:t>交互依赖图（见图</w:t>
      </w:r>
      <w:r>
        <w:rPr>
          <w:rFonts w:hint="eastAsia"/>
        </w:rPr>
        <w:t>5-5</w:t>
      </w:r>
      <w:r>
        <w:rPr>
          <w:rFonts w:hint="eastAsia"/>
        </w:rPr>
        <w:t>）。</w:t>
      </w:r>
    </w:p>
    <w:p w14:paraId="354E1C68" w14:textId="77777777" w:rsidR="004B3261" w:rsidRDefault="00000000">
      <w:pPr>
        <w:pStyle w:val="a3"/>
      </w:pPr>
      <w:r>
        <w:rPr>
          <w:noProof/>
        </w:rPr>
        <w:drawing>
          <wp:inline distT="0" distB="0" distL="114300" distR="114300" wp14:anchorId="31692D55" wp14:editId="2AFCDCD6">
            <wp:extent cx="4450715" cy="3514725"/>
            <wp:effectExtent l="0" t="0" r="6985" b="3175"/>
            <wp:docPr id="11" name="图片 11" descr="97fbecfe3f07a49cf490736182aa16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97fbecfe3f07a49cf490736182aa16e8"/>
                    <pic:cNvPicPr>
                      <a:picLocks noChangeAspect="1"/>
                    </pic:cNvPicPr>
                  </pic:nvPicPr>
                  <pic:blipFill>
                    <a:blip r:embed="rId13"/>
                    <a:srcRect l="1433" r="14152"/>
                    <a:stretch>
                      <a:fillRect/>
                    </a:stretch>
                  </pic:blipFill>
                  <pic:spPr>
                    <a:xfrm>
                      <a:off x="0" y="0"/>
                      <a:ext cx="4450715" cy="3514725"/>
                    </a:xfrm>
                    <a:prstGeom prst="rect">
                      <a:avLst/>
                    </a:prstGeom>
                  </pic:spPr>
                </pic:pic>
              </a:graphicData>
            </a:graphic>
          </wp:inline>
        </w:drawing>
      </w:r>
    </w:p>
    <w:p w14:paraId="10A494E1" w14:textId="77777777" w:rsidR="004B3261" w:rsidRDefault="00000000">
      <w:pPr>
        <w:pStyle w:val="a3"/>
        <w:jc w:val="center"/>
      </w:pPr>
      <w:r>
        <w:rPr>
          <w:rFonts w:hint="eastAsia"/>
        </w:rPr>
        <w:t>图</w:t>
      </w:r>
      <w:r>
        <w:rPr>
          <w:rFonts w:hint="eastAsia"/>
        </w:rPr>
        <w:t xml:space="preserve">5-5 </w:t>
      </w:r>
      <w:r>
        <w:rPr>
          <w:rFonts w:hint="eastAsia"/>
        </w:rPr>
        <w:t>灌溉率与平均气温的交互效应图</w:t>
      </w:r>
    </w:p>
    <w:p w14:paraId="14F04013" w14:textId="77777777" w:rsidR="004B3261" w:rsidRDefault="00000000">
      <w:pPr>
        <w:pStyle w:val="a3"/>
      </w:pPr>
      <w:r>
        <w:rPr>
          <w:rFonts w:hint="eastAsia"/>
        </w:rPr>
        <w:t>从图中可以得出以下分析：</w:t>
      </w:r>
    </w:p>
    <w:p w14:paraId="5FD6E58D" w14:textId="77777777" w:rsidR="004B3261" w:rsidRDefault="00000000">
      <w:pPr>
        <w:pStyle w:val="a3"/>
        <w:rPr>
          <w:rFonts w:ascii="宋体" w:hAnsi="宋体" w:cs="宋体"/>
        </w:rPr>
      </w:pPr>
      <w:r>
        <w:t>从主效应上看，随着灌溉率的提高，其对风险的贡献值（</w:t>
      </w:r>
      <w:r>
        <w:t>SHAP value</w:t>
      </w:r>
      <w:r>
        <w:t>）是不断下降的，</w:t>
      </w:r>
      <w:r>
        <w:rPr>
          <w:rFonts w:hint="eastAsia"/>
        </w:rPr>
        <w:t>这从</w:t>
      </w:r>
      <w:r>
        <w:t>定量上说明提</w:t>
      </w:r>
      <w:r>
        <w:rPr>
          <w:rFonts w:ascii="宋体" w:hAnsi="宋体" w:cs="宋体" w:hint="eastAsia"/>
        </w:rPr>
        <w:t>高灌溉覆盖率可以有效地降低极端气候造成的风险。</w:t>
      </w:r>
    </w:p>
    <w:p w14:paraId="52314B75" w14:textId="77777777" w:rsidR="004B3261" w:rsidRDefault="00000000">
      <w:pPr>
        <w:pStyle w:val="a3"/>
        <w:rPr>
          <w:rFonts w:ascii="宋体" w:hAnsi="宋体" w:cs="宋体"/>
        </w:rPr>
      </w:pPr>
      <w:r>
        <w:rPr>
          <w:rFonts w:ascii="宋体" w:hAnsi="宋体" w:cs="宋体" w:hint="eastAsia"/>
        </w:rPr>
        <w:t>就交互效应而言，在同样的灌溉水平之下，气温较高所对应的样本点（红色）的SHAP值比气温较低的样本点（蓝色）要高。高温会使得灌溉的减损作用降低，生产风险增大。</w:t>
      </w:r>
    </w:p>
    <w:p w14:paraId="48289D4C" w14:textId="77777777" w:rsidR="004B3261" w:rsidRDefault="00000000">
      <w:pPr>
        <w:pStyle w:val="a3"/>
      </w:pPr>
      <w:r>
        <w:rPr>
          <w:rFonts w:ascii="宋体" w:hAnsi="宋体" w:cs="宋体" w:hint="eastAsia"/>
        </w:rPr>
        <w:t>从总体上看，单一依靠提高灌溉率来应</w:t>
      </w:r>
      <w:r>
        <w:t>对未来复杂的气候变化是</w:t>
      </w:r>
      <w:r>
        <w:rPr>
          <w:rFonts w:hint="eastAsia"/>
        </w:rPr>
        <w:t>远</w:t>
      </w:r>
      <w:r>
        <w:t>不行的，还要配合温度调节等综合措施，才能更有效地提高农业生产系统的韧性。</w:t>
      </w:r>
    </w:p>
    <w:p w14:paraId="5927459F" w14:textId="77777777" w:rsidR="004B3261" w:rsidRDefault="00000000">
      <w:pPr>
        <w:pStyle w:val="2"/>
        <w:keepNext/>
        <w:spacing w:before="156" w:after="156"/>
      </w:pPr>
      <w:r>
        <w:rPr>
          <w:rFonts w:hint="eastAsia"/>
        </w:rPr>
        <w:t>（五）风险识别视角下的粮食生产系统韧性提升方向</w:t>
      </w:r>
    </w:p>
    <w:p w14:paraId="52A6DCDF" w14:textId="77777777" w:rsidR="004B3261" w:rsidRDefault="00000000">
      <w:pPr>
        <w:pStyle w:val="a3"/>
      </w:pPr>
      <w:r>
        <w:t>通过上述基于</w:t>
      </w:r>
      <w:r>
        <w:t>XGBoost-SHAP</w:t>
      </w:r>
      <w:r>
        <w:t>的实证分析，本文识别出灌溉率、洪涝占比及日照时数是影响我国粮食生产风险的核心因子。基于这一识别结果，提出以下提升农业生产系统韧性的改进方向：</w:t>
      </w:r>
    </w:p>
    <w:p w14:paraId="6674375E" w14:textId="77777777" w:rsidR="004B3261" w:rsidRDefault="00000000">
      <w:pPr>
        <w:pStyle w:val="a3"/>
      </w:pPr>
      <w:r>
        <w:t>①</w:t>
      </w:r>
      <w:r>
        <w:rPr>
          <w:rFonts w:ascii="宋体" w:hAnsi="宋体" w:cs="宋体" w:hint="eastAsia"/>
        </w:rPr>
        <w:t>强化水利设施保障，夯实物理韧性。SHAP全局排序表明，灌溉率是降低风险作用最</w:t>
      </w:r>
      <w:r>
        <w:rPr>
          <w:rFonts w:ascii="宋体" w:hAnsi="宋体" w:cs="宋体" w:hint="eastAsia"/>
        </w:rPr>
        <w:lastRenderedPageBreak/>
        <w:t>强的因子。因此，提高韧性的着力点应放在高标准农田建设上，通过完善灌溉与排水双向系统，有效对冲因洪涝占比上升带来的减产冲击，推动从被动抗灾转向主动避险，从物理层面筑牢风险防线</w:t>
      </w:r>
      <w:r>
        <w:rPr>
          <w:rFonts w:ascii="宋体" w:hAnsi="宋体" w:cs="宋体"/>
        </w:rPr>
        <w:t>。</w:t>
      </w:r>
    </w:p>
    <w:p w14:paraId="137D019E" w14:textId="77777777" w:rsidR="004B3261" w:rsidRDefault="00000000">
      <w:pPr>
        <w:pStyle w:val="a3"/>
      </w:pPr>
      <w:r>
        <w:t>②</w:t>
      </w:r>
      <w:r>
        <w:t>建立多因子协同调控机制来提高系统的抗性。</w:t>
      </w:r>
      <w:r>
        <w:rPr>
          <w:rFonts w:hint="eastAsia"/>
        </w:rPr>
        <w:t>从</w:t>
      </w:r>
      <w:r>
        <w:t>交互效应研究</w:t>
      </w:r>
      <w:r>
        <w:rPr>
          <w:rFonts w:hint="eastAsia"/>
        </w:rPr>
        <w:t>结果来看，</w:t>
      </w:r>
      <w:r>
        <w:t>高温会降低灌溉减损效果。韧性提升不能只依靠基础设施的投入，还要建立协同防御体系。在提高灌溉水平的同时，推广耐高温品种、优化播种期以适应日照时数变化，用多因子耦合来提高系统综合抗风险能力。</w:t>
      </w:r>
    </w:p>
    <w:p w14:paraId="3DB3D687" w14:textId="77777777" w:rsidR="004B3261" w:rsidRDefault="00000000">
      <w:pPr>
        <w:pStyle w:val="a3"/>
      </w:pPr>
      <w:r>
        <w:t>③</w:t>
      </w:r>
      <w:r>
        <w:t>健全精准预警体系，提高管理韧性。降水、气温等因素对风险的波动影响较大，因此要建立动态的风险监测平台，用大数据和机器学习的方法来创建出风险监测系统。通过对致灾因子（冲击）和韧性因子（防御）的实时匹配分析，实现农业资源的精准配置，提前规避风险、提前干预，提高管理层面的响应韧性</w:t>
      </w:r>
      <w:r>
        <w:rPr>
          <w:rFonts w:hint="eastAsia"/>
        </w:rPr>
        <w:t>。</w:t>
      </w:r>
    </w:p>
    <w:p w14:paraId="3739C180" w14:textId="77777777" w:rsidR="004B3261" w:rsidRDefault="004B3261"/>
    <w:p w14:paraId="3DC117C7" w14:textId="77777777" w:rsidR="004B3261" w:rsidRDefault="00000000">
      <w:pPr>
        <w:pStyle w:val="a3"/>
        <w:ind w:firstLineChars="0" w:firstLine="0"/>
        <w:rPr>
          <w:b/>
          <w:bCs/>
          <w:sz w:val="32"/>
          <w:szCs w:val="32"/>
        </w:rPr>
      </w:pPr>
      <w:bookmarkStart w:id="40" w:name="OLE_LINK2"/>
      <w:r>
        <w:rPr>
          <w:rFonts w:ascii="黑体" w:eastAsia="黑体" w:hAnsi="黑体" w:cs="黑体" w:hint="eastAsia"/>
          <w:b/>
          <w:bCs/>
          <w:sz w:val="32"/>
          <w:szCs w:val="32"/>
        </w:rPr>
        <w:t>五、基于LSTM的粮食生产风险预测与双重验证</w:t>
      </w:r>
    </w:p>
    <w:p w14:paraId="33BA03B0" w14:textId="77777777" w:rsidR="004B3261" w:rsidRDefault="00000000">
      <w:pPr>
        <w:pStyle w:val="a3"/>
      </w:pPr>
      <w:r>
        <w:t>为了对前一章从</w:t>
      </w:r>
      <w:r>
        <w:t>XGBoost-SHAP</w:t>
      </w:r>
      <w:r>
        <w:t>中提取出的关键因子进行更深入的稳健性检验，本章引入了一种深度学习方法，即长短期记忆网络</w:t>
      </w:r>
      <w:r>
        <w:rPr>
          <w:rFonts w:hint="eastAsia"/>
        </w:rPr>
        <w:t>(Long Short-Term Memory,LSTM)</w:t>
      </w:r>
      <w:r>
        <w:t>，作为双重验证手段。</w:t>
      </w:r>
      <w:r>
        <w:t>LSTM</w:t>
      </w:r>
      <w:r>
        <w:t>凭借其特有的门控机制设计，特别适合捕捉农业生产这类面板数据里存在的、复杂的非线性时间依赖关系。具体到模型的构建上，我们设计了一个包含输入层、两个</w:t>
      </w:r>
      <w:r>
        <w:t>LSTM</w:t>
      </w:r>
      <w:r>
        <w:t>隐藏层以及一个全连接输出层的网络结构。参数更新方面，采用了</w:t>
      </w:r>
      <w:r>
        <w:t>Adam</w:t>
      </w:r>
      <w:r>
        <w:t>优化器来执行权重调整，它那套自适应的学习率机制有助于模型在复杂的特征空间里更快地找到收敛方向。损失函数则选择了均方误差；同时为了降低模型在小规模数据集上可能出现的过拟合问题，还特意加入了</w:t>
      </w:r>
      <w:r>
        <w:t>Dropout</w:t>
      </w:r>
      <w:r>
        <w:t>层。</w:t>
      </w:r>
    </w:p>
    <w:p w14:paraId="022C3AFA" w14:textId="77777777" w:rsidR="004B3261" w:rsidRDefault="00000000">
      <w:pPr>
        <w:pStyle w:val="2"/>
        <w:spacing w:before="156" w:after="156"/>
      </w:pPr>
      <w:bookmarkStart w:id="41" w:name="_Toc9701"/>
      <w:bookmarkStart w:id="42" w:name="_Toc8204"/>
      <w:bookmarkStart w:id="43" w:name="_Toc8543"/>
      <w:r>
        <w:rPr>
          <w:rFonts w:hint="eastAsia"/>
        </w:rPr>
        <w:t>（一）</w:t>
      </w:r>
      <w:r>
        <w:t>模型训练收敛性分析</w:t>
      </w:r>
      <w:bookmarkEnd w:id="41"/>
      <w:bookmarkEnd w:id="42"/>
      <w:bookmarkEnd w:id="43"/>
    </w:p>
    <w:p w14:paraId="75DF3998" w14:textId="77777777" w:rsidR="004B3261" w:rsidRDefault="00000000">
      <w:pPr>
        <w:pStyle w:val="a3"/>
      </w:pPr>
      <w:r>
        <w:t>模型训练过程中的损失函数演化情况是判断网络拟合状态的关键指标。</w:t>
      </w:r>
    </w:p>
    <w:p w14:paraId="0FB185F1" w14:textId="77777777" w:rsidR="004B3261" w:rsidRDefault="00000000">
      <w:r>
        <w:rPr>
          <w:noProof/>
        </w:rPr>
        <w:drawing>
          <wp:inline distT="0" distB="0" distL="114300" distR="114300" wp14:anchorId="41B0D81B" wp14:editId="385F5FE5">
            <wp:extent cx="5267325" cy="2633980"/>
            <wp:effectExtent l="0" t="0" r="3175" b="7620"/>
            <wp:docPr id="12" name="图片 1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
                    <pic:cNvPicPr>
                      <a:picLocks noChangeAspect="1"/>
                    </pic:cNvPicPr>
                  </pic:nvPicPr>
                  <pic:blipFill>
                    <a:blip r:embed="rId14"/>
                    <a:stretch>
                      <a:fillRect/>
                    </a:stretch>
                  </pic:blipFill>
                  <pic:spPr>
                    <a:xfrm>
                      <a:off x="0" y="0"/>
                      <a:ext cx="5267325" cy="2633980"/>
                    </a:xfrm>
                    <a:prstGeom prst="rect">
                      <a:avLst/>
                    </a:prstGeom>
                  </pic:spPr>
                </pic:pic>
              </a:graphicData>
            </a:graphic>
          </wp:inline>
        </w:drawing>
      </w:r>
    </w:p>
    <w:p w14:paraId="286C3390" w14:textId="77777777" w:rsidR="004B3261" w:rsidRDefault="00000000">
      <w:pPr>
        <w:pStyle w:val="aa"/>
      </w:pPr>
      <w:r>
        <w:t>图</w:t>
      </w:r>
      <w:r>
        <w:t xml:space="preserve"> </w:t>
      </w:r>
      <w:r>
        <w:rPr>
          <w:rFonts w:hint="eastAsia"/>
        </w:rPr>
        <w:t>5</w:t>
      </w:r>
      <w:r>
        <w:t xml:space="preserve">-1 LSTM </w:t>
      </w:r>
      <w:r>
        <w:t>模型训练损失函数（</w:t>
      </w:r>
      <w:r>
        <w:t>Loss</w:t>
      </w:r>
      <w:r>
        <w:t>）收敛曲线</w:t>
      </w:r>
    </w:p>
    <w:p w14:paraId="5A02D9F4" w14:textId="77777777" w:rsidR="004B3261" w:rsidRDefault="00000000">
      <w:pPr>
        <w:pStyle w:val="a3"/>
      </w:pPr>
      <w:r>
        <w:t>如图</w:t>
      </w:r>
      <w:r>
        <w:rPr>
          <w:rFonts w:hint="eastAsia"/>
        </w:rPr>
        <w:t>5</w:t>
      </w:r>
      <w:r>
        <w:t>-1</w:t>
      </w:r>
      <w:r>
        <w:t>所示，随着迭代周期（</w:t>
      </w:r>
      <w:r>
        <w:t>Epoch</w:t>
      </w:r>
      <w:r>
        <w:t>）</w:t>
      </w:r>
      <w:r>
        <w:rPr>
          <w:rFonts w:hint="eastAsia"/>
        </w:rPr>
        <w:t>不断</w:t>
      </w:r>
      <w:r>
        <w:t>推进</w:t>
      </w:r>
      <w:r>
        <w:rPr>
          <w:rFonts w:hint="eastAsia"/>
        </w:rPr>
        <w:t>下去</w:t>
      </w:r>
      <w:r>
        <w:t>，训练集与验证集的损失值</w:t>
      </w:r>
      <w:r>
        <w:rPr>
          <w:rFonts w:hint="eastAsia"/>
        </w:rPr>
        <w:t>都出现了</w:t>
      </w:r>
      <w:r>
        <w:t>显著的负指数型下降</w:t>
      </w:r>
      <w:r>
        <w:rPr>
          <w:rFonts w:hint="eastAsia"/>
        </w:rPr>
        <w:t>趋势</w:t>
      </w:r>
      <w:r>
        <w:t>，最终在高精度区间</w:t>
      </w:r>
      <w:r>
        <w:rPr>
          <w:rFonts w:hint="eastAsia"/>
        </w:rPr>
        <w:t>逐渐</w:t>
      </w:r>
      <w:r>
        <w:t>趋于平稳。</w:t>
      </w:r>
      <w:r>
        <w:rPr>
          <w:rFonts w:hint="eastAsia"/>
        </w:rPr>
        <w:t>整个</w:t>
      </w:r>
      <w:r>
        <w:t>收敛过程中</w:t>
      </w:r>
      <w:r>
        <w:rPr>
          <w:rFonts w:hint="eastAsia"/>
        </w:rPr>
        <w:t>这两条曲</w:t>
      </w:r>
      <w:r>
        <w:rPr>
          <w:rFonts w:hint="eastAsia"/>
        </w:rPr>
        <w:lastRenderedPageBreak/>
        <w:t>线一直</w:t>
      </w:r>
      <w:r>
        <w:t>保持</w:t>
      </w:r>
      <w:r>
        <w:rPr>
          <w:rFonts w:hint="eastAsia"/>
        </w:rPr>
        <w:t>着</w:t>
      </w:r>
      <w:r>
        <w:t>高度的同步性，</w:t>
      </w:r>
      <w:r>
        <w:rPr>
          <w:rFonts w:hint="eastAsia"/>
        </w:rPr>
        <w:t>没有</w:t>
      </w:r>
      <w:r>
        <w:t>出现明显的震荡或泛化</w:t>
      </w:r>
      <w:r>
        <w:rPr>
          <w:rFonts w:hint="eastAsia"/>
        </w:rPr>
        <w:t>上的</w:t>
      </w:r>
      <w:r>
        <w:t>偏差</w:t>
      </w:r>
      <w:r>
        <w:rPr>
          <w:rFonts w:hint="eastAsia"/>
        </w:rPr>
        <w:t>问题</w:t>
      </w:r>
      <w:r>
        <w:t>，</w:t>
      </w:r>
      <w:r>
        <w:rPr>
          <w:rFonts w:hint="eastAsia"/>
        </w:rPr>
        <w:t>这</w:t>
      </w:r>
      <w:r>
        <w:t>表明模型参数</w:t>
      </w:r>
      <w:r>
        <w:rPr>
          <w:rFonts w:hint="eastAsia"/>
        </w:rPr>
        <w:t>已</w:t>
      </w:r>
      <w:r>
        <w:t>达到最优搜索区间，训练效果符合预期。</w:t>
      </w:r>
    </w:p>
    <w:p w14:paraId="3A7039C9" w14:textId="77777777" w:rsidR="004B3261" w:rsidRDefault="00000000">
      <w:pPr>
        <w:pStyle w:val="2"/>
        <w:spacing w:before="156" w:after="156"/>
      </w:pPr>
      <w:bookmarkStart w:id="44" w:name="_Toc29946"/>
      <w:bookmarkStart w:id="45" w:name="_Toc6425"/>
      <w:bookmarkStart w:id="46" w:name="_Toc10431"/>
      <w:r>
        <w:rPr>
          <w:rFonts w:hint="eastAsia"/>
        </w:rPr>
        <w:t>（二）</w:t>
      </w:r>
      <w:r>
        <w:t>预测精度评估与跨模型对比</w:t>
      </w:r>
      <w:bookmarkEnd w:id="44"/>
      <w:bookmarkEnd w:id="45"/>
      <w:bookmarkEnd w:id="46"/>
    </w:p>
    <w:p w14:paraId="7E65AD2E" w14:textId="77777777" w:rsidR="004B3261" w:rsidRDefault="00000000">
      <w:pPr>
        <w:pStyle w:val="a3"/>
      </w:pPr>
      <w:r>
        <w:t>为客观定量地评价验证模型的性能，本章选取决定系数（</w:t>
      </w:r>
      <w:r>
        <w:t>R</w:t>
      </w:r>
      <w:r>
        <w:rPr>
          <w:vertAlign w:val="superscript"/>
        </w:rPr>
        <w:t>2</w:t>
      </w:r>
      <w:r>
        <w:t>）与均方根误差（</w:t>
      </w:r>
      <w:r>
        <w:t>RMSE</w:t>
      </w:r>
      <w:r>
        <w:t>）作为评价指标，并将结果与</w:t>
      </w:r>
      <w:r>
        <w:rPr>
          <w:rFonts w:hint="eastAsia"/>
        </w:rPr>
        <w:t>图</w:t>
      </w:r>
      <w:r>
        <w:rPr>
          <w:rFonts w:hint="eastAsia"/>
        </w:rPr>
        <w:t>4-2</w:t>
      </w:r>
      <w:r>
        <w:t>集成学习模型进行横向对比。</w:t>
      </w:r>
    </w:p>
    <w:p w14:paraId="1DB1C3C3" w14:textId="77777777" w:rsidR="004B3261" w:rsidRDefault="00000000">
      <w:pPr>
        <w:jc w:val="center"/>
      </w:pPr>
      <w:r>
        <w:rPr>
          <w:noProof/>
        </w:rPr>
        <w:drawing>
          <wp:inline distT="0" distB="0" distL="114300" distR="114300" wp14:anchorId="3DEEB719" wp14:editId="09F30AEF">
            <wp:extent cx="3934460" cy="3496945"/>
            <wp:effectExtent l="0" t="0" r="2540" b="8255"/>
            <wp:docPr id="13" name="图片 13" descr="4c621af148fbf3a073dbe1bafae8e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4c621af148fbf3a073dbe1bafae8e434"/>
                    <pic:cNvPicPr>
                      <a:picLocks noChangeAspect="1"/>
                    </pic:cNvPicPr>
                  </pic:nvPicPr>
                  <pic:blipFill>
                    <a:blip r:embed="rId15"/>
                    <a:stretch>
                      <a:fillRect/>
                    </a:stretch>
                  </pic:blipFill>
                  <pic:spPr>
                    <a:xfrm>
                      <a:off x="0" y="0"/>
                      <a:ext cx="3934460" cy="3496945"/>
                    </a:xfrm>
                    <a:prstGeom prst="rect">
                      <a:avLst/>
                    </a:prstGeom>
                  </pic:spPr>
                </pic:pic>
              </a:graphicData>
            </a:graphic>
          </wp:inline>
        </w:drawing>
      </w:r>
    </w:p>
    <w:p w14:paraId="47AFC1AB" w14:textId="77777777" w:rsidR="004B3261" w:rsidRDefault="00000000">
      <w:pPr>
        <w:pStyle w:val="aa"/>
      </w:pPr>
      <w:r>
        <w:t>图</w:t>
      </w:r>
      <w:r>
        <w:rPr>
          <w:rFonts w:hint="eastAsia"/>
        </w:rPr>
        <w:t>5</w:t>
      </w:r>
      <w:r>
        <w:t xml:space="preserve">-2 LSTM </w:t>
      </w:r>
      <w:r>
        <w:t>模型预测值与真实值拟合散点图</w:t>
      </w:r>
    </w:p>
    <w:p w14:paraId="3CA58EF1" w14:textId="77777777" w:rsidR="004B3261" w:rsidRDefault="00000000">
      <w:pPr>
        <w:pStyle w:val="ab"/>
      </w:pPr>
      <w:r>
        <w:t>表</w:t>
      </w:r>
      <w:r>
        <w:rPr>
          <w:rFonts w:hint="eastAsia"/>
        </w:rPr>
        <w:t>5</w:t>
      </w:r>
      <w:r>
        <w:t xml:space="preserve">-1 </w:t>
      </w:r>
      <w:r>
        <w:t>不同模型预测性能对比表</w:t>
      </w:r>
    </w:p>
    <w:tbl>
      <w:tblPr>
        <w:tblStyle w:val="a7"/>
        <w:tblW w:w="0" w:type="auto"/>
        <w:tblLook w:val="04A0" w:firstRow="1" w:lastRow="0" w:firstColumn="1" w:lastColumn="0" w:noHBand="0" w:noVBand="1"/>
      </w:tblPr>
      <w:tblGrid>
        <w:gridCol w:w="2760"/>
        <w:gridCol w:w="2771"/>
        <w:gridCol w:w="2765"/>
      </w:tblGrid>
      <w:tr w:rsidR="004B3261" w14:paraId="67C7830D" w14:textId="77777777">
        <w:tc>
          <w:tcPr>
            <w:tcW w:w="2760" w:type="dxa"/>
          </w:tcPr>
          <w:p w14:paraId="36699AE1" w14:textId="77777777" w:rsidR="004B3261" w:rsidRDefault="00000000">
            <w:pPr>
              <w:jc w:val="center"/>
              <w:rPr>
                <w:kern w:val="0"/>
                <w:sz w:val="20"/>
                <w:szCs w:val="20"/>
              </w:rPr>
            </w:pPr>
            <w:r>
              <w:rPr>
                <w:rFonts w:hint="eastAsia"/>
                <w:kern w:val="0"/>
                <w:sz w:val="20"/>
                <w:szCs w:val="20"/>
              </w:rPr>
              <w:t>评估指标</w:t>
            </w:r>
          </w:p>
        </w:tc>
        <w:tc>
          <w:tcPr>
            <w:tcW w:w="2771" w:type="dxa"/>
          </w:tcPr>
          <w:p w14:paraId="0C676FBA" w14:textId="77777777" w:rsidR="004B3261" w:rsidRDefault="00000000">
            <w:pPr>
              <w:jc w:val="center"/>
              <w:rPr>
                <w:kern w:val="0"/>
                <w:sz w:val="20"/>
                <w:szCs w:val="20"/>
              </w:rPr>
            </w:pPr>
            <w:r>
              <w:rPr>
                <w:rFonts w:hint="eastAsia"/>
                <w:kern w:val="0"/>
                <w:sz w:val="20"/>
                <w:szCs w:val="20"/>
              </w:rPr>
              <w:t>XGBoost</w:t>
            </w:r>
            <w:r>
              <w:rPr>
                <w:rFonts w:hint="eastAsia"/>
                <w:kern w:val="0"/>
                <w:sz w:val="20"/>
                <w:szCs w:val="20"/>
              </w:rPr>
              <w:t>模型</w:t>
            </w:r>
          </w:p>
        </w:tc>
        <w:tc>
          <w:tcPr>
            <w:tcW w:w="2765" w:type="dxa"/>
          </w:tcPr>
          <w:p w14:paraId="7735D8B5" w14:textId="77777777" w:rsidR="004B3261" w:rsidRDefault="00000000">
            <w:pPr>
              <w:jc w:val="center"/>
              <w:rPr>
                <w:kern w:val="0"/>
                <w:sz w:val="20"/>
                <w:szCs w:val="20"/>
              </w:rPr>
            </w:pPr>
            <w:r>
              <w:rPr>
                <w:rFonts w:hint="eastAsia"/>
                <w:kern w:val="0"/>
                <w:sz w:val="20"/>
                <w:szCs w:val="20"/>
              </w:rPr>
              <w:t>LSTM</w:t>
            </w:r>
            <w:r>
              <w:rPr>
                <w:rFonts w:hint="eastAsia"/>
                <w:kern w:val="0"/>
                <w:sz w:val="20"/>
                <w:szCs w:val="20"/>
              </w:rPr>
              <w:t>验证模型</w:t>
            </w:r>
          </w:p>
        </w:tc>
      </w:tr>
      <w:tr w:rsidR="004B3261" w14:paraId="6045F882" w14:textId="77777777">
        <w:tc>
          <w:tcPr>
            <w:tcW w:w="2760" w:type="dxa"/>
          </w:tcPr>
          <w:p w14:paraId="6BFB67C1" w14:textId="77777777" w:rsidR="004B3261" w:rsidRDefault="00000000">
            <w:pPr>
              <w:jc w:val="center"/>
              <w:rPr>
                <w:kern w:val="0"/>
                <w:sz w:val="20"/>
                <w:szCs w:val="20"/>
              </w:rPr>
            </w:pPr>
            <w:r>
              <w:rPr>
                <w:rFonts w:hint="eastAsia"/>
                <w:kern w:val="0"/>
                <w:sz w:val="20"/>
                <w:szCs w:val="20"/>
              </w:rPr>
              <w:t>决定系数</w:t>
            </w:r>
            <w:r>
              <w:rPr>
                <w:rFonts w:hint="eastAsia"/>
                <w:kern w:val="0"/>
                <w:sz w:val="20"/>
                <w:szCs w:val="20"/>
              </w:rPr>
              <w:t>R2</w:t>
            </w:r>
          </w:p>
        </w:tc>
        <w:tc>
          <w:tcPr>
            <w:tcW w:w="2771" w:type="dxa"/>
          </w:tcPr>
          <w:p w14:paraId="26C855BE" w14:textId="77777777" w:rsidR="004B3261" w:rsidRDefault="00000000">
            <w:pPr>
              <w:jc w:val="center"/>
              <w:rPr>
                <w:kern w:val="0"/>
                <w:sz w:val="20"/>
                <w:szCs w:val="20"/>
              </w:rPr>
            </w:pPr>
            <w:r>
              <w:rPr>
                <w:rFonts w:hint="eastAsia"/>
                <w:kern w:val="0"/>
                <w:sz w:val="20"/>
                <w:szCs w:val="20"/>
              </w:rPr>
              <w:t>0.6293</w:t>
            </w:r>
          </w:p>
        </w:tc>
        <w:tc>
          <w:tcPr>
            <w:tcW w:w="2765" w:type="dxa"/>
          </w:tcPr>
          <w:p w14:paraId="6E8E32F6" w14:textId="77777777" w:rsidR="004B3261" w:rsidRDefault="00000000">
            <w:pPr>
              <w:jc w:val="center"/>
              <w:rPr>
                <w:kern w:val="0"/>
                <w:sz w:val="20"/>
                <w:szCs w:val="20"/>
              </w:rPr>
            </w:pPr>
            <w:r>
              <w:rPr>
                <w:rFonts w:hint="eastAsia"/>
                <w:kern w:val="0"/>
                <w:sz w:val="20"/>
                <w:szCs w:val="20"/>
              </w:rPr>
              <w:t>0.6619</w:t>
            </w:r>
          </w:p>
        </w:tc>
      </w:tr>
      <w:tr w:rsidR="004B3261" w14:paraId="242181E0" w14:textId="77777777">
        <w:tc>
          <w:tcPr>
            <w:tcW w:w="2760" w:type="dxa"/>
          </w:tcPr>
          <w:p w14:paraId="775B77DA" w14:textId="77777777" w:rsidR="004B3261" w:rsidRDefault="00000000">
            <w:pPr>
              <w:jc w:val="center"/>
              <w:rPr>
                <w:kern w:val="0"/>
                <w:sz w:val="20"/>
                <w:szCs w:val="20"/>
              </w:rPr>
            </w:pPr>
            <w:r>
              <w:rPr>
                <w:rFonts w:hint="eastAsia"/>
                <w:kern w:val="0"/>
                <w:sz w:val="20"/>
                <w:szCs w:val="20"/>
              </w:rPr>
              <w:t>均方根误差</w:t>
            </w:r>
            <w:r>
              <w:rPr>
                <w:rFonts w:hint="eastAsia"/>
                <w:kern w:val="0"/>
                <w:sz w:val="20"/>
                <w:szCs w:val="20"/>
              </w:rPr>
              <w:t>RMSE</w:t>
            </w:r>
          </w:p>
        </w:tc>
        <w:tc>
          <w:tcPr>
            <w:tcW w:w="2771" w:type="dxa"/>
          </w:tcPr>
          <w:p w14:paraId="0B11E43A" w14:textId="77777777" w:rsidR="004B3261" w:rsidRDefault="00000000">
            <w:pPr>
              <w:jc w:val="center"/>
              <w:rPr>
                <w:kern w:val="0"/>
                <w:sz w:val="20"/>
                <w:szCs w:val="20"/>
              </w:rPr>
            </w:pPr>
            <w:r>
              <w:rPr>
                <w:rFonts w:hint="eastAsia"/>
                <w:kern w:val="0"/>
                <w:sz w:val="20"/>
                <w:szCs w:val="20"/>
              </w:rPr>
              <w:t>0.0051</w:t>
            </w:r>
          </w:p>
        </w:tc>
        <w:tc>
          <w:tcPr>
            <w:tcW w:w="2765" w:type="dxa"/>
          </w:tcPr>
          <w:p w14:paraId="486D4CA0" w14:textId="77777777" w:rsidR="004B3261" w:rsidRDefault="00000000">
            <w:pPr>
              <w:jc w:val="center"/>
              <w:rPr>
                <w:kern w:val="0"/>
                <w:sz w:val="20"/>
                <w:szCs w:val="20"/>
              </w:rPr>
            </w:pPr>
            <w:r>
              <w:rPr>
                <w:rFonts w:hint="eastAsia"/>
                <w:kern w:val="0"/>
                <w:sz w:val="20"/>
                <w:szCs w:val="20"/>
              </w:rPr>
              <w:t>0.0046</w:t>
            </w:r>
          </w:p>
        </w:tc>
      </w:tr>
    </w:tbl>
    <w:p w14:paraId="3480297F" w14:textId="77777777" w:rsidR="004B3261" w:rsidRDefault="00000000">
      <w:pPr>
        <w:pStyle w:val="a3"/>
      </w:pPr>
      <w:r>
        <w:rPr>
          <w:rFonts w:hint="eastAsia"/>
        </w:rPr>
        <w:t>观察</w:t>
      </w:r>
      <w:r>
        <w:t>图</w:t>
      </w:r>
      <w:r>
        <w:t>5-2</w:t>
      </w:r>
      <w:r>
        <w:t>和表</w:t>
      </w:r>
      <w:r>
        <w:t>5-1</w:t>
      </w:r>
      <w:r>
        <w:t>的数据</w:t>
      </w:r>
      <w:r>
        <w:rPr>
          <w:rFonts w:hint="eastAsia"/>
        </w:rPr>
        <w:t>可以发现</w:t>
      </w:r>
      <w:r>
        <w:t>, LSTM</w:t>
      </w:r>
      <w:r>
        <w:t>验证模型的拟合表现确实相当出色。在相同条件下</w:t>
      </w:r>
      <w:r>
        <w:t>,</w:t>
      </w:r>
      <w:r>
        <w:t>深度学习模型的</w:t>
      </w:r>
      <w:r>
        <w:t>R2</w:t>
      </w:r>
      <w:r>
        <w:t>指标</w:t>
      </w:r>
      <w:r>
        <w:t>,</w:t>
      </w:r>
      <w:r>
        <w:t>比集成学习模型要</w:t>
      </w:r>
      <w:r>
        <w:rPr>
          <w:rFonts w:hint="eastAsia"/>
        </w:rPr>
        <w:t>略有优化</w:t>
      </w:r>
      <w:r>
        <w:t>,</w:t>
      </w:r>
      <w:r>
        <w:t>同时</w:t>
      </w:r>
      <w:r>
        <w:t>RMSE</w:t>
      </w:r>
      <w:r>
        <w:t>也进一步缩小。这说明了我们构建的这个风险识别体系</w:t>
      </w:r>
      <w:r>
        <w:t>,</w:t>
      </w:r>
      <w:r>
        <w:t>不管是在</w:t>
      </w:r>
      <w:r>
        <w:rPr>
          <w:rFonts w:hint="eastAsia"/>
        </w:rPr>
        <w:t>放在</w:t>
      </w:r>
      <w:r>
        <w:t>哪种算法架构下面</w:t>
      </w:r>
      <w:r>
        <w:t>,</w:t>
      </w:r>
      <w:r>
        <w:t>都</w:t>
      </w:r>
      <w:r>
        <w:rPr>
          <w:rFonts w:hint="eastAsia"/>
        </w:rPr>
        <w:t>表</w:t>
      </w:r>
      <w:r>
        <w:t>现出了相当高的预测精度</w:t>
      </w:r>
      <w:r>
        <w:t>,</w:t>
      </w:r>
      <w:r>
        <w:t>前</w:t>
      </w:r>
      <w:r>
        <w:rPr>
          <w:rFonts w:hint="eastAsia"/>
        </w:rPr>
        <w:t>文</w:t>
      </w:r>
      <w:r>
        <w:t>的结果也因此得到了客观上的验证。</w:t>
      </w:r>
    </w:p>
    <w:p w14:paraId="33C4ACAD" w14:textId="77777777" w:rsidR="004B3261" w:rsidRDefault="00000000">
      <w:pPr>
        <w:pStyle w:val="2"/>
        <w:spacing w:before="156" w:after="156"/>
      </w:pPr>
      <w:bookmarkStart w:id="47" w:name="_Toc17279"/>
      <w:bookmarkStart w:id="48" w:name="_Toc28782"/>
      <w:bookmarkStart w:id="49" w:name="_Toc2377"/>
      <w:r>
        <w:rPr>
          <w:rFonts w:hint="eastAsia"/>
        </w:rPr>
        <w:t>（三）</w:t>
      </w:r>
      <w:r>
        <w:t>风险演化趋势一致性验证</w:t>
      </w:r>
      <w:bookmarkEnd w:id="47"/>
      <w:bookmarkEnd w:id="48"/>
      <w:bookmarkEnd w:id="49"/>
    </w:p>
    <w:p w14:paraId="1B2143E3" w14:textId="77777777" w:rsidR="004B3261" w:rsidRDefault="00000000">
      <w:pPr>
        <w:pStyle w:val="a3"/>
        <w:jc w:val="center"/>
      </w:pPr>
      <w:r>
        <w:t>为进一步考察模型在时间维度上的表现，本研究绘制了测试集样本的风险值时序对比图。</w:t>
      </w:r>
      <w:r>
        <w:rPr>
          <w:noProof/>
        </w:rPr>
        <w:lastRenderedPageBreak/>
        <w:drawing>
          <wp:inline distT="0" distB="0" distL="114300" distR="114300" wp14:anchorId="4BF725ED" wp14:editId="6376CA4A">
            <wp:extent cx="5269230" cy="2195830"/>
            <wp:effectExtent l="0" t="0" r="1270" b="1270"/>
            <wp:docPr id="14" name="图片 14"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0"/>
                    <pic:cNvPicPr>
                      <a:picLocks noChangeAspect="1"/>
                    </pic:cNvPicPr>
                  </pic:nvPicPr>
                  <pic:blipFill>
                    <a:blip r:embed="rId16"/>
                    <a:stretch>
                      <a:fillRect/>
                    </a:stretch>
                  </pic:blipFill>
                  <pic:spPr>
                    <a:xfrm>
                      <a:off x="0" y="0"/>
                      <a:ext cx="5269230" cy="2195830"/>
                    </a:xfrm>
                    <a:prstGeom prst="rect">
                      <a:avLst/>
                    </a:prstGeom>
                  </pic:spPr>
                </pic:pic>
              </a:graphicData>
            </a:graphic>
          </wp:inline>
        </w:drawing>
      </w:r>
      <w:r>
        <w:t>图</w:t>
      </w:r>
      <w:r>
        <w:t xml:space="preserve"> </w:t>
      </w:r>
      <w:r>
        <w:rPr>
          <w:rFonts w:hint="eastAsia"/>
        </w:rPr>
        <w:t>5</w:t>
      </w:r>
      <w:r>
        <w:t xml:space="preserve">-3 </w:t>
      </w:r>
      <w:r>
        <w:t>粮食单产风险时序预测趋势对比图</w:t>
      </w:r>
    </w:p>
    <w:p w14:paraId="6636298A" w14:textId="77777777" w:rsidR="004B3261" w:rsidRDefault="00000000">
      <w:pPr>
        <w:pStyle w:val="a3"/>
      </w:pPr>
      <w:bookmarkStart w:id="50" w:name="OLE_LINK1"/>
      <w:r>
        <w:t>结果分析：如图</w:t>
      </w:r>
      <w:r>
        <w:rPr>
          <w:rFonts w:hint="eastAsia"/>
        </w:rPr>
        <w:t>5</w:t>
      </w:r>
      <w:r>
        <w:t>-3</w:t>
      </w:r>
      <w:r>
        <w:t>所示，</w:t>
      </w:r>
      <w:r>
        <w:t>LSTM</w:t>
      </w:r>
      <w:r>
        <w:t>模型给出的预测轨迹和实际观测到的数据之间，呈现出了相当高的吻合度。这实际上意味着模型成功捕捉到了粮食单产风险随着环境因子变化而波动的内在规律，</w:t>
      </w:r>
      <w:r>
        <w:rPr>
          <w:rFonts w:hint="eastAsia"/>
        </w:rPr>
        <w:t>同时</w:t>
      </w:r>
      <w:r>
        <w:t>也在某种程度上证实了它在刻画时间序列动态演变方面的能力是比较强的。</w:t>
      </w:r>
      <w:bookmarkEnd w:id="50"/>
    </w:p>
    <w:p w14:paraId="46E47750" w14:textId="77777777" w:rsidR="004B3261" w:rsidRDefault="00000000">
      <w:pPr>
        <w:pStyle w:val="2"/>
        <w:spacing w:before="156" w:after="156"/>
      </w:pPr>
      <w:bookmarkStart w:id="51" w:name="_Toc27489"/>
      <w:bookmarkStart w:id="52" w:name="_Toc3041"/>
      <w:bookmarkStart w:id="53" w:name="_Toc26394"/>
      <w:r>
        <w:rPr>
          <w:rFonts w:hint="eastAsia"/>
        </w:rPr>
        <w:t>（四）</w:t>
      </w:r>
      <w:r>
        <w:t>结果稳健性讨论</w:t>
      </w:r>
      <w:bookmarkEnd w:id="51"/>
      <w:bookmarkEnd w:id="52"/>
      <w:bookmarkEnd w:id="53"/>
    </w:p>
    <w:p w14:paraId="45C20C48" w14:textId="77777777" w:rsidR="004B3261" w:rsidRDefault="00000000">
      <w:pPr>
        <w:pStyle w:val="a3"/>
      </w:pPr>
      <w:r>
        <w:t>为进一步验证前文实证分析结论的可靠性，排除模型算法选择对研究结果可能产生的偶然性干扰，本章引入深度学习领域中处理时序面板数据具有显著优势的长短期记忆网络（</w:t>
      </w:r>
      <w:r>
        <w:t>LSTM</w:t>
      </w:r>
      <w:r>
        <w:t>）作为验证模型。通过对相同样本数据进行训练，并结合</w:t>
      </w:r>
      <w:r>
        <w:t>SHAP</w:t>
      </w:r>
      <w:r>
        <w:t>归因分析框架，得到特征贡献度分布情况（见图</w:t>
      </w:r>
      <w:r>
        <w:t xml:space="preserve"> </w:t>
      </w:r>
      <w:r>
        <w:rPr>
          <w:rFonts w:hint="eastAsia"/>
        </w:rPr>
        <w:t>5</w:t>
      </w:r>
      <w:r>
        <w:t>-</w:t>
      </w:r>
      <w:r>
        <w:rPr>
          <w:rFonts w:hint="eastAsia"/>
        </w:rPr>
        <w:t>4</w:t>
      </w:r>
      <w:r>
        <w:t>）。</w:t>
      </w:r>
    </w:p>
    <w:p w14:paraId="405E064A" w14:textId="77777777" w:rsidR="004B3261" w:rsidRDefault="004B3261"/>
    <w:p w14:paraId="72242071" w14:textId="77777777" w:rsidR="004B3261" w:rsidRDefault="00000000">
      <w:pPr>
        <w:jc w:val="center"/>
      </w:pPr>
      <w:r>
        <w:rPr>
          <w:noProof/>
        </w:rPr>
        <w:drawing>
          <wp:inline distT="0" distB="0" distL="114300" distR="114300" wp14:anchorId="5F3B66E0" wp14:editId="04E69218">
            <wp:extent cx="4530725" cy="3219450"/>
            <wp:effectExtent l="0" t="0" r="3175" b="6350"/>
            <wp:docPr id="18" name="图片 18" descr="5dc8774453478e61acd568e6661b01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5dc8774453478e61acd568e6661b011c"/>
                    <pic:cNvPicPr>
                      <a:picLocks noChangeAspect="1"/>
                    </pic:cNvPicPr>
                  </pic:nvPicPr>
                  <pic:blipFill>
                    <a:blip r:embed="rId17"/>
                    <a:srcRect l="1529" t="1857" r="5070" b="1611"/>
                    <a:stretch>
                      <a:fillRect/>
                    </a:stretch>
                  </pic:blipFill>
                  <pic:spPr>
                    <a:xfrm>
                      <a:off x="0" y="0"/>
                      <a:ext cx="4530725" cy="3219450"/>
                    </a:xfrm>
                    <a:prstGeom prst="rect">
                      <a:avLst/>
                    </a:prstGeom>
                  </pic:spPr>
                </pic:pic>
              </a:graphicData>
            </a:graphic>
          </wp:inline>
        </w:drawing>
      </w:r>
    </w:p>
    <w:p w14:paraId="6EFD8DE7" w14:textId="77777777" w:rsidR="004B3261" w:rsidRDefault="00000000">
      <w:pPr>
        <w:pStyle w:val="aa"/>
      </w:pPr>
      <w:r>
        <w:t>图</w:t>
      </w:r>
      <w:r>
        <w:rPr>
          <w:rFonts w:hint="eastAsia"/>
        </w:rPr>
        <w:t>5</w:t>
      </w:r>
      <w:r>
        <w:t>-</w:t>
      </w:r>
      <w:r>
        <w:rPr>
          <w:rFonts w:hint="eastAsia"/>
        </w:rPr>
        <w:t>4</w:t>
      </w:r>
      <w:r>
        <w:t>基于</w:t>
      </w:r>
      <w:r>
        <w:t xml:space="preserve"> L</w:t>
      </w:r>
      <w:r>
        <w:rPr>
          <w:rFonts w:hint="eastAsia"/>
        </w:rPr>
        <w:t>y</w:t>
      </w:r>
      <w:r>
        <w:t xml:space="preserve">STM </w:t>
      </w:r>
      <w:r>
        <w:t>验证模型的各特征影响力分布（</w:t>
      </w:r>
      <w:r>
        <w:t>SHAP</w:t>
      </w:r>
      <w:r>
        <w:t>）</w:t>
      </w:r>
    </w:p>
    <w:p w14:paraId="1039C4B1" w14:textId="77777777" w:rsidR="004B3261" w:rsidRDefault="00000000">
      <w:pPr>
        <w:pStyle w:val="a3"/>
      </w:pPr>
      <w:r>
        <w:lastRenderedPageBreak/>
        <w:t>从图</w:t>
      </w:r>
      <w:r>
        <w:rPr>
          <w:rFonts w:hint="eastAsia"/>
        </w:rPr>
        <w:t>5</w:t>
      </w:r>
      <w:r>
        <w:t>-</w:t>
      </w:r>
      <w:r>
        <w:rPr>
          <w:rFonts w:hint="eastAsia"/>
        </w:rPr>
        <w:t>4</w:t>
      </w:r>
      <w:r>
        <w:t>的分布结果来看，验证模型不仅拟合精度表现良好，其核心逻辑</w:t>
      </w:r>
      <w:r>
        <w:rPr>
          <w:rFonts w:hint="eastAsia"/>
        </w:rPr>
        <w:t>也表</w:t>
      </w:r>
      <w:r>
        <w:t>现出极强的稳健性：</w:t>
      </w:r>
    </w:p>
    <w:p w14:paraId="133B71D3" w14:textId="77777777" w:rsidR="004B3261" w:rsidRDefault="00000000">
      <w:pPr>
        <w:pStyle w:val="a3"/>
        <w:ind w:firstLineChars="0"/>
      </w:pPr>
      <w:r>
        <w:rPr>
          <w:rFonts w:hint="eastAsia"/>
        </w:rPr>
        <w:t>①核心驱动因子高度一致：在</w:t>
      </w:r>
      <w:r>
        <w:rPr>
          <w:rFonts w:hint="eastAsia"/>
        </w:rPr>
        <w:t>LSTM</w:t>
      </w:r>
      <w:r>
        <w:rPr>
          <w:rFonts w:hint="eastAsia"/>
        </w:rPr>
        <w:t>模型架构之下，对粮食单产风险解释力最强的几个变量，依然是灌溉率、洪涝占比和日照时数，这跟前文基于</w:t>
      </w:r>
      <w:r>
        <w:rPr>
          <w:rFonts w:hint="eastAsia"/>
        </w:rPr>
        <w:t>XGBoost</w:t>
      </w:r>
      <w:r>
        <w:rPr>
          <w:rFonts w:hint="eastAsia"/>
        </w:rPr>
        <w:t>模型识别出的关键致灾因子和环境因子高度重合，说明这些因子的作用似乎并不局限于某个特定的算法，而是具有跨越不同算法的普通适用性。</w:t>
      </w:r>
    </w:p>
    <w:p w14:paraId="6A8A75FB" w14:textId="77777777" w:rsidR="004B3261" w:rsidRDefault="00000000">
      <w:pPr>
        <w:pStyle w:val="a3"/>
        <w:ind w:firstLineChars="0"/>
      </w:pPr>
      <w:r>
        <w:rPr>
          <w:rFonts w:hint="eastAsia"/>
        </w:rPr>
        <w:t>②作用方向逻辑自洽：</w:t>
      </w:r>
      <w:r>
        <w:t>各因子边际作用的方向是否具备一致性，可从图中红蓝色散点的分布规律清晰呈现出来，早前的判定再次被证实，即完善的水利灌溉设施的确能够有效地降低单位产量风险，灌溉率处于高位（红色点）的区域明显地在负半轴一侧聚集，揭示出洪水存在提升风险的效应，此表现为它的占比高值多数分布在正半轴区域。</w:t>
      </w:r>
    </w:p>
    <w:p w14:paraId="5CDCFF37" w14:textId="77777777" w:rsidR="004B3261" w:rsidRDefault="00000000">
      <w:pPr>
        <w:pStyle w:val="a3"/>
        <w:ind w:firstLineChars="0"/>
      </w:pPr>
      <w:r>
        <w:rPr>
          <w:rFonts w:hint="eastAsia"/>
        </w:rPr>
        <w:t>③特征梯度分布自然：</w:t>
      </w:r>
      <w:r>
        <w:t>图里特别贡献程度展现出一种从顶部到底部较为自然的梯度式递减情形，除了一些核心驱动要素之外，像化肥使用量、农业机械化水平这类辅助因素，也呈现出了某些与预期一致的轻微调节作用。</w:t>
      </w:r>
    </w:p>
    <w:p w14:paraId="2537C370" w14:textId="77777777" w:rsidR="004B3261" w:rsidRDefault="00000000">
      <w:pPr>
        <w:pStyle w:val="a3"/>
        <w:ind w:firstLineChars="0"/>
      </w:pPr>
      <w:r>
        <w:t>这套由本文搭建的粮食单产风险评估体系，不管是在深度学习架构下验证，还是在机器学习架构下验证，都完成了逻辑维度的核验，经由实证研究获得的论断具备极高的稳固性，它不但极为精确地捕捉到了过往数据里潜藏的规则，还为后续尚待探讨的风险管控政策建议给予了较为坚实的科学依据。</w:t>
      </w:r>
    </w:p>
    <w:p w14:paraId="67516D16" w14:textId="77777777" w:rsidR="004B3261" w:rsidRDefault="00000000">
      <w:pPr>
        <w:pStyle w:val="2"/>
        <w:spacing w:before="156" w:after="156"/>
      </w:pPr>
      <w:r>
        <w:rPr>
          <w:rFonts w:hint="eastAsia"/>
        </w:rPr>
        <w:t>（五）预测视角下的粮食生产风险防控与韧性提升</w:t>
      </w:r>
    </w:p>
    <w:p w14:paraId="39D2D72F" w14:textId="77777777" w:rsidR="004B3261" w:rsidRDefault="00000000">
      <w:pPr>
        <w:pStyle w:val="a3"/>
      </w:pPr>
      <w:r>
        <w:t>本章</w:t>
      </w:r>
      <w:r>
        <w:rPr>
          <w:rFonts w:hint="eastAsia"/>
        </w:rPr>
        <w:t>通过</w:t>
      </w:r>
      <w:r>
        <w:t>构建</w:t>
      </w:r>
      <w:r>
        <w:t>LSTM</w:t>
      </w:r>
      <w:r>
        <w:t>深度学习模型来拟合粮食生产风险并进行了跨模型验证。这个模型在捕捉时间序列特征方面表现出色，因此，从预测的角度看，</w:t>
      </w:r>
      <w:r>
        <w:rPr>
          <w:rFonts w:hint="eastAsia"/>
        </w:rPr>
        <w:t>提出以下</w:t>
      </w:r>
      <w:r>
        <w:t>关于风险防控和提升系统韧性的策略</w:t>
      </w:r>
      <w:r>
        <w:rPr>
          <w:rFonts w:hint="eastAsia"/>
        </w:rPr>
        <w:t>：</w:t>
      </w:r>
    </w:p>
    <w:p w14:paraId="6895F905" w14:textId="77777777" w:rsidR="004B3261" w:rsidRDefault="00000000">
      <w:pPr>
        <w:pStyle w:val="a3"/>
        <w:ind w:firstLineChars="0" w:firstLine="0"/>
      </w:pPr>
      <w:r>
        <w:rPr>
          <w:rFonts w:hint="eastAsia"/>
        </w:rPr>
        <w:t>①构建动态预警机制，强化预测驱动的韧性响应：</w:t>
      </w:r>
      <w:r>
        <w:t>LSTM</w:t>
      </w:r>
      <w:r>
        <w:t>模型较高的拟合程度（</w:t>
      </w:r>
      <w:r>
        <w:t>R</w:t>
      </w:r>
      <w:r>
        <w:t>² </w:t>
      </w:r>
      <w:r>
        <w:t>= 0.6619</w:t>
      </w:r>
      <w:r>
        <w:t>）表明了粮食生产风险于时间层面上具有可预估性，能够构建农业风险大数据监控平台，凭借深度学习模型实施气象冲击滚动预估，凭借缩减从察觉风险到付诸行动的时间延迟，灾前预防的韧性管理能够由灾后救济转变而来，这给政府精确调配防灾资源的决策给予了支持。</w:t>
      </w:r>
    </w:p>
    <w:p w14:paraId="5C7F1194" w14:textId="77777777" w:rsidR="004B3261" w:rsidRDefault="00000000">
      <w:pPr>
        <w:pStyle w:val="a3"/>
        <w:ind w:firstLineChars="0" w:firstLine="0"/>
      </w:pPr>
      <w:r>
        <w:rPr>
          <w:rFonts w:hint="eastAsia"/>
        </w:rPr>
        <w:t>②实施跨区域差异化防控，优化空间维度的韧性布局：</w:t>
      </w:r>
      <w:r>
        <w:t>对空间维度的弹性布局加以优化，开展跨区域的差异化防控工作，且要按照各粮食主产区风险起伏的周期性规则来进行。在风险波动极为剧烈的地区，极为关键的是优先强化基础设施的抗灾能力，比如下大力气增加有效灌溉的范围；而在风险相对稳定但出现频次较高的地带，工作的重点也许要聚焦于健全农业保险体系以及对种子资源开展冗余留存方面，唯有凭借于空间维度实施优化调配，才能够更高效地分散可能产生的系统性危机。</w:t>
      </w:r>
    </w:p>
    <w:p w14:paraId="11D22FAA" w14:textId="77777777" w:rsidR="004B3261" w:rsidRDefault="00000000">
      <w:pPr>
        <w:pStyle w:val="a3"/>
      </w:pPr>
      <w:r>
        <w:rPr>
          <w:rFonts w:hint="eastAsia"/>
        </w:rPr>
        <w:t>③推动预测</w:t>
      </w:r>
      <w:r>
        <w:rPr>
          <w:rFonts w:hint="eastAsia"/>
        </w:rPr>
        <w:t>-</w:t>
      </w:r>
      <w:r>
        <w:rPr>
          <w:rFonts w:hint="eastAsia"/>
        </w:rPr>
        <w:t>识别</w:t>
      </w:r>
      <w:r>
        <w:rPr>
          <w:rFonts w:hint="eastAsia"/>
        </w:rPr>
        <w:t>-</w:t>
      </w:r>
      <w:r>
        <w:rPr>
          <w:rFonts w:hint="eastAsia"/>
        </w:rPr>
        <w:t>干预闭环体系建设：</w:t>
      </w:r>
      <w:r>
        <w:t>把致灾因素的判别成果和预测精准度的校验相融合，促成粮食安全保障的完备逻辑链路，先运用</w:t>
      </w:r>
      <w:r>
        <w:t>XGBoost</w:t>
      </w:r>
      <w:r>
        <w:t> </w:t>
      </w:r>
      <w:r>
        <w:t>-</w:t>
      </w:r>
      <w:r>
        <w:t> </w:t>
      </w:r>
      <w:r>
        <w:t>SHAP</w:t>
      </w:r>
      <w:r>
        <w:t>模型确定引发灾祸的核心因素，也就是风险的根源，接着利用</w:t>
      </w:r>
      <w:r>
        <w:t>LSTM</w:t>
      </w:r>
      <w:r>
        <w:t>模型实施风险发生时刻的精准预估，最终依照这些成果执行精确的干预行动，借助这种纯粹以数据为导向的闭环手段，能够从根本上提升我国农业体系在应对全球气候变迁时的综合调控与适应本领。</w:t>
      </w:r>
    </w:p>
    <w:p w14:paraId="477B3884" w14:textId="77777777" w:rsidR="004B3261" w:rsidRDefault="004B3261">
      <w:pPr>
        <w:pStyle w:val="a3"/>
        <w:ind w:firstLineChars="0" w:firstLine="0"/>
      </w:pPr>
    </w:p>
    <w:p w14:paraId="5D33FCCA" w14:textId="77777777" w:rsidR="004B3261" w:rsidRDefault="004B3261">
      <w:pPr>
        <w:pStyle w:val="a3"/>
        <w:ind w:leftChars="200" w:left="420" w:firstLineChars="0" w:firstLine="0"/>
      </w:pPr>
    </w:p>
    <w:p w14:paraId="2E75AD3F" w14:textId="77777777" w:rsidR="004B3261" w:rsidRDefault="00000000">
      <w:pPr>
        <w:keepNext/>
        <w:pageBreakBefore/>
        <w:adjustRightInd w:val="0"/>
        <w:spacing w:beforeLines="50" w:before="156" w:afterLines="50" w:after="156" w:line="360" w:lineRule="auto"/>
        <w:outlineLvl w:val="0"/>
        <w:rPr>
          <w:rFonts w:ascii="黑体" w:eastAsia="黑体" w:hAnsi="黑体" w:cs="黑体"/>
          <w:b/>
          <w:color w:val="000000"/>
          <w:kern w:val="44"/>
          <w:sz w:val="32"/>
          <w:szCs w:val="44"/>
        </w:rPr>
      </w:pPr>
      <w:bookmarkStart w:id="54" w:name="_Toc11650"/>
      <w:bookmarkEnd w:id="40"/>
      <w:r>
        <w:rPr>
          <w:rFonts w:ascii="Times New Roman" w:eastAsia="黑体" w:hAnsi="Times New Roman" w:cs="Times New Roman" w:hint="eastAsia"/>
          <w:b/>
          <w:color w:val="000000"/>
          <w:kern w:val="44"/>
          <w:sz w:val="32"/>
          <w:szCs w:val="44"/>
        </w:rPr>
        <w:lastRenderedPageBreak/>
        <w:t>六、</w:t>
      </w:r>
      <w:r>
        <w:rPr>
          <w:rFonts w:ascii="Times New Roman" w:eastAsia="黑体" w:hAnsi="Times New Roman" w:cs="Times New Roman"/>
          <w:b/>
          <w:color w:val="000000"/>
          <w:kern w:val="44"/>
          <w:sz w:val="32"/>
          <w:szCs w:val="44"/>
        </w:rPr>
        <w:t>结论与展望</w:t>
      </w:r>
      <w:bookmarkEnd w:id="54"/>
    </w:p>
    <w:p w14:paraId="738417E2" w14:textId="77777777" w:rsidR="004B3261" w:rsidRDefault="00000000">
      <w:pPr>
        <w:keepNext/>
        <w:adjustRightInd w:val="0"/>
        <w:spacing w:beforeLines="50" w:before="156" w:afterLines="50" w:after="156" w:line="360" w:lineRule="auto"/>
        <w:outlineLvl w:val="1"/>
        <w:rPr>
          <w:rFonts w:ascii="黑体" w:eastAsia="黑体" w:hAnsi="黑体" w:cs="黑体"/>
          <w:b/>
          <w:sz w:val="30"/>
          <w:szCs w:val="32"/>
        </w:rPr>
      </w:pPr>
      <w:bookmarkStart w:id="55" w:name="_Toc5761"/>
      <w:bookmarkStart w:id="56" w:name="_Toc4745"/>
      <w:bookmarkStart w:id="57" w:name="_Toc31096"/>
      <w:r>
        <w:rPr>
          <w:rFonts w:ascii="Times New Roman" w:eastAsia="黑体" w:hAnsi="Times New Roman" w:cs="Times New Roman" w:hint="eastAsia"/>
          <w:b/>
          <w:sz w:val="30"/>
          <w:szCs w:val="32"/>
        </w:rPr>
        <w:t>（一）</w:t>
      </w:r>
      <w:r>
        <w:rPr>
          <w:rFonts w:ascii="Times New Roman" w:eastAsia="黑体" w:hAnsi="Times New Roman" w:cs="Times New Roman"/>
          <w:b/>
          <w:sz w:val="30"/>
          <w:szCs w:val="32"/>
        </w:rPr>
        <w:t>研究结论</w:t>
      </w:r>
      <w:bookmarkEnd w:id="55"/>
      <w:bookmarkEnd w:id="56"/>
      <w:bookmarkEnd w:id="57"/>
    </w:p>
    <w:p w14:paraId="2D953CAD" w14:textId="77777777" w:rsidR="004B3261" w:rsidRDefault="00000000">
      <w:pPr>
        <w:ind w:firstLineChars="200" w:firstLine="420"/>
        <w:rPr>
          <w:rFonts w:ascii="Times New Roman" w:eastAsia="宋体" w:hAnsi="Calibri" w:cs="Times New Roman"/>
          <w:kern w:val="0"/>
          <w:szCs w:val="20"/>
        </w:rPr>
      </w:pPr>
      <w:r>
        <w:rPr>
          <w:rFonts w:ascii="Times New Roman" w:eastAsia="宋体" w:hAnsi="Calibri" w:cs="Times New Roman"/>
          <w:kern w:val="0"/>
          <w:szCs w:val="20"/>
        </w:rPr>
        <w:t>本文基于</w:t>
      </w:r>
      <w:r>
        <w:rPr>
          <w:rFonts w:ascii="Times New Roman" w:eastAsia="宋体" w:hAnsi="Calibri" w:cs="Times New Roman"/>
          <w:kern w:val="0"/>
          <w:szCs w:val="20"/>
        </w:rPr>
        <w:t>XGBoost-SHAP</w:t>
      </w:r>
      <w:r>
        <w:rPr>
          <w:rFonts w:ascii="Times New Roman" w:eastAsia="宋体" w:hAnsi="Calibri" w:cs="Times New Roman"/>
          <w:kern w:val="0"/>
          <w:szCs w:val="20"/>
        </w:rPr>
        <w:t>与</w:t>
      </w:r>
      <w:r>
        <w:rPr>
          <w:rFonts w:ascii="Times New Roman" w:eastAsia="宋体" w:hAnsi="Calibri" w:cs="Times New Roman"/>
          <w:kern w:val="0"/>
          <w:szCs w:val="20"/>
        </w:rPr>
        <w:t>LSTM</w:t>
      </w:r>
      <w:r>
        <w:rPr>
          <w:rFonts w:ascii="Times New Roman" w:eastAsia="宋体" w:hAnsi="Calibri" w:cs="Times New Roman"/>
          <w:kern w:val="0"/>
          <w:szCs w:val="20"/>
        </w:rPr>
        <w:t>深度学习模型，</w:t>
      </w:r>
      <w:r>
        <w:rPr>
          <w:rFonts w:ascii="Times New Roman" w:eastAsia="宋体" w:hAnsi="Calibri" w:cs="Times New Roman" w:hint="eastAsia"/>
          <w:kern w:val="0"/>
          <w:szCs w:val="20"/>
        </w:rPr>
        <w:t>以</w:t>
      </w:r>
      <w:r>
        <w:rPr>
          <w:rFonts w:ascii="Times New Roman" w:eastAsia="宋体" w:hAnsi="Calibri" w:cs="Times New Roman"/>
          <w:kern w:val="0"/>
          <w:szCs w:val="20"/>
        </w:rPr>
        <w:t>我国</w:t>
      </w:r>
      <w:r>
        <w:rPr>
          <w:rFonts w:ascii="Times New Roman" w:eastAsia="宋体" w:hAnsi="Calibri" w:cs="Times New Roman" w:hint="eastAsia"/>
          <w:kern w:val="0"/>
          <w:szCs w:val="20"/>
        </w:rPr>
        <w:t>2011</w:t>
      </w:r>
      <w:r>
        <w:rPr>
          <w:rFonts w:ascii="Times New Roman" w:eastAsia="宋体" w:hAnsi="Calibri" w:cs="Times New Roman" w:hint="eastAsia"/>
          <w:kern w:val="0"/>
          <w:szCs w:val="20"/>
        </w:rPr>
        <w:t>年</w:t>
      </w:r>
      <w:r>
        <w:rPr>
          <w:rFonts w:ascii="Times New Roman" w:eastAsia="宋体" w:hAnsi="Calibri" w:cs="Times New Roman" w:hint="eastAsia"/>
          <w:kern w:val="0"/>
          <w:szCs w:val="20"/>
        </w:rPr>
        <w:t>-2023</w:t>
      </w:r>
      <w:r>
        <w:rPr>
          <w:rFonts w:ascii="Times New Roman" w:eastAsia="宋体" w:hAnsi="Calibri" w:cs="Times New Roman" w:hint="eastAsia"/>
          <w:kern w:val="0"/>
          <w:szCs w:val="20"/>
        </w:rPr>
        <w:t>年省级面板数据为基础，对</w:t>
      </w:r>
      <w:r>
        <w:rPr>
          <w:rFonts w:ascii="Times New Roman" w:eastAsia="宋体" w:hAnsi="Calibri" w:cs="Times New Roman"/>
          <w:kern w:val="0"/>
          <w:szCs w:val="20"/>
        </w:rPr>
        <w:t>极端气候背景下的粮食生产风险的核心因子及韧性提升路径进行了双重验证分析，主要结论如下：</w:t>
      </w:r>
    </w:p>
    <w:p w14:paraId="51459130" w14:textId="77777777" w:rsidR="004B3261" w:rsidRDefault="00000000">
      <w:pPr>
        <w:ind w:firstLine="422"/>
        <w:rPr>
          <w:rFonts w:ascii="Times New Roman" w:eastAsia="宋体" w:hAnsi="Calibri" w:cs="Times New Roman"/>
          <w:b/>
          <w:kern w:val="0"/>
          <w:szCs w:val="20"/>
        </w:rPr>
      </w:pPr>
      <w:r>
        <w:rPr>
          <w:rFonts w:ascii="Times New Roman" w:eastAsia="宋体" w:hAnsi="Calibri" w:cs="Times New Roman" w:hint="eastAsia"/>
          <w:b/>
          <w:kern w:val="0"/>
          <w:szCs w:val="20"/>
        </w:rPr>
        <w:t xml:space="preserve">1. </w:t>
      </w:r>
      <w:r>
        <w:rPr>
          <w:rFonts w:ascii="Times New Roman" w:eastAsia="宋体" w:hAnsi="Calibri" w:cs="Times New Roman"/>
          <w:b/>
          <w:kern w:val="0"/>
          <w:szCs w:val="20"/>
        </w:rPr>
        <w:t>核心风险因子识别</w:t>
      </w:r>
    </w:p>
    <w:p w14:paraId="74DFBE31" w14:textId="77777777" w:rsidR="004B3261" w:rsidRDefault="00000000">
      <w:pPr>
        <w:ind w:firstLineChars="200" w:firstLine="420"/>
        <w:rPr>
          <w:rFonts w:ascii="Times New Roman" w:eastAsia="宋体" w:hAnsi="Calibri" w:cs="Times New Roman"/>
          <w:kern w:val="0"/>
          <w:szCs w:val="20"/>
        </w:rPr>
      </w:pPr>
      <w:r>
        <w:rPr>
          <w:rFonts w:ascii="Times New Roman" w:eastAsia="宋体" w:hAnsi="Calibri" w:cs="Times New Roman"/>
          <w:kern w:val="0"/>
          <w:szCs w:val="20"/>
        </w:rPr>
        <w:t>通过原始特征重要性、特征相关性以及</w:t>
      </w:r>
      <w:r>
        <w:rPr>
          <w:rFonts w:ascii="Times New Roman" w:eastAsia="宋体" w:hAnsi="Calibri" w:cs="Times New Roman"/>
          <w:kern w:val="0"/>
          <w:szCs w:val="20"/>
        </w:rPr>
        <w:t>SHAP</w:t>
      </w:r>
      <w:r>
        <w:rPr>
          <w:rFonts w:ascii="Times New Roman" w:eastAsia="宋体" w:hAnsi="Calibri" w:cs="Times New Roman"/>
          <w:kern w:val="0"/>
          <w:szCs w:val="20"/>
        </w:rPr>
        <w:t>值这三方面的结果相互验证，将特征重要性按影响程度从高到低排序为：灌溉率</w:t>
      </w:r>
      <w:r>
        <w:rPr>
          <w:rFonts w:ascii="Times New Roman" w:eastAsia="宋体" w:hAnsi="Calibri" w:cs="Times New Roman"/>
          <w:kern w:val="0"/>
          <w:szCs w:val="20"/>
        </w:rPr>
        <w:t>&gt;</w:t>
      </w:r>
      <w:r>
        <w:rPr>
          <w:rFonts w:ascii="Times New Roman" w:eastAsia="宋体" w:hAnsi="Calibri" w:cs="Times New Roman"/>
          <w:kern w:val="0"/>
          <w:szCs w:val="20"/>
        </w:rPr>
        <w:t>洪涝占比</w:t>
      </w:r>
      <w:r>
        <w:rPr>
          <w:rFonts w:ascii="Times New Roman" w:eastAsia="宋体" w:hAnsi="Calibri" w:cs="Times New Roman"/>
          <w:kern w:val="0"/>
          <w:szCs w:val="20"/>
        </w:rPr>
        <w:t>&gt;</w:t>
      </w:r>
      <w:r>
        <w:rPr>
          <w:rFonts w:ascii="Times New Roman" w:eastAsia="宋体" w:hAnsi="Calibri" w:cs="Times New Roman"/>
          <w:kern w:val="0"/>
          <w:szCs w:val="20"/>
        </w:rPr>
        <w:t>日照时数</w:t>
      </w:r>
      <w:r>
        <w:rPr>
          <w:rFonts w:ascii="Times New Roman" w:eastAsia="宋体" w:hAnsi="Calibri" w:cs="Times New Roman"/>
          <w:kern w:val="0"/>
          <w:szCs w:val="20"/>
        </w:rPr>
        <w:t>&gt;</w:t>
      </w:r>
      <w:r>
        <w:rPr>
          <w:rFonts w:ascii="Times New Roman" w:eastAsia="宋体" w:hAnsi="Calibri" w:cs="Times New Roman"/>
          <w:kern w:val="0"/>
          <w:szCs w:val="20"/>
        </w:rPr>
        <w:t>水灾受灾面积</w:t>
      </w:r>
      <w:r>
        <w:rPr>
          <w:rFonts w:ascii="Times New Roman" w:eastAsia="宋体" w:hAnsi="Calibri" w:cs="Times New Roman"/>
          <w:kern w:val="0"/>
          <w:szCs w:val="20"/>
        </w:rPr>
        <w:t>&gt;</w:t>
      </w:r>
      <w:r>
        <w:rPr>
          <w:rFonts w:ascii="Times New Roman" w:eastAsia="宋体" w:hAnsi="Calibri" w:cs="Times New Roman"/>
          <w:kern w:val="0"/>
          <w:szCs w:val="20"/>
        </w:rPr>
        <w:t>旱灾受灾面积</w:t>
      </w:r>
      <w:r>
        <w:rPr>
          <w:rFonts w:ascii="Times New Roman" w:eastAsia="宋体" w:hAnsi="Calibri" w:cs="Times New Roman"/>
          <w:kern w:val="0"/>
          <w:szCs w:val="20"/>
        </w:rPr>
        <w:t>&gt;</w:t>
      </w:r>
      <w:r>
        <w:rPr>
          <w:rFonts w:ascii="Times New Roman" w:eastAsia="宋体" w:hAnsi="Calibri" w:cs="Times New Roman"/>
          <w:kern w:val="0"/>
          <w:szCs w:val="20"/>
        </w:rPr>
        <w:t>平均气温</w:t>
      </w:r>
      <w:r>
        <w:rPr>
          <w:rFonts w:ascii="Times New Roman" w:eastAsia="宋体" w:hAnsi="Calibri" w:cs="Times New Roman"/>
          <w:kern w:val="0"/>
          <w:szCs w:val="20"/>
        </w:rPr>
        <w:t>&gt;</w:t>
      </w:r>
      <w:r>
        <w:rPr>
          <w:rFonts w:ascii="Times New Roman" w:eastAsia="宋体" w:hAnsi="Calibri" w:cs="Times New Roman"/>
          <w:kern w:val="0"/>
          <w:szCs w:val="20"/>
        </w:rPr>
        <w:t>农机</w:t>
      </w:r>
      <w:r>
        <w:rPr>
          <w:rFonts w:ascii="Times New Roman" w:eastAsia="宋体" w:hAnsi="Calibri" w:cs="Times New Roman"/>
          <w:kern w:val="0"/>
          <w:szCs w:val="20"/>
        </w:rPr>
        <w:t>&gt;</w:t>
      </w:r>
      <w:r>
        <w:rPr>
          <w:rFonts w:ascii="Times New Roman" w:eastAsia="宋体" w:hAnsi="Calibri" w:cs="Times New Roman"/>
          <w:kern w:val="0"/>
          <w:szCs w:val="20"/>
        </w:rPr>
        <w:t>干旱指数</w:t>
      </w:r>
      <w:r>
        <w:rPr>
          <w:rFonts w:ascii="Times New Roman" w:eastAsia="宋体" w:hAnsi="Calibri" w:cs="Times New Roman"/>
          <w:kern w:val="0"/>
          <w:szCs w:val="20"/>
        </w:rPr>
        <w:t>&gt;</w:t>
      </w:r>
      <w:r>
        <w:rPr>
          <w:rFonts w:ascii="Times New Roman" w:eastAsia="宋体" w:hAnsi="Calibri" w:cs="Times New Roman"/>
          <w:kern w:val="0"/>
          <w:szCs w:val="20"/>
        </w:rPr>
        <w:t>降水量</w:t>
      </w:r>
      <w:r>
        <w:rPr>
          <w:rFonts w:ascii="Times New Roman" w:eastAsia="宋体" w:hAnsi="Calibri" w:cs="Times New Roman"/>
          <w:kern w:val="0"/>
          <w:szCs w:val="20"/>
        </w:rPr>
        <w:t>&gt;</w:t>
      </w:r>
      <w:r>
        <w:rPr>
          <w:rFonts w:ascii="Times New Roman" w:eastAsia="宋体" w:hAnsi="Calibri" w:cs="Times New Roman"/>
          <w:kern w:val="0"/>
          <w:szCs w:val="20"/>
        </w:rPr>
        <w:t>化肥施用量。从排序上可以明显看出来，灌溉率和洪涝占比这两个因子的重要性远远超过其他变量，是驱动我国粮食生产风险变化最核心的两大因子；日照时数、水灾受灾面积、旱灾受灾面积也有一定的影响，但重要性属于中等水平；至于平均气温、农机、干旱指数、降水量、化肥施用量这些因子，它们的重要性相对较低。</w:t>
      </w:r>
    </w:p>
    <w:p w14:paraId="4690633F" w14:textId="77777777" w:rsidR="004B3261" w:rsidRDefault="00000000">
      <w:pPr>
        <w:ind w:firstLine="422"/>
        <w:rPr>
          <w:rFonts w:ascii="Times New Roman" w:eastAsia="宋体" w:hAnsi="Calibri" w:cs="Times New Roman"/>
          <w:b/>
          <w:kern w:val="0"/>
          <w:szCs w:val="20"/>
        </w:rPr>
      </w:pPr>
      <w:r>
        <w:rPr>
          <w:rFonts w:ascii="Times New Roman" w:eastAsia="宋体" w:hAnsi="Calibri" w:cs="Times New Roman" w:hint="eastAsia"/>
          <w:b/>
          <w:kern w:val="0"/>
          <w:szCs w:val="20"/>
        </w:rPr>
        <w:t xml:space="preserve">2. </w:t>
      </w:r>
      <w:r>
        <w:rPr>
          <w:rFonts w:ascii="Times New Roman" w:eastAsia="宋体" w:hAnsi="Calibri" w:cs="Times New Roman"/>
          <w:b/>
          <w:kern w:val="0"/>
          <w:szCs w:val="20"/>
        </w:rPr>
        <w:t>模型性能与适用性</w:t>
      </w:r>
    </w:p>
    <w:p w14:paraId="2C3C550F" w14:textId="77777777" w:rsidR="004B3261" w:rsidRDefault="00000000">
      <w:pPr>
        <w:ind w:firstLineChars="200" w:firstLine="420"/>
        <w:rPr>
          <w:rFonts w:ascii="Times New Roman" w:eastAsia="宋体" w:hAnsi="Calibri" w:cs="Times New Roman"/>
          <w:kern w:val="0"/>
          <w:szCs w:val="20"/>
        </w:rPr>
      </w:pPr>
      <w:r>
        <w:rPr>
          <w:rFonts w:ascii="Times New Roman" w:eastAsia="宋体" w:hAnsi="Calibri" w:cs="Times New Roman"/>
          <w:kern w:val="0"/>
          <w:szCs w:val="20"/>
        </w:rPr>
        <w:t>LSTM</w:t>
      </w:r>
      <w:r>
        <w:rPr>
          <w:rFonts w:ascii="Times New Roman" w:eastAsia="宋体" w:hAnsi="Calibri" w:cs="Times New Roman"/>
          <w:kern w:val="0"/>
          <w:szCs w:val="20"/>
        </w:rPr>
        <w:t>模型：在粮食产量风险宏观模拟中的拟合优度为</w:t>
      </w:r>
      <w:r>
        <w:rPr>
          <w:rFonts w:ascii="Times New Roman" w:eastAsia="宋体" w:hAnsi="Calibri" w:cs="Times New Roman"/>
          <w:kern w:val="0"/>
          <w:szCs w:val="20"/>
        </w:rPr>
        <w:t>R</w:t>
      </w:r>
      <w:r>
        <w:rPr>
          <w:rFonts w:ascii="Times New Roman" w:eastAsia="宋体" w:hAnsi="Calibri" w:cs="Times New Roman"/>
          <w:kern w:val="0"/>
          <w:szCs w:val="20"/>
          <w:vertAlign w:val="superscript"/>
        </w:rPr>
        <w:t>2</w:t>
      </w:r>
      <w:r>
        <w:rPr>
          <w:rFonts w:ascii="Times New Roman" w:eastAsia="宋体" w:hAnsi="Calibri" w:cs="Times New Roman"/>
          <w:kern w:val="0"/>
          <w:szCs w:val="20"/>
        </w:rPr>
        <w:t>≈</w:t>
      </w:r>
      <w:r>
        <w:rPr>
          <w:rFonts w:ascii="Times New Roman" w:eastAsia="宋体" w:hAnsi="Calibri" w:cs="Times New Roman"/>
          <w:kern w:val="0"/>
          <w:szCs w:val="20"/>
        </w:rPr>
        <w:t>0.66</w:t>
      </w:r>
      <w:r>
        <w:rPr>
          <w:rFonts w:ascii="Times New Roman" w:eastAsia="宋体" w:hAnsi="Calibri" w:cs="Times New Roman"/>
          <w:kern w:val="0"/>
          <w:szCs w:val="20"/>
        </w:rPr>
        <w:t>。从</w:t>
      </w:r>
      <w:r>
        <w:rPr>
          <w:rFonts w:ascii="Times New Roman" w:eastAsia="宋体" w:hAnsi="Calibri" w:cs="Times New Roman"/>
          <w:kern w:val="0"/>
          <w:szCs w:val="20"/>
        </w:rPr>
        <w:t>Loss</w:t>
      </w:r>
      <w:r>
        <w:rPr>
          <w:rFonts w:ascii="Times New Roman" w:eastAsia="宋体" w:hAnsi="Calibri" w:cs="Times New Roman"/>
          <w:kern w:val="0"/>
          <w:szCs w:val="20"/>
        </w:rPr>
        <w:t>曲线来看，训练集和验证集都稳定下降，两条曲线贴合的比较好，泛化能力良好。另外，残差基本服从正态分布，均值接近于零，而且随着时间的推移，也没有出现明显的自相关或异方差，证明模型的预测误差比较干净，时序预测的稳健性较好。</w:t>
      </w:r>
    </w:p>
    <w:p w14:paraId="2197ECE1" w14:textId="77777777" w:rsidR="004B3261" w:rsidRDefault="00000000">
      <w:pPr>
        <w:ind w:firstLineChars="200" w:firstLine="420"/>
        <w:rPr>
          <w:rFonts w:ascii="Times New Roman" w:eastAsia="宋体" w:hAnsi="Calibri" w:cs="Times New Roman"/>
          <w:kern w:val="0"/>
          <w:szCs w:val="20"/>
        </w:rPr>
      </w:pPr>
      <w:r>
        <w:rPr>
          <w:rFonts w:ascii="Times New Roman" w:eastAsia="宋体" w:hAnsi="Calibri" w:cs="Times New Roman"/>
          <w:kern w:val="0"/>
          <w:szCs w:val="20"/>
        </w:rPr>
        <w:t>XGBoost</w:t>
      </w:r>
      <w:r>
        <w:rPr>
          <w:rFonts w:ascii="Times New Roman" w:eastAsia="宋体" w:hAnsi="Calibri" w:cs="Times New Roman"/>
          <w:kern w:val="0"/>
          <w:szCs w:val="20"/>
        </w:rPr>
        <w:t>模型：从训练集的效果来看，</w:t>
      </w:r>
      <w:r>
        <w:rPr>
          <w:rFonts w:ascii="Times New Roman" w:eastAsia="宋体" w:hAnsi="Calibri" w:cs="Times New Roman"/>
          <w:kern w:val="0"/>
          <w:szCs w:val="20"/>
        </w:rPr>
        <w:t>R</w:t>
      </w:r>
      <w:r>
        <w:rPr>
          <w:rFonts w:ascii="Times New Roman" w:eastAsia="宋体" w:hAnsi="Calibri" w:cs="Times New Roman"/>
          <w:kern w:val="0"/>
          <w:szCs w:val="20"/>
          <w:vertAlign w:val="superscript"/>
        </w:rPr>
        <w:t>2</w:t>
      </w:r>
      <w:r>
        <w:rPr>
          <w:rFonts w:ascii="Times New Roman" w:eastAsia="宋体" w:hAnsi="Calibri" w:cs="Times New Roman"/>
          <w:kern w:val="0"/>
          <w:szCs w:val="20"/>
        </w:rPr>
        <w:t>=0.6293</w:t>
      </w:r>
      <w:r>
        <w:rPr>
          <w:rFonts w:ascii="Times New Roman" w:eastAsia="宋体" w:hAnsi="Calibri" w:cs="Times New Roman"/>
          <w:kern w:val="0"/>
          <w:szCs w:val="20"/>
        </w:rPr>
        <w:t>，说明模型对训练数据具有较好的拟合能力，</w:t>
      </w:r>
      <w:r>
        <w:rPr>
          <w:rFonts w:ascii="Times New Roman" w:eastAsia="宋体" w:hAnsi="Calibri" w:cs="Times New Roman" w:hint="eastAsia"/>
          <w:kern w:val="0"/>
          <w:szCs w:val="20"/>
        </w:rPr>
        <w:t>所选数据</w:t>
      </w:r>
      <w:r>
        <w:rPr>
          <w:rFonts w:ascii="Times New Roman" w:eastAsia="宋体" w:hAnsi="Calibri" w:cs="Times New Roman"/>
          <w:kern w:val="0"/>
          <w:szCs w:val="20"/>
        </w:rPr>
        <w:t>特征与模型结构在解释粮食生产风险</w:t>
      </w:r>
      <w:r>
        <w:rPr>
          <w:rFonts w:ascii="Times New Roman" w:eastAsia="宋体" w:hAnsi="Calibri" w:cs="Times New Roman" w:hint="eastAsia"/>
          <w:kern w:val="0"/>
          <w:szCs w:val="20"/>
        </w:rPr>
        <w:t>等</w:t>
      </w:r>
      <w:r>
        <w:rPr>
          <w:rFonts w:ascii="Times New Roman" w:eastAsia="宋体" w:hAnsi="Calibri" w:cs="Times New Roman"/>
          <w:kern w:val="0"/>
          <w:szCs w:val="20"/>
        </w:rPr>
        <w:t>方面有效。</w:t>
      </w:r>
    </w:p>
    <w:p w14:paraId="5C6731B4" w14:textId="77777777" w:rsidR="004B3261" w:rsidRDefault="00000000">
      <w:pPr>
        <w:numPr>
          <w:ilvl w:val="0"/>
          <w:numId w:val="2"/>
        </w:numPr>
        <w:rPr>
          <w:rFonts w:ascii="Times New Roman" w:eastAsia="宋体" w:hAnsi="Calibri" w:cs="Times New Roman"/>
          <w:b/>
          <w:kern w:val="0"/>
          <w:szCs w:val="20"/>
        </w:rPr>
      </w:pPr>
      <w:r>
        <w:rPr>
          <w:rFonts w:ascii="Times New Roman" w:eastAsia="宋体" w:hAnsi="Calibri" w:cs="Times New Roman" w:hint="eastAsia"/>
          <w:b/>
          <w:kern w:val="0"/>
          <w:szCs w:val="20"/>
        </w:rPr>
        <w:t>综合提升思路</w:t>
      </w:r>
    </w:p>
    <w:p w14:paraId="7DEAA88B" w14:textId="77777777" w:rsidR="004B3261" w:rsidRDefault="00000000">
      <w:pPr>
        <w:ind w:firstLine="420"/>
        <w:rPr>
          <w:rFonts w:ascii="Times New Roman" w:eastAsia="宋体" w:hAnsi="Calibri" w:cs="Times New Roman"/>
          <w:bCs/>
          <w:kern w:val="0"/>
          <w:szCs w:val="20"/>
        </w:rPr>
      </w:pPr>
      <w:r>
        <w:rPr>
          <w:rFonts w:ascii="Times New Roman" w:eastAsia="宋体" w:hAnsi="Calibri" w:cs="Times New Roman" w:hint="eastAsia"/>
          <w:bCs/>
          <w:kern w:val="0"/>
          <w:szCs w:val="20"/>
        </w:rPr>
        <w:t>从双重验证后最终结果可得，要提升粮食生产韧性，更好应对极端气候对粮食生产的影响，必须以基础设施为基础（灌溉、农机等）、以所给综合应对政策为支撑、以品种技术为核心、最终融合为多维度的协同提升策略。</w:t>
      </w:r>
    </w:p>
    <w:p w14:paraId="2E50DAC0" w14:textId="77777777" w:rsidR="004B3261" w:rsidRDefault="004B3261">
      <w:pPr>
        <w:ind w:firstLine="420"/>
        <w:rPr>
          <w:rFonts w:ascii="Times New Roman" w:eastAsia="宋体" w:hAnsi="Calibri" w:cs="Times New Roman"/>
          <w:bCs/>
          <w:kern w:val="0"/>
          <w:szCs w:val="20"/>
        </w:rPr>
      </w:pPr>
    </w:p>
    <w:p w14:paraId="6EE4D422" w14:textId="77777777" w:rsidR="004B3261" w:rsidRDefault="00000000">
      <w:pPr>
        <w:keepNext/>
        <w:adjustRightInd w:val="0"/>
        <w:spacing w:beforeLines="50" w:before="156" w:afterLines="50" w:after="156" w:line="360" w:lineRule="auto"/>
        <w:outlineLvl w:val="1"/>
        <w:rPr>
          <w:rFonts w:ascii="黑体" w:eastAsia="黑体" w:hAnsi="黑体" w:cs="黑体"/>
          <w:b/>
          <w:sz w:val="30"/>
          <w:szCs w:val="32"/>
        </w:rPr>
      </w:pPr>
      <w:bookmarkStart w:id="58" w:name="_Toc5304"/>
      <w:bookmarkStart w:id="59" w:name="_Toc18633"/>
      <w:bookmarkStart w:id="60" w:name="_Toc31478"/>
      <w:r>
        <w:rPr>
          <w:rFonts w:ascii="Times New Roman" w:eastAsia="黑体" w:hAnsi="Times New Roman" w:cs="Times New Roman" w:hint="eastAsia"/>
          <w:b/>
          <w:sz w:val="30"/>
          <w:szCs w:val="32"/>
        </w:rPr>
        <w:t>（二）</w:t>
      </w:r>
      <w:r>
        <w:rPr>
          <w:rFonts w:ascii="Times New Roman" w:eastAsia="黑体" w:hAnsi="Times New Roman" w:cs="Times New Roman"/>
          <w:b/>
          <w:sz w:val="30"/>
          <w:szCs w:val="32"/>
        </w:rPr>
        <w:t>局限与展望</w:t>
      </w:r>
      <w:bookmarkEnd w:id="58"/>
      <w:bookmarkEnd w:id="59"/>
      <w:bookmarkEnd w:id="60"/>
    </w:p>
    <w:p w14:paraId="5BAB1B21" w14:textId="77777777" w:rsidR="004B3261" w:rsidRDefault="00000000">
      <w:pPr>
        <w:ind w:firstLineChars="200" w:firstLine="420"/>
        <w:rPr>
          <w:rFonts w:ascii="Times New Roman" w:eastAsia="宋体" w:hAnsi="Calibri" w:cs="Times New Roman"/>
          <w:kern w:val="0"/>
          <w:szCs w:val="20"/>
        </w:rPr>
      </w:pPr>
      <w:r>
        <w:rPr>
          <w:rFonts w:ascii="Times New Roman" w:eastAsia="宋体" w:hAnsi="Calibri" w:cs="Times New Roman"/>
          <w:kern w:val="0"/>
          <w:szCs w:val="20"/>
        </w:rPr>
        <w:t>从整体来看，模型的拟合效果</w:t>
      </w:r>
      <w:r>
        <w:rPr>
          <w:rFonts w:ascii="Times New Roman" w:eastAsia="宋体" w:hAnsi="Calibri" w:cs="Times New Roman" w:hint="eastAsia"/>
          <w:kern w:val="0"/>
          <w:szCs w:val="20"/>
        </w:rPr>
        <w:t>还有待提升</w:t>
      </w:r>
      <w:r>
        <w:rPr>
          <w:rFonts w:ascii="Times New Roman" w:eastAsia="宋体" w:hAnsi="Calibri" w:cs="Times New Roman"/>
          <w:kern w:val="0"/>
          <w:szCs w:val="20"/>
        </w:rPr>
        <w:t>，另外，用到的模型也较</w:t>
      </w:r>
      <w:r>
        <w:rPr>
          <w:rFonts w:ascii="Times New Roman" w:eastAsia="宋体" w:hAnsi="Calibri" w:cs="Times New Roman" w:hint="eastAsia"/>
          <w:kern w:val="0"/>
          <w:szCs w:val="20"/>
        </w:rPr>
        <w:t>为</w:t>
      </w:r>
      <w:r>
        <w:rPr>
          <w:rFonts w:ascii="Times New Roman" w:eastAsia="宋体" w:hAnsi="Calibri" w:cs="Times New Roman"/>
          <w:kern w:val="0"/>
          <w:szCs w:val="20"/>
        </w:rPr>
        <w:t>单一，</w:t>
      </w:r>
      <w:r>
        <w:rPr>
          <w:rFonts w:ascii="Times New Roman" w:eastAsia="宋体" w:hAnsi="Calibri" w:cs="Times New Roman" w:hint="eastAsia"/>
          <w:kern w:val="0"/>
          <w:szCs w:val="20"/>
        </w:rPr>
        <w:t>未与</w:t>
      </w:r>
      <w:r>
        <w:rPr>
          <w:rFonts w:ascii="Times New Roman" w:eastAsia="宋体" w:hAnsi="Calibri" w:cs="Times New Roman"/>
          <w:kern w:val="0"/>
          <w:szCs w:val="20"/>
        </w:rPr>
        <w:t>其他模型做对比或融合</w:t>
      </w:r>
      <w:r>
        <w:rPr>
          <w:rFonts w:ascii="Times New Roman" w:eastAsia="宋体" w:hAnsi="Calibri" w:cs="Times New Roman" w:hint="eastAsia"/>
          <w:kern w:val="0"/>
          <w:szCs w:val="20"/>
        </w:rPr>
        <w:t>实验</w:t>
      </w:r>
      <w:r>
        <w:rPr>
          <w:rFonts w:ascii="Times New Roman" w:eastAsia="宋体" w:hAnsi="Calibri" w:cs="Times New Roman"/>
          <w:kern w:val="0"/>
          <w:szCs w:val="20"/>
        </w:rPr>
        <w:t>，对极端风险事件和长期变化趋势的捕捉能力</w:t>
      </w:r>
      <w:r>
        <w:rPr>
          <w:rFonts w:ascii="Times New Roman" w:eastAsia="宋体" w:hAnsi="Calibri" w:cs="Times New Roman" w:hint="eastAsia"/>
          <w:kern w:val="0"/>
          <w:szCs w:val="20"/>
        </w:rPr>
        <w:t>有待提高</w:t>
      </w:r>
      <w:r>
        <w:rPr>
          <w:rFonts w:ascii="Times New Roman" w:eastAsia="宋体" w:hAnsi="Calibri" w:cs="Times New Roman"/>
          <w:kern w:val="0"/>
          <w:szCs w:val="20"/>
        </w:rPr>
        <w:t>。</w:t>
      </w:r>
    </w:p>
    <w:p w14:paraId="4E3CA7B7" w14:textId="77777777" w:rsidR="004B3261" w:rsidRDefault="00000000">
      <w:pPr>
        <w:ind w:firstLineChars="200" w:firstLine="420"/>
        <w:rPr>
          <w:rFonts w:ascii="Times New Roman" w:eastAsia="宋体" w:hAnsi="Calibri" w:cs="Times New Roman"/>
          <w:kern w:val="0"/>
          <w:szCs w:val="20"/>
        </w:rPr>
      </w:pPr>
      <w:r>
        <w:rPr>
          <w:rFonts w:ascii="Times New Roman" w:eastAsia="宋体" w:hAnsi="Calibri" w:cs="Times New Roman"/>
          <w:kern w:val="0"/>
          <w:szCs w:val="20"/>
        </w:rPr>
        <w:t>后续我们会从四个方面完善。首先，会在模型结构和训练方式上会再做一些调整，加</w:t>
      </w:r>
      <w:r>
        <w:rPr>
          <w:rFonts w:ascii="Times New Roman" w:eastAsia="宋体" w:hAnsi="Calibri" w:cs="Times New Roman" w:hint="eastAsia"/>
          <w:kern w:val="0"/>
          <w:szCs w:val="20"/>
        </w:rPr>
        <w:t>入</w:t>
      </w:r>
      <w:r>
        <w:rPr>
          <w:rFonts w:ascii="Times New Roman" w:eastAsia="宋体" w:hAnsi="Calibri" w:cs="Times New Roman"/>
          <w:kern w:val="0"/>
          <w:szCs w:val="20"/>
        </w:rPr>
        <w:t>交叉验证，让模型的稳定性更强</w:t>
      </w:r>
      <w:r>
        <w:rPr>
          <w:rFonts w:ascii="Times New Roman" w:eastAsia="宋体" w:hAnsi="Calibri" w:cs="Times New Roman" w:hint="eastAsia"/>
          <w:kern w:val="0"/>
          <w:szCs w:val="20"/>
        </w:rPr>
        <w:t>；</w:t>
      </w:r>
      <w:r>
        <w:rPr>
          <w:rFonts w:ascii="Times New Roman" w:eastAsia="宋体" w:hAnsi="Calibri" w:cs="Times New Roman"/>
          <w:kern w:val="0"/>
          <w:szCs w:val="20"/>
        </w:rPr>
        <w:t>再加</w:t>
      </w:r>
      <w:r>
        <w:rPr>
          <w:rFonts w:ascii="Times New Roman" w:eastAsia="宋体" w:hAnsi="Calibri" w:cs="Times New Roman" w:hint="eastAsia"/>
          <w:kern w:val="0"/>
          <w:szCs w:val="20"/>
        </w:rPr>
        <w:t>入</w:t>
      </w:r>
      <w:r>
        <w:rPr>
          <w:rFonts w:ascii="Times New Roman" w:eastAsia="宋体" w:hAnsi="Calibri" w:cs="Times New Roman"/>
          <w:kern w:val="0"/>
          <w:szCs w:val="20"/>
        </w:rPr>
        <w:t>注意力机制，让模型对极端值和长期趋势更</w:t>
      </w:r>
      <w:r>
        <w:rPr>
          <w:rFonts w:ascii="Times New Roman" w:eastAsia="宋体" w:hAnsi="Calibri" w:cs="Times New Roman" w:hint="eastAsia"/>
          <w:kern w:val="0"/>
          <w:szCs w:val="20"/>
        </w:rPr>
        <w:t>加</w:t>
      </w:r>
      <w:r>
        <w:rPr>
          <w:rFonts w:ascii="Times New Roman" w:eastAsia="宋体" w:hAnsi="Calibri" w:cs="Times New Roman"/>
          <w:kern w:val="0"/>
          <w:szCs w:val="20"/>
        </w:rPr>
        <w:t>敏感</w:t>
      </w:r>
      <w:r>
        <w:rPr>
          <w:rFonts w:ascii="Times New Roman" w:eastAsia="宋体" w:hAnsi="Calibri" w:cs="Times New Roman" w:hint="eastAsia"/>
          <w:kern w:val="0"/>
          <w:szCs w:val="20"/>
        </w:rPr>
        <w:t>；同时也会</w:t>
      </w:r>
      <w:r>
        <w:rPr>
          <w:rFonts w:ascii="Times New Roman" w:eastAsia="宋体" w:hAnsi="Calibri" w:cs="Times New Roman"/>
          <w:kern w:val="0"/>
          <w:szCs w:val="20"/>
        </w:rPr>
        <w:t>尝试加入</w:t>
      </w:r>
      <w:r>
        <w:rPr>
          <w:rFonts w:ascii="Times New Roman" w:eastAsia="宋体" w:hAnsi="Calibri" w:cs="Times New Roman"/>
          <w:kern w:val="0"/>
          <w:szCs w:val="20"/>
        </w:rPr>
        <w:t>GRU</w:t>
      </w:r>
      <w:r>
        <w:rPr>
          <w:rFonts w:ascii="Times New Roman" w:eastAsia="宋体" w:hAnsi="Calibri" w:cs="Times New Roman"/>
          <w:kern w:val="0"/>
          <w:szCs w:val="20"/>
        </w:rPr>
        <w:t>、</w:t>
      </w:r>
      <w:r>
        <w:rPr>
          <w:rFonts w:ascii="Times New Roman" w:eastAsia="宋体" w:hAnsi="Calibri" w:cs="Times New Roman"/>
          <w:kern w:val="0"/>
          <w:szCs w:val="20"/>
        </w:rPr>
        <w:t>Transformer</w:t>
      </w:r>
      <w:r>
        <w:rPr>
          <w:rFonts w:ascii="Times New Roman" w:eastAsia="宋体" w:hAnsi="Calibri" w:cs="Times New Roman"/>
          <w:kern w:val="0"/>
          <w:szCs w:val="20"/>
        </w:rPr>
        <w:t>等模型，并引入多模型集成</w:t>
      </w:r>
      <w:r>
        <w:rPr>
          <w:rFonts w:ascii="Times New Roman" w:eastAsia="宋体" w:hAnsi="Calibri" w:cs="Times New Roman" w:hint="eastAsia"/>
          <w:kern w:val="0"/>
          <w:szCs w:val="20"/>
        </w:rPr>
        <w:t>系统</w:t>
      </w:r>
      <w:r>
        <w:rPr>
          <w:rFonts w:ascii="Times New Roman" w:eastAsia="宋体" w:hAnsi="Calibri" w:cs="Times New Roman"/>
          <w:kern w:val="0"/>
          <w:szCs w:val="20"/>
        </w:rPr>
        <w:t>。其次，根据相关性和</w:t>
      </w:r>
      <w:r>
        <w:rPr>
          <w:rFonts w:ascii="Times New Roman" w:eastAsia="宋体" w:hAnsi="Calibri" w:cs="Times New Roman" w:hint="eastAsia"/>
          <w:kern w:val="0"/>
          <w:szCs w:val="20"/>
        </w:rPr>
        <w:t>SHAP</w:t>
      </w:r>
      <w:r>
        <w:rPr>
          <w:rFonts w:ascii="Times New Roman" w:eastAsia="宋体" w:hAnsi="Calibri" w:cs="Times New Roman"/>
          <w:kern w:val="0"/>
          <w:szCs w:val="20"/>
        </w:rPr>
        <w:t>重要性</w:t>
      </w:r>
      <w:r>
        <w:rPr>
          <w:rFonts w:ascii="Times New Roman" w:eastAsia="宋体" w:hAnsi="Calibri" w:cs="Times New Roman" w:hint="eastAsia"/>
          <w:kern w:val="0"/>
          <w:szCs w:val="20"/>
        </w:rPr>
        <w:t>排序结果</w:t>
      </w:r>
      <w:r>
        <w:rPr>
          <w:rFonts w:ascii="Times New Roman" w:eastAsia="宋体" w:hAnsi="Calibri" w:cs="Times New Roman"/>
          <w:kern w:val="0"/>
          <w:szCs w:val="20"/>
        </w:rPr>
        <w:t>，把重复或者共线性强的</w:t>
      </w:r>
      <w:r>
        <w:rPr>
          <w:rFonts w:ascii="Times New Roman" w:eastAsia="宋体" w:hAnsi="Calibri" w:cs="Times New Roman" w:hint="eastAsia"/>
          <w:kern w:val="0"/>
          <w:szCs w:val="20"/>
        </w:rPr>
        <w:t>一些</w:t>
      </w:r>
      <w:r>
        <w:rPr>
          <w:rFonts w:ascii="Times New Roman" w:eastAsia="宋体" w:hAnsi="Calibri" w:cs="Times New Roman"/>
          <w:kern w:val="0"/>
          <w:szCs w:val="20"/>
        </w:rPr>
        <w:t>变量</w:t>
      </w:r>
      <w:r>
        <w:rPr>
          <w:rFonts w:ascii="Times New Roman" w:eastAsia="宋体" w:hAnsi="Calibri" w:cs="Times New Roman" w:hint="eastAsia"/>
          <w:kern w:val="0"/>
          <w:szCs w:val="20"/>
        </w:rPr>
        <w:t>去除，重新再构造一些新的衍生特征，把因子之间如何互相影响的作用机制深挖，同时，处理异常值，优化数据预处理流程，额外</w:t>
      </w:r>
      <w:r>
        <w:rPr>
          <w:rFonts w:ascii="Times New Roman" w:eastAsia="宋体" w:hAnsi="Calibri" w:cs="Times New Roman"/>
          <w:kern w:val="0"/>
          <w:szCs w:val="20"/>
        </w:rPr>
        <w:t>补充一些误差指标，减小系统误差。</w:t>
      </w:r>
      <w:r>
        <w:rPr>
          <w:rFonts w:ascii="Times New Roman" w:eastAsia="宋体" w:hAnsi="Calibri" w:cs="Times New Roman" w:hint="eastAsia"/>
          <w:kern w:val="0"/>
          <w:szCs w:val="20"/>
        </w:rPr>
        <w:t>然后，进一步拓展数据的覆盖范围，通过样本周期拉长，补充地市或县域层面的微观数据，让样本更具有代表性，数据也更丰富。</w:t>
      </w:r>
      <w:r>
        <w:rPr>
          <w:rFonts w:ascii="Times New Roman" w:eastAsia="宋体" w:hAnsi="Calibri" w:cs="Times New Roman"/>
          <w:kern w:val="0"/>
          <w:szCs w:val="20"/>
        </w:rPr>
        <w:t>最后，可以分区域建</w:t>
      </w:r>
      <w:r>
        <w:rPr>
          <w:rFonts w:ascii="Times New Roman" w:eastAsia="宋体" w:hAnsi="Calibri" w:cs="Times New Roman" w:hint="eastAsia"/>
          <w:kern w:val="0"/>
          <w:szCs w:val="20"/>
        </w:rPr>
        <w:t>立</w:t>
      </w:r>
      <w:r>
        <w:rPr>
          <w:rFonts w:ascii="Times New Roman" w:eastAsia="宋体" w:hAnsi="Calibri" w:cs="Times New Roman"/>
          <w:kern w:val="0"/>
          <w:szCs w:val="20"/>
        </w:rPr>
        <w:t>不同的模型，设</w:t>
      </w:r>
      <w:r>
        <w:rPr>
          <w:rFonts w:ascii="Times New Roman" w:eastAsia="宋体" w:hAnsi="Calibri" w:cs="Times New Roman" w:hint="eastAsia"/>
          <w:kern w:val="0"/>
          <w:szCs w:val="20"/>
        </w:rPr>
        <w:t>置多</w:t>
      </w:r>
      <w:r>
        <w:rPr>
          <w:rFonts w:ascii="Times New Roman" w:eastAsia="宋体" w:hAnsi="Calibri" w:cs="Times New Roman"/>
          <w:kern w:val="0"/>
          <w:szCs w:val="20"/>
        </w:rPr>
        <w:t>个气候情景做风险模拟，</w:t>
      </w:r>
      <w:r>
        <w:rPr>
          <w:rFonts w:ascii="Times New Roman" w:eastAsia="宋体" w:hAnsi="Calibri" w:cs="Times New Roman" w:hint="eastAsia"/>
          <w:kern w:val="0"/>
          <w:szCs w:val="20"/>
        </w:rPr>
        <w:t>逐渐搭建起一套粮食生产风险预警系统，让研究成果真正落地。</w:t>
      </w:r>
    </w:p>
    <w:p w14:paraId="07FAF272" w14:textId="77777777" w:rsidR="004B3261" w:rsidRDefault="004B3261"/>
    <w:p w14:paraId="4133C685" w14:textId="77777777" w:rsidR="004B3261" w:rsidRDefault="004B3261">
      <w:pPr>
        <w:tabs>
          <w:tab w:val="left" w:pos="2039"/>
        </w:tabs>
        <w:jc w:val="left"/>
        <w:rPr>
          <w:sz w:val="48"/>
          <w:szCs w:val="48"/>
        </w:rPr>
      </w:pPr>
    </w:p>
    <w:p w14:paraId="7A53C49D" w14:textId="77777777" w:rsidR="004B3261" w:rsidRDefault="00000000">
      <w:pPr>
        <w:tabs>
          <w:tab w:val="left" w:pos="2039"/>
        </w:tabs>
        <w:jc w:val="left"/>
      </w:pPr>
      <w:r>
        <w:rPr>
          <w:rFonts w:hint="eastAsia"/>
          <w:sz w:val="48"/>
          <w:szCs w:val="48"/>
        </w:rPr>
        <w:lastRenderedPageBreak/>
        <w:t>参考文献</w:t>
      </w:r>
      <w:r>
        <w:rPr>
          <w:rFonts w:hint="eastAsia"/>
        </w:rPr>
        <w:tab/>
      </w:r>
    </w:p>
    <w:p w14:paraId="7AAAB53D" w14:textId="77777777" w:rsidR="004B3261" w:rsidRDefault="00000000">
      <w:pPr>
        <w:numPr>
          <w:ilvl w:val="0"/>
          <w:numId w:val="3"/>
        </w:numPr>
        <w:rPr>
          <w:sz w:val="18"/>
          <w:szCs w:val="18"/>
        </w:rPr>
      </w:pPr>
      <w:bookmarkStart w:id="61" w:name="_Toc31616"/>
      <w:bookmarkStart w:id="62" w:name="_Toc488"/>
      <w:bookmarkStart w:id="63" w:name="_Toc312"/>
      <w:r>
        <w:rPr>
          <w:rFonts w:hint="eastAsia"/>
          <w:sz w:val="18"/>
          <w:szCs w:val="18"/>
        </w:rPr>
        <w:t>IPCC. Climate Change 2022: Impacts, Adaptation and Vulnerability[R]. Cambridge: Cambridge University Press, 2022.</w:t>
      </w:r>
    </w:p>
    <w:p w14:paraId="01F7EF42" w14:textId="77777777" w:rsidR="004B3261" w:rsidRDefault="00000000">
      <w:pPr>
        <w:numPr>
          <w:ilvl w:val="0"/>
          <w:numId w:val="3"/>
        </w:numPr>
        <w:rPr>
          <w:sz w:val="18"/>
          <w:szCs w:val="18"/>
        </w:rPr>
      </w:pPr>
      <w:r>
        <w:rPr>
          <w:rFonts w:hint="eastAsia"/>
          <w:sz w:val="18"/>
          <w:szCs w:val="18"/>
        </w:rPr>
        <w:t>中华人民共和国国务院新闻办公室</w:t>
      </w:r>
      <w:r>
        <w:rPr>
          <w:rFonts w:hint="eastAsia"/>
          <w:sz w:val="18"/>
          <w:szCs w:val="18"/>
        </w:rPr>
        <w:t xml:space="preserve">. </w:t>
      </w:r>
      <w:r>
        <w:rPr>
          <w:rFonts w:hint="eastAsia"/>
          <w:sz w:val="18"/>
          <w:szCs w:val="18"/>
        </w:rPr>
        <w:t>中国的粮食安全</w:t>
      </w:r>
      <w:r>
        <w:rPr>
          <w:rFonts w:hint="eastAsia"/>
          <w:sz w:val="18"/>
          <w:szCs w:val="18"/>
        </w:rPr>
        <w:t xml:space="preserve">[R]. </w:t>
      </w:r>
      <w:r>
        <w:rPr>
          <w:rFonts w:hint="eastAsia"/>
          <w:sz w:val="18"/>
          <w:szCs w:val="18"/>
        </w:rPr>
        <w:t>北京</w:t>
      </w:r>
      <w:r>
        <w:rPr>
          <w:rFonts w:hint="eastAsia"/>
          <w:sz w:val="18"/>
          <w:szCs w:val="18"/>
        </w:rPr>
        <w:t xml:space="preserve">: </w:t>
      </w:r>
      <w:r>
        <w:rPr>
          <w:rFonts w:hint="eastAsia"/>
          <w:sz w:val="18"/>
          <w:szCs w:val="18"/>
        </w:rPr>
        <w:t>人民出版社</w:t>
      </w:r>
      <w:r>
        <w:rPr>
          <w:rFonts w:hint="eastAsia"/>
          <w:sz w:val="18"/>
          <w:szCs w:val="18"/>
        </w:rPr>
        <w:t>, 2019.</w:t>
      </w:r>
    </w:p>
    <w:p w14:paraId="1FA26177" w14:textId="77777777" w:rsidR="004B3261" w:rsidRDefault="00000000">
      <w:pPr>
        <w:numPr>
          <w:ilvl w:val="0"/>
          <w:numId w:val="3"/>
        </w:numPr>
        <w:rPr>
          <w:sz w:val="18"/>
          <w:szCs w:val="18"/>
        </w:rPr>
      </w:pPr>
      <w:bookmarkStart w:id="64" w:name="_Ref17994"/>
      <w:r>
        <w:rPr>
          <w:rFonts w:hint="eastAsia"/>
          <w:sz w:val="18"/>
          <w:szCs w:val="18"/>
        </w:rPr>
        <w:t>CHEN T, GUESTRIN C. XGBoost: A scalable tree boosting system[C]//Proceedings of the 22nd ACM SIGKDD International Conference on Knowledge Discovery and Data Mining. New York: ACM, 2016: 785-794.</w:t>
      </w:r>
      <w:bookmarkEnd w:id="64"/>
    </w:p>
    <w:p w14:paraId="3381C556" w14:textId="77777777" w:rsidR="004B3261" w:rsidRDefault="00000000">
      <w:pPr>
        <w:numPr>
          <w:ilvl w:val="0"/>
          <w:numId w:val="3"/>
        </w:numPr>
        <w:rPr>
          <w:sz w:val="18"/>
          <w:szCs w:val="18"/>
        </w:rPr>
      </w:pPr>
      <w:r>
        <w:rPr>
          <w:rFonts w:hint="eastAsia"/>
          <w:sz w:val="18"/>
          <w:szCs w:val="18"/>
        </w:rPr>
        <w:t>LUNDBERG S M, LEE S I. A unified approach to interpreting model predictions[C]//Advances in Neural Information Processing Systems. Red Hook: Curran Associates, 2017: 4765-4774.</w:t>
      </w:r>
    </w:p>
    <w:p w14:paraId="147C3A14" w14:textId="77777777" w:rsidR="004B3261" w:rsidRDefault="00000000">
      <w:pPr>
        <w:numPr>
          <w:ilvl w:val="0"/>
          <w:numId w:val="3"/>
        </w:numPr>
        <w:rPr>
          <w:sz w:val="18"/>
          <w:szCs w:val="18"/>
        </w:rPr>
      </w:pPr>
      <w:bookmarkStart w:id="65" w:name="_Ref19202"/>
      <w:r>
        <w:rPr>
          <w:rFonts w:hint="eastAsia"/>
          <w:sz w:val="18"/>
          <w:szCs w:val="18"/>
        </w:rPr>
        <w:t>HOCHREITER S, SCHMIDHUBER J. Long Short-Term Memory[J]. Neural Computation, 1997, 9(8): 1735-1780.</w:t>
      </w:r>
      <w:bookmarkEnd w:id="65"/>
    </w:p>
    <w:p w14:paraId="7CCCCFD4" w14:textId="77777777" w:rsidR="004B3261" w:rsidRDefault="00000000">
      <w:pPr>
        <w:numPr>
          <w:ilvl w:val="0"/>
          <w:numId w:val="3"/>
        </w:numPr>
        <w:rPr>
          <w:sz w:val="18"/>
          <w:szCs w:val="18"/>
        </w:rPr>
      </w:pPr>
      <w:r>
        <w:rPr>
          <w:rFonts w:hint="eastAsia"/>
          <w:sz w:val="18"/>
          <w:szCs w:val="18"/>
        </w:rPr>
        <w:t>LOBELL D B, FIELD C B. Global climate change and crop yield[J]. Annual Review of Environment and Resources, 2008, 33(1): 69-88.</w:t>
      </w:r>
    </w:p>
    <w:p w14:paraId="584DEB8E" w14:textId="77777777" w:rsidR="004B3261" w:rsidRDefault="00000000">
      <w:pPr>
        <w:numPr>
          <w:ilvl w:val="0"/>
          <w:numId w:val="3"/>
        </w:numPr>
        <w:rPr>
          <w:sz w:val="18"/>
          <w:szCs w:val="18"/>
        </w:rPr>
      </w:pPr>
      <w:r>
        <w:rPr>
          <w:rFonts w:hint="eastAsia"/>
          <w:sz w:val="18"/>
          <w:szCs w:val="18"/>
        </w:rPr>
        <w:t>DIFFENBAUGH N S, FIELD C B. Changes in ecologically critical terrestrial climate conditions[J]. Science, 2013, 341(6145): 486-492.</w:t>
      </w:r>
    </w:p>
    <w:p w14:paraId="40528406" w14:textId="77777777" w:rsidR="004B3261" w:rsidRDefault="00000000">
      <w:pPr>
        <w:numPr>
          <w:ilvl w:val="0"/>
          <w:numId w:val="3"/>
        </w:numPr>
        <w:rPr>
          <w:sz w:val="18"/>
          <w:szCs w:val="18"/>
        </w:rPr>
      </w:pPr>
      <w:bookmarkStart w:id="66" w:name="_Ref17892"/>
      <w:r>
        <w:rPr>
          <w:rFonts w:hint="eastAsia"/>
          <w:sz w:val="18"/>
          <w:szCs w:val="18"/>
        </w:rPr>
        <w:t>郭鹏</w:t>
      </w:r>
      <w:r>
        <w:rPr>
          <w:rFonts w:hint="eastAsia"/>
          <w:sz w:val="18"/>
          <w:szCs w:val="18"/>
        </w:rPr>
        <w:t xml:space="preserve">, </w:t>
      </w:r>
      <w:r>
        <w:rPr>
          <w:rFonts w:hint="eastAsia"/>
          <w:sz w:val="18"/>
          <w:szCs w:val="18"/>
        </w:rPr>
        <w:t>蒋博</w:t>
      </w:r>
      <w:r>
        <w:rPr>
          <w:rFonts w:hint="eastAsia"/>
          <w:sz w:val="18"/>
          <w:szCs w:val="18"/>
        </w:rPr>
        <w:t xml:space="preserve">, </w:t>
      </w:r>
      <w:r>
        <w:rPr>
          <w:rFonts w:hint="eastAsia"/>
          <w:sz w:val="18"/>
          <w:szCs w:val="18"/>
        </w:rPr>
        <w:t>吉雪强</w:t>
      </w:r>
      <w:r>
        <w:rPr>
          <w:rFonts w:hint="eastAsia"/>
          <w:sz w:val="18"/>
          <w:szCs w:val="18"/>
        </w:rPr>
        <w:t xml:space="preserve">. </w:t>
      </w:r>
      <w:r>
        <w:rPr>
          <w:rFonts w:hint="eastAsia"/>
          <w:sz w:val="18"/>
          <w:szCs w:val="18"/>
        </w:rPr>
        <w:t>极端气候对粮食生产的影响及其作用机制——兼论农地流转的调节与门槛效应</w:t>
      </w:r>
      <w:r>
        <w:rPr>
          <w:rFonts w:hint="eastAsia"/>
          <w:sz w:val="18"/>
          <w:szCs w:val="18"/>
        </w:rPr>
        <w:t xml:space="preserve">[J]. </w:t>
      </w:r>
      <w:r>
        <w:rPr>
          <w:rFonts w:hint="eastAsia"/>
          <w:sz w:val="18"/>
          <w:szCs w:val="18"/>
        </w:rPr>
        <w:t>生态学报</w:t>
      </w:r>
      <w:r>
        <w:rPr>
          <w:rFonts w:hint="eastAsia"/>
          <w:sz w:val="18"/>
          <w:szCs w:val="18"/>
        </w:rPr>
        <w:t>, 2025.</w:t>
      </w:r>
      <w:bookmarkEnd w:id="66"/>
    </w:p>
    <w:p w14:paraId="389FA110" w14:textId="77777777" w:rsidR="004B3261" w:rsidRDefault="00000000">
      <w:pPr>
        <w:numPr>
          <w:ilvl w:val="0"/>
          <w:numId w:val="3"/>
        </w:numPr>
        <w:rPr>
          <w:sz w:val="18"/>
          <w:szCs w:val="18"/>
        </w:rPr>
      </w:pPr>
      <w:bookmarkStart w:id="67" w:name="_Ref18238"/>
      <w:r>
        <w:rPr>
          <w:rFonts w:hint="eastAsia"/>
          <w:sz w:val="18"/>
          <w:szCs w:val="18"/>
        </w:rPr>
        <w:t>吕添贵</w:t>
      </w:r>
      <w:r>
        <w:rPr>
          <w:rFonts w:hint="eastAsia"/>
          <w:sz w:val="18"/>
          <w:szCs w:val="18"/>
        </w:rPr>
        <w:t xml:space="preserve">, </w:t>
      </w:r>
      <w:r>
        <w:rPr>
          <w:rFonts w:hint="eastAsia"/>
          <w:sz w:val="18"/>
          <w:szCs w:val="18"/>
        </w:rPr>
        <w:t>袁梦涵</w:t>
      </w:r>
      <w:r>
        <w:rPr>
          <w:rFonts w:hint="eastAsia"/>
          <w:sz w:val="18"/>
          <w:szCs w:val="18"/>
        </w:rPr>
        <w:t xml:space="preserve">, </w:t>
      </w:r>
      <w:r>
        <w:rPr>
          <w:rFonts w:hint="eastAsia"/>
          <w:sz w:val="18"/>
          <w:szCs w:val="18"/>
        </w:rPr>
        <w:t>黄贤哲</w:t>
      </w:r>
      <w:r>
        <w:rPr>
          <w:rFonts w:hint="eastAsia"/>
          <w:sz w:val="18"/>
          <w:szCs w:val="18"/>
        </w:rPr>
        <w:t xml:space="preserve">, </w:t>
      </w:r>
      <w:r>
        <w:rPr>
          <w:rFonts w:hint="eastAsia"/>
          <w:sz w:val="18"/>
          <w:szCs w:val="18"/>
        </w:rPr>
        <w:t>黄哲</w:t>
      </w:r>
      <w:r>
        <w:rPr>
          <w:rFonts w:hint="eastAsia"/>
          <w:sz w:val="18"/>
          <w:szCs w:val="18"/>
        </w:rPr>
        <w:t xml:space="preserve">, </w:t>
      </w:r>
      <w:r>
        <w:rPr>
          <w:rFonts w:hint="eastAsia"/>
          <w:sz w:val="18"/>
          <w:szCs w:val="18"/>
        </w:rPr>
        <w:t>付舒雯</w:t>
      </w:r>
      <w:r>
        <w:rPr>
          <w:rFonts w:hint="eastAsia"/>
          <w:sz w:val="18"/>
          <w:szCs w:val="18"/>
        </w:rPr>
        <w:t xml:space="preserve">, </w:t>
      </w:r>
      <w:r>
        <w:rPr>
          <w:rFonts w:hint="eastAsia"/>
          <w:sz w:val="18"/>
          <w:szCs w:val="18"/>
        </w:rPr>
        <w:t>赵巧</w:t>
      </w:r>
      <w:r>
        <w:rPr>
          <w:rFonts w:hint="eastAsia"/>
          <w:sz w:val="18"/>
          <w:szCs w:val="18"/>
        </w:rPr>
        <w:t xml:space="preserve">. </w:t>
      </w:r>
      <w:r>
        <w:rPr>
          <w:rFonts w:hint="eastAsia"/>
          <w:sz w:val="18"/>
          <w:szCs w:val="18"/>
        </w:rPr>
        <w:t>基于</w:t>
      </w:r>
      <w:r>
        <w:rPr>
          <w:rFonts w:hint="eastAsia"/>
          <w:sz w:val="18"/>
          <w:szCs w:val="18"/>
        </w:rPr>
        <w:t>XGBoost-SHAP</w:t>
      </w:r>
      <w:r>
        <w:rPr>
          <w:rFonts w:hint="eastAsia"/>
          <w:sz w:val="18"/>
          <w:szCs w:val="18"/>
        </w:rPr>
        <w:t>模型的长江中游粮食主产区农业生产碳平衡时空分异及驱动因素</w:t>
      </w:r>
      <w:r>
        <w:rPr>
          <w:rFonts w:hint="eastAsia"/>
          <w:sz w:val="18"/>
          <w:szCs w:val="18"/>
        </w:rPr>
        <w:t xml:space="preserve">[J]. </w:t>
      </w:r>
      <w:r>
        <w:rPr>
          <w:rFonts w:hint="eastAsia"/>
          <w:sz w:val="18"/>
          <w:szCs w:val="18"/>
        </w:rPr>
        <w:t>环境科学</w:t>
      </w:r>
      <w:r>
        <w:rPr>
          <w:rFonts w:hint="eastAsia"/>
          <w:sz w:val="18"/>
          <w:szCs w:val="18"/>
        </w:rPr>
        <w:t>, 2025.</w:t>
      </w:r>
      <w:bookmarkEnd w:id="67"/>
    </w:p>
    <w:p w14:paraId="5EF2B635" w14:textId="77777777" w:rsidR="004B3261" w:rsidRDefault="00000000">
      <w:pPr>
        <w:numPr>
          <w:ilvl w:val="0"/>
          <w:numId w:val="3"/>
        </w:numPr>
        <w:rPr>
          <w:sz w:val="18"/>
          <w:szCs w:val="18"/>
        </w:rPr>
      </w:pPr>
      <w:bookmarkStart w:id="68" w:name="_Ref18421"/>
      <w:r>
        <w:rPr>
          <w:rFonts w:hint="eastAsia"/>
          <w:sz w:val="18"/>
          <w:szCs w:val="18"/>
        </w:rPr>
        <w:t>王火根</w:t>
      </w:r>
      <w:r>
        <w:rPr>
          <w:rFonts w:hint="eastAsia"/>
          <w:sz w:val="18"/>
          <w:szCs w:val="18"/>
        </w:rPr>
        <w:t xml:space="preserve">, </w:t>
      </w:r>
      <w:r>
        <w:rPr>
          <w:rFonts w:hint="eastAsia"/>
          <w:sz w:val="18"/>
          <w:szCs w:val="18"/>
        </w:rPr>
        <w:t>胡梦婷</w:t>
      </w:r>
      <w:r>
        <w:rPr>
          <w:rFonts w:hint="eastAsia"/>
          <w:sz w:val="18"/>
          <w:szCs w:val="18"/>
        </w:rPr>
        <w:t xml:space="preserve">, </w:t>
      </w:r>
      <w:r>
        <w:rPr>
          <w:rFonts w:hint="eastAsia"/>
          <w:sz w:val="18"/>
          <w:szCs w:val="18"/>
        </w:rPr>
        <w:t>刘小春</w:t>
      </w:r>
      <w:r>
        <w:rPr>
          <w:rFonts w:hint="eastAsia"/>
          <w:sz w:val="18"/>
          <w:szCs w:val="18"/>
        </w:rPr>
        <w:t xml:space="preserve">. </w:t>
      </w:r>
      <w:r>
        <w:rPr>
          <w:rFonts w:hint="eastAsia"/>
          <w:sz w:val="18"/>
          <w:szCs w:val="18"/>
        </w:rPr>
        <w:t>基于机器学习和</w:t>
      </w:r>
      <w:r>
        <w:rPr>
          <w:rFonts w:hint="eastAsia"/>
          <w:sz w:val="18"/>
          <w:szCs w:val="18"/>
        </w:rPr>
        <w:t>SHAP</w:t>
      </w:r>
      <w:r>
        <w:rPr>
          <w:rFonts w:hint="eastAsia"/>
          <w:sz w:val="18"/>
          <w:szCs w:val="18"/>
        </w:rPr>
        <w:t>算法的我国粮食安全水平测度重构及可解释性分析</w:t>
      </w:r>
      <w:r>
        <w:rPr>
          <w:rFonts w:hint="eastAsia"/>
          <w:sz w:val="18"/>
          <w:szCs w:val="18"/>
        </w:rPr>
        <w:t xml:space="preserve">[J]. </w:t>
      </w:r>
      <w:r>
        <w:rPr>
          <w:rFonts w:hint="eastAsia"/>
          <w:sz w:val="18"/>
          <w:szCs w:val="18"/>
        </w:rPr>
        <w:t>中国农业大学学报</w:t>
      </w:r>
      <w:r>
        <w:rPr>
          <w:rFonts w:hint="eastAsia"/>
          <w:sz w:val="18"/>
          <w:szCs w:val="18"/>
        </w:rPr>
        <w:t>, 2025.</w:t>
      </w:r>
      <w:bookmarkEnd w:id="68"/>
    </w:p>
    <w:p w14:paraId="2044EF77" w14:textId="77777777" w:rsidR="004B3261" w:rsidRDefault="00000000">
      <w:pPr>
        <w:numPr>
          <w:ilvl w:val="0"/>
          <w:numId w:val="3"/>
        </w:numPr>
        <w:rPr>
          <w:sz w:val="18"/>
          <w:szCs w:val="18"/>
        </w:rPr>
      </w:pPr>
      <w:r>
        <w:rPr>
          <w:rFonts w:hint="eastAsia"/>
          <w:sz w:val="18"/>
          <w:szCs w:val="18"/>
        </w:rPr>
        <w:t>秦一菲</w:t>
      </w:r>
      <w:r>
        <w:rPr>
          <w:rFonts w:hint="eastAsia"/>
          <w:sz w:val="18"/>
          <w:szCs w:val="18"/>
        </w:rPr>
        <w:t xml:space="preserve">, </w:t>
      </w:r>
      <w:r>
        <w:rPr>
          <w:rFonts w:hint="eastAsia"/>
          <w:sz w:val="18"/>
          <w:szCs w:val="18"/>
        </w:rPr>
        <w:t>段珊珊</w:t>
      </w:r>
      <w:r>
        <w:rPr>
          <w:rFonts w:hint="eastAsia"/>
          <w:sz w:val="18"/>
          <w:szCs w:val="18"/>
        </w:rPr>
        <w:t xml:space="preserve">, </w:t>
      </w:r>
      <w:r>
        <w:rPr>
          <w:rFonts w:hint="eastAsia"/>
          <w:sz w:val="18"/>
          <w:szCs w:val="18"/>
        </w:rPr>
        <w:t>曹云皓</w:t>
      </w:r>
      <w:r>
        <w:rPr>
          <w:rFonts w:hint="eastAsia"/>
          <w:sz w:val="18"/>
          <w:szCs w:val="18"/>
        </w:rPr>
        <w:t xml:space="preserve">, </w:t>
      </w:r>
      <w:r>
        <w:rPr>
          <w:rFonts w:hint="eastAsia"/>
          <w:sz w:val="18"/>
          <w:szCs w:val="18"/>
        </w:rPr>
        <w:t>张元</w:t>
      </w:r>
      <w:r>
        <w:rPr>
          <w:rFonts w:hint="eastAsia"/>
          <w:sz w:val="18"/>
          <w:szCs w:val="18"/>
        </w:rPr>
        <w:t xml:space="preserve">. </w:t>
      </w:r>
      <w:r>
        <w:rPr>
          <w:rFonts w:hint="eastAsia"/>
          <w:sz w:val="18"/>
          <w:szCs w:val="18"/>
        </w:rPr>
        <w:t>融合</w:t>
      </w:r>
      <w:r>
        <w:rPr>
          <w:rFonts w:hint="eastAsia"/>
          <w:sz w:val="18"/>
          <w:szCs w:val="18"/>
        </w:rPr>
        <w:t>XGBoost</w:t>
      </w:r>
      <w:r>
        <w:rPr>
          <w:rFonts w:hint="eastAsia"/>
          <w:sz w:val="18"/>
          <w:szCs w:val="18"/>
        </w:rPr>
        <w:t>和</w:t>
      </w:r>
      <w:r>
        <w:rPr>
          <w:rFonts w:hint="eastAsia"/>
          <w:sz w:val="18"/>
          <w:szCs w:val="18"/>
        </w:rPr>
        <w:t>SHAP</w:t>
      </w:r>
      <w:r>
        <w:rPr>
          <w:rFonts w:hint="eastAsia"/>
          <w:sz w:val="18"/>
          <w:szCs w:val="18"/>
        </w:rPr>
        <w:t>的储粮湿度预测及影响因素分析</w:t>
      </w:r>
      <w:r>
        <w:rPr>
          <w:rFonts w:hint="eastAsia"/>
          <w:sz w:val="18"/>
          <w:szCs w:val="18"/>
        </w:rPr>
        <w:t xml:space="preserve">[J]. </w:t>
      </w:r>
      <w:r>
        <w:rPr>
          <w:rFonts w:hint="eastAsia"/>
          <w:sz w:val="18"/>
          <w:szCs w:val="18"/>
        </w:rPr>
        <w:t>中国粮油学报</w:t>
      </w:r>
      <w:r>
        <w:rPr>
          <w:rFonts w:hint="eastAsia"/>
          <w:sz w:val="18"/>
          <w:szCs w:val="18"/>
        </w:rPr>
        <w:t>, 2025.</w:t>
      </w:r>
    </w:p>
    <w:p w14:paraId="0FA36467" w14:textId="77777777" w:rsidR="004B3261" w:rsidRDefault="00000000">
      <w:pPr>
        <w:numPr>
          <w:ilvl w:val="0"/>
          <w:numId w:val="3"/>
        </w:numPr>
        <w:rPr>
          <w:sz w:val="18"/>
          <w:szCs w:val="18"/>
        </w:rPr>
      </w:pPr>
      <w:bookmarkStart w:id="69" w:name="_Ref18434"/>
      <w:r>
        <w:rPr>
          <w:rFonts w:hint="eastAsia"/>
          <w:sz w:val="18"/>
          <w:szCs w:val="18"/>
        </w:rPr>
        <w:t>郭文锋</w:t>
      </w:r>
      <w:r>
        <w:rPr>
          <w:rFonts w:hint="eastAsia"/>
          <w:sz w:val="18"/>
          <w:szCs w:val="18"/>
        </w:rPr>
        <w:t xml:space="preserve">. </w:t>
      </w:r>
      <w:r>
        <w:rPr>
          <w:rFonts w:hint="eastAsia"/>
          <w:sz w:val="18"/>
          <w:szCs w:val="18"/>
        </w:rPr>
        <w:t>基于深度学习的粮食产量预测模型研究</w:t>
      </w:r>
      <w:r>
        <w:rPr>
          <w:rFonts w:hint="eastAsia"/>
          <w:sz w:val="18"/>
          <w:szCs w:val="18"/>
        </w:rPr>
        <w:t xml:space="preserve">[J]. </w:t>
      </w:r>
      <w:r>
        <w:rPr>
          <w:rFonts w:hint="eastAsia"/>
          <w:sz w:val="18"/>
          <w:szCs w:val="18"/>
        </w:rPr>
        <w:t>现代农业科技</w:t>
      </w:r>
      <w:r>
        <w:rPr>
          <w:rFonts w:hint="eastAsia"/>
          <w:sz w:val="18"/>
          <w:szCs w:val="18"/>
        </w:rPr>
        <w:t>, 2024(24): 850-853.</w:t>
      </w:r>
      <w:bookmarkEnd w:id="69"/>
    </w:p>
    <w:p w14:paraId="0A4F716D" w14:textId="77777777" w:rsidR="004B3261" w:rsidRDefault="00000000">
      <w:pPr>
        <w:numPr>
          <w:ilvl w:val="0"/>
          <w:numId w:val="3"/>
        </w:numPr>
        <w:rPr>
          <w:sz w:val="18"/>
          <w:szCs w:val="18"/>
        </w:rPr>
      </w:pPr>
      <w:bookmarkStart w:id="70" w:name="_Ref18565"/>
      <w:r>
        <w:rPr>
          <w:rFonts w:hint="eastAsia"/>
          <w:sz w:val="18"/>
          <w:szCs w:val="18"/>
        </w:rPr>
        <w:t>MEUWISSEN M P M, FEINDT P H, SPIEGEL A, et al. A framework to assess resilience of agricultural systems[J]. Agricultural Systems, 2019, 173: 107-117.</w:t>
      </w:r>
      <w:bookmarkEnd w:id="70"/>
    </w:p>
    <w:p w14:paraId="24BF2A4E" w14:textId="77777777" w:rsidR="004B3261" w:rsidRDefault="00000000">
      <w:pPr>
        <w:numPr>
          <w:ilvl w:val="0"/>
          <w:numId w:val="3"/>
        </w:numPr>
        <w:rPr>
          <w:sz w:val="18"/>
          <w:szCs w:val="18"/>
        </w:rPr>
      </w:pPr>
      <w:bookmarkStart w:id="71" w:name="_Ref18640"/>
      <w:r>
        <w:rPr>
          <w:rFonts w:hint="eastAsia"/>
          <w:sz w:val="18"/>
          <w:szCs w:val="18"/>
        </w:rPr>
        <w:t>陈有华</w:t>
      </w:r>
      <w:r>
        <w:rPr>
          <w:rFonts w:hint="eastAsia"/>
          <w:sz w:val="18"/>
          <w:szCs w:val="18"/>
        </w:rPr>
        <w:t xml:space="preserve">, </w:t>
      </w:r>
      <w:r>
        <w:rPr>
          <w:rFonts w:hint="eastAsia"/>
          <w:sz w:val="18"/>
          <w:szCs w:val="18"/>
        </w:rPr>
        <w:t>曾梦晴</w:t>
      </w:r>
      <w:r>
        <w:rPr>
          <w:rFonts w:hint="eastAsia"/>
          <w:sz w:val="18"/>
          <w:szCs w:val="18"/>
        </w:rPr>
        <w:t xml:space="preserve">, </w:t>
      </w:r>
      <w:r>
        <w:rPr>
          <w:rFonts w:hint="eastAsia"/>
          <w:sz w:val="18"/>
          <w:szCs w:val="18"/>
        </w:rPr>
        <w:t>陈彬</w:t>
      </w:r>
      <w:r>
        <w:rPr>
          <w:rFonts w:hint="eastAsia"/>
          <w:sz w:val="18"/>
          <w:szCs w:val="18"/>
        </w:rPr>
        <w:t xml:space="preserve">. </w:t>
      </w:r>
      <w:r>
        <w:rPr>
          <w:rFonts w:hint="eastAsia"/>
          <w:sz w:val="18"/>
          <w:szCs w:val="18"/>
        </w:rPr>
        <w:t>气候变化对粮食生产韧性的影响——基于作物多样化的调节效应研究</w:t>
      </w:r>
      <w:r>
        <w:rPr>
          <w:rFonts w:hint="eastAsia"/>
          <w:sz w:val="18"/>
          <w:szCs w:val="18"/>
        </w:rPr>
        <w:t xml:space="preserve">[J]. </w:t>
      </w:r>
      <w:r>
        <w:rPr>
          <w:rFonts w:hint="eastAsia"/>
          <w:sz w:val="18"/>
          <w:szCs w:val="18"/>
        </w:rPr>
        <w:t>生态学报</w:t>
      </w:r>
      <w:r>
        <w:rPr>
          <w:rFonts w:hint="eastAsia"/>
          <w:sz w:val="18"/>
          <w:szCs w:val="18"/>
        </w:rPr>
        <w:t>, 2024.</w:t>
      </w:r>
      <w:bookmarkEnd w:id="71"/>
    </w:p>
    <w:p w14:paraId="54C6C5A8" w14:textId="77777777" w:rsidR="004B3261" w:rsidRDefault="00000000">
      <w:pPr>
        <w:numPr>
          <w:ilvl w:val="0"/>
          <w:numId w:val="3"/>
        </w:numPr>
        <w:rPr>
          <w:sz w:val="18"/>
          <w:szCs w:val="18"/>
        </w:rPr>
      </w:pPr>
      <w:bookmarkStart w:id="72" w:name="_Ref18647"/>
      <w:r>
        <w:rPr>
          <w:rFonts w:hint="eastAsia"/>
          <w:sz w:val="18"/>
          <w:szCs w:val="18"/>
        </w:rPr>
        <w:t>范辰楠</w:t>
      </w:r>
      <w:r>
        <w:rPr>
          <w:rFonts w:hint="eastAsia"/>
          <w:sz w:val="18"/>
          <w:szCs w:val="18"/>
        </w:rPr>
        <w:t xml:space="preserve">, </w:t>
      </w:r>
      <w:r>
        <w:rPr>
          <w:rFonts w:hint="eastAsia"/>
          <w:sz w:val="18"/>
          <w:szCs w:val="18"/>
        </w:rPr>
        <w:t>覃朝晖</w:t>
      </w:r>
      <w:r>
        <w:rPr>
          <w:rFonts w:hint="eastAsia"/>
          <w:sz w:val="18"/>
          <w:szCs w:val="18"/>
        </w:rPr>
        <w:t xml:space="preserve">, </w:t>
      </w:r>
      <w:r>
        <w:rPr>
          <w:rFonts w:hint="eastAsia"/>
          <w:sz w:val="18"/>
          <w:szCs w:val="18"/>
        </w:rPr>
        <w:t>余思明</w:t>
      </w:r>
      <w:r>
        <w:rPr>
          <w:rFonts w:hint="eastAsia"/>
          <w:sz w:val="18"/>
          <w:szCs w:val="18"/>
        </w:rPr>
        <w:t xml:space="preserve">. </w:t>
      </w:r>
      <w:r>
        <w:rPr>
          <w:rFonts w:hint="eastAsia"/>
          <w:sz w:val="18"/>
          <w:szCs w:val="18"/>
        </w:rPr>
        <w:t>极端气温对粮食生产韧性的影响效应研究——基于绿色金融视角</w:t>
      </w:r>
      <w:r>
        <w:rPr>
          <w:rFonts w:hint="eastAsia"/>
          <w:sz w:val="18"/>
          <w:szCs w:val="18"/>
        </w:rPr>
        <w:t xml:space="preserve">[J]. </w:t>
      </w:r>
      <w:r>
        <w:rPr>
          <w:rFonts w:hint="eastAsia"/>
          <w:sz w:val="18"/>
          <w:szCs w:val="18"/>
        </w:rPr>
        <w:t>中国生态农业学报</w:t>
      </w:r>
      <w:r>
        <w:rPr>
          <w:rFonts w:hint="eastAsia"/>
          <w:sz w:val="18"/>
          <w:szCs w:val="18"/>
        </w:rPr>
        <w:t>(</w:t>
      </w:r>
      <w:r>
        <w:rPr>
          <w:rFonts w:hint="eastAsia"/>
          <w:sz w:val="18"/>
          <w:szCs w:val="18"/>
        </w:rPr>
        <w:t>中英文</w:t>
      </w:r>
      <w:r>
        <w:rPr>
          <w:rFonts w:hint="eastAsia"/>
          <w:sz w:val="18"/>
          <w:szCs w:val="18"/>
        </w:rPr>
        <w:t>), 2024.</w:t>
      </w:r>
      <w:bookmarkEnd w:id="72"/>
    </w:p>
    <w:p w14:paraId="68999745" w14:textId="77777777" w:rsidR="004B3261" w:rsidRDefault="00000000">
      <w:pPr>
        <w:numPr>
          <w:ilvl w:val="0"/>
          <w:numId w:val="3"/>
        </w:numPr>
        <w:rPr>
          <w:sz w:val="18"/>
          <w:szCs w:val="18"/>
        </w:rPr>
      </w:pPr>
      <w:bookmarkStart w:id="73" w:name="_Ref18767"/>
      <w:r>
        <w:rPr>
          <w:rFonts w:hint="eastAsia"/>
          <w:sz w:val="18"/>
          <w:szCs w:val="18"/>
        </w:rPr>
        <w:t>赵娅娅</w:t>
      </w:r>
      <w:r>
        <w:rPr>
          <w:rFonts w:hint="eastAsia"/>
          <w:sz w:val="18"/>
          <w:szCs w:val="18"/>
        </w:rPr>
        <w:t xml:space="preserve">, </w:t>
      </w:r>
      <w:r>
        <w:rPr>
          <w:rFonts w:hint="eastAsia"/>
          <w:sz w:val="18"/>
          <w:szCs w:val="18"/>
        </w:rPr>
        <w:t>樊琳琳</w:t>
      </w:r>
      <w:r>
        <w:rPr>
          <w:rFonts w:hint="eastAsia"/>
          <w:sz w:val="18"/>
          <w:szCs w:val="18"/>
        </w:rPr>
        <w:t xml:space="preserve">, </w:t>
      </w:r>
      <w:r>
        <w:rPr>
          <w:rFonts w:hint="eastAsia"/>
          <w:sz w:val="18"/>
          <w:szCs w:val="18"/>
        </w:rPr>
        <w:t>秦政</w:t>
      </w:r>
      <w:r>
        <w:rPr>
          <w:rFonts w:hint="eastAsia"/>
          <w:sz w:val="18"/>
          <w:szCs w:val="18"/>
        </w:rPr>
        <w:t xml:space="preserve">, </w:t>
      </w:r>
      <w:r>
        <w:rPr>
          <w:rFonts w:hint="eastAsia"/>
          <w:sz w:val="18"/>
          <w:szCs w:val="18"/>
        </w:rPr>
        <w:t>吕敬利</w:t>
      </w:r>
      <w:r>
        <w:rPr>
          <w:rFonts w:hint="eastAsia"/>
          <w:sz w:val="18"/>
          <w:szCs w:val="18"/>
        </w:rPr>
        <w:t xml:space="preserve">, </w:t>
      </w:r>
      <w:r>
        <w:rPr>
          <w:rFonts w:hint="eastAsia"/>
          <w:sz w:val="18"/>
          <w:szCs w:val="18"/>
        </w:rPr>
        <w:t>吕彬</w:t>
      </w:r>
      <w:r>
        <w:rPr>
          <w:rFonts w:hint="eastAsia"/>
          <w:sz w:val="18"/>
          <w:szCs w:val="18"/>
        </w:rPr>
        <w:t xml:space="preserve">. </w:t>
      </w:r>
      <w:r>
        <w:rPr>
          <w:rFonts w:hint="eastAsia"/>
          <w:sz w:val="18"/>
          <w:szCs w:val="18"/>
        </w:rPr>
        <w:t>基于</w:t>
      </w:r>
      <w:r>
        <w:rPr>
          <w:rFonts w:hint="eastAsia"/>
          <w:sz w:val="18"/>
          <w:szCs w:val="18"/>
        </w:rPr>
        <w:t>SVR</w:t>
      </w:r>
      <w:r>
        <w:rPr>
          <w:rFonts w:hint="eastAsia"/>
          <w:sz w:val="18"/>
          <w:szCs w:val="18"/>
        </w:rPr>
        <w:t>和</w:t>
      </w:r>
      <w:r>
        <w:rPr>
          <w:rFonts w:hint="eastAsia"/>
          <w:sz w:val="18"/>
          <w:szCs w:val="18"/>
        </w:rPr>
        <w:t>CNN-LSTM-ATTENTION</w:t>
      </w:r>
      <w:r>
        <w:rPr>
          <w:rFonts w:hint="eastAsia"/>
          <w:sz w:val="18"/>
          <w:szCs w:val="18"/>
        </w:rPr>
        <w:t>模型的粮食产量影响因素分析和组合预测</w:t>
      </w:r>
      <w:r>
        <w:rPr>
          <w:rFonts w:hint="eastAsia"/>
          <w:sz w:val="18"/>
          <w:szCs w:val="18"/>
        </w:rPr>
        <w:t xml:space="preserve">[J]. </w:t>
      </w:r>
      <w:r>
        <w:rPr>
          <w:rFonts w:hint="eastAsia"/>
          <w:sz w:val="18"/>
          <w:szCs w:val="18"/>
        </w:rPr>
        <w:t>中国粮油学报</w:t>
      </w:r>
      <w:r>
        <w:rPr>
          <w:rFonts w:hint="eastAsia"/>
          <w:sz w:val="18"/>
          <w:szCs w:val="18"/>
        </w:rPr>
        <w:t>, 2025.</w:t>
      </w:r>
      <w:bookmarkEnd w:id="73"/>
    </w:p>
    <w:p w14:paraId="674D18B7" w14:textId="77777777" w:rsidR="004B3261" w:rsidRDefault="00000000">
      <w:pPr>
        <w:numPr>
          <w:ilvl w:val="0"/>
          <w:numId w:val="3"/>
        </w:numPr>
        <w:rPr>
          <w:sz w:val="18"/>
          <w:szCs w:val="18"/>
        </w:rPr>
      </w:pPr>
      <w:bookmarkStart w:id="74" w:name="_Ref18781"/>
      <w:r>
        <w:rPr>
          <w:rFonts w:hint="eastAsia"/>
          <w:sz w:val="18"/>
          <w:szCs w:val="18"/>
        </w:rPr>
        <w:t>乔壮</w:t>
      </w:r>
      <w:r>
        <w:rPr>
          <w:rFonts w:hint="eastAsia"/>
          <w:sz w:val="18"/>
          <w:szCs w:val="18"/>
        </w:rPr>
        <w:t xml:space="preserve">, </w:t>
      </w:r>
      <w:r>
        <w:rPr>
          <w:rFonts w:hint="eastAsia"/>
          <w:sz w:val="18"/>
          <w:szCs w:val="18"/>
        </w:rPr>
        <w:t>仇海全</w:t>
      </w:r>
      <w:r>
        <w:rPr>
          <w:rFonts w:hint="eastAsia"/>
          <w:sz w:val="18"/>
          <w:szCs w:val="18"/>
        </w:rPr>
        <w:t xml:space="preserve">, </w:t>
      </w:r>
      <w:r>
        <w:rPr>
          <w:rFonts w:hint="eastAsia"/>
          <w:sz w:val="18"/>
          <w:szCs w:val="18"/>
        </w:rPr>
        <w:t>吴燕</w:t>
      </w:r>
      <w:r>
        <w:rPr>
          <w:rFonts w:hint="eastAsia"/>
          <w:sz w:val="18"/>
          <w:szCs w:val="18"/>
        </w:rPr>
        <w:t xml:space="preserve">, </w:t>
      </w:r>
      <w:r>
        <w:rPr>
          <w:rFonts w:hint="eastAsia"/>
          <w:sz w:val="18"/>
          <w:szCs w:val="18"/>
        </w:rPr>
        <w:t>马帅龙</w:t>
      </w:r>
      <w:r>
        <w:rPr>
          <w:rFonts w:hint="eastAsia"/>
          <w:sz w:val="18"/>
          <w:szCs w:val="18"/>
        </w:rPr>
        <w:t xml:space="preserve">. </w:t>
      </w:r>
      <w:r>
        <w:rPr>
          <w:rFonts w:hint="eastAsia"/>
          <w:sz w:val="18"/>
          <w:szCs w:val="18"/>
        </w:rPr>
        <w:t>基于</w:t>
      </w:r>
      <w:r>
        <w:rPr>
          <w:rFonts w:hint="eastAsia"/>
          <w:sz w:val="18"/>
          <w:szCs w:val="18"/>
        </w:rPr>
        <w:t>CNN-LSTM</w:t>
      </w:r>
      <w:r>
        <w:rPr>
          <w:rFonts w:hint="eastAsia"/>
          <w:sz w:val="18"/>
          <w:szCs w:val="18"/>
        </w:rPr>
        <w:t>的黄淮海地区冬小麦产量预测模型</w:t>
      </w:r>
      <w:r>
        <w:rPr>
          <w:rFonts w:hint="eastAsia"/>
          <w:sz w:val="18"/>
          <w:szCs w:val="18"/>
        </w:rPr>
        <w:t xml:space="preserve">[J]. </w:t>
      </w:r>
      <w:r>
        <w:rPr>
          <w:rFonts w:hint="eastAsia"/>
          <w:sz w:val="18"/>
          <w:szCs w:val="18"/>
        </w:rPr>
        <w:t>黑龙江工业学院学报</w:t>
      </w:r>
      <w:r>
        <w:rPr>
          <w:rFonts w:hint="eastAsia"/>
          <w:sz w:val="18"/>
          <w:szCs w:val="18"/>
        </w:rPr>
        <w:t>(</w:t>
      </w:r>
      <w:r>
        <w:rPr>
          <w:rFonts w:hint="eastAsia"/>
          <w:sz w:val="18"/>
          <w:szCs w:val="18"/>
        </w:rPr>
        <w:t>综合版</w:t>
      </w:r>
      <w:r>
        <w:rPr>
          <w:rFonts w:hint="eastAsia"/>
          <w:sz w:val="18"/>
          <w:szCs w:val="18"/>
        </w:rPr>
        <w:t>), 2024.</w:t>
      </w:r>
      <w:bookmarkEnd w:id="74"/>
    </w:p>
    <w:p w14:paraId="13BA1ED7" w14:textId="77777777" w:rsidR="004B3261" w:rsidRDefault="00000000">
      <w:pPr>
        <w:numPr>
          <w:ilvl w:val="0"/>
          <w:numId w:val="3"/>
        </w:numPr>
        <w:rPr>
          <w:sz w:val="18"/>
          <w:szCs w:val="18"/>
        </w:rPr>
      </w:pPr>
      <w:bookmarkStart w:id="75" w:name="_Ref18898"/>
      <w:r>
        <w:rPr>
          <w:rFonts w:hint="eastAsia"/>
          <w:sz w:val="18"/>
          <w:szCs w:val="18"/>
        </w:rPr>
        <w:t>田谨鹏</w:t>
      </w:r>
      <w:r>
        <w:rPr>
          <w:rFonts w:hint="eastAsia"/>
          <w:sz w:val="18"/>
          <w:szCs w:val="18"/>
        </w:rPr>
        <w:t xml:space="preserve">. </w:t>
      </w:r>
      <w:r>
        <w:rPr>
          <w:rFonts w:hint="eastAsia"/>
          <w:sz w:val="18"/>
          <w:szCs w:val="18"/>
        </w:rPr>
        <w:t>气候变化、农田水利供给对粮食产出的影响研究——以黄河流域为例</w:t>
      </w:r>
      <w:r>
        <w:rPr>
          <w:rFonts w:hint="eastAsia"/>
          <w:sz w:val="18"/>
          <w:szCs w:val="18"/>
        </w:rPr>
        <w:t xml:space="preserve">[D]. </w:t>
      </w:r>
      <w:r>
        <w:rPr>
          <w:rFonts w:hint="eastAsia"/>
          <w:sz w:val="18"/>
          <w:szCs w:val="18"/>
        </w:rPr>
        <w:t>西北农林科技大学</w:t>
      </w:r>
      <w:r>
        <w:rPr>
          <w:rFonts w:hint="eastAsia"/>
          <w:sz w:val="18"/>
          <w:szCs w:val="18"/>
        </w:rPr>
        <w:t>, 2025.</w:t>
      </w:r>
      <w:bookmarkEnd w:id="75"/>
    </w:p>
    <w:p w14:paraId="663DE955" w14:textId="77777777" w:rsidR="004B3261" w:rsidRDefault="00000000">
      <w:pPr>
        <w:numPr>
          <w:ilvl w:val="0"/>
          <w:numId w:val="3"/>
        </w:numPr>
        <w:rPr>
          <w:sz w:val="18"/>
          <w:szCs w:val="18"/>
        </w:rPr>
      </w:pPr>
      <w:bookmarkStart w:id="76" w:name="_Ref19006"/>
      <w:r>
        <w:rPr>
          <w:rFonts w:hint="eastAsia"/>
          <w:sz w:val="18"/>
          <w:szCs w:val="18"/>
        </w:rPr>
        <w:t>沈嘉睿</w:t>
      </w:r>
      <w:r>
        <w:rPr>
          <w:rFonts w:hint="eastAsia"/>
          <w:sz w:val="18"/>
          <w:szCs w:val="18"/>
        </w:rPr>
        <w:t xml:space="preserve">, </w:t>
      </w:r>
      <w:r>
        <w:rPr>
          <w:rFonts w:hint="eastAsia"/>
          <w:sz w:val="18"/>
          <w:szCs w:val="18"/>
        </w:rPr>
        <w:t>曾小艳</w:t>
      </w:r>
      <w:r>
        <w:rPr>
          <w:rFonts w:hint="eastAsia"/>
          <w:sz w:val="18"/>
          <w:szCs w:val="18"/>
        </w:rPr>
        <w:t xml:space="preserve">, </w:t>
      </w:r>
      <w:r>
        <w:rPr>
          <w:rFonts w:hint="eastAsia"/>
          <w:sz w:val="18"/>
          <w:szCs w:val="18"/>
        </w:rPr>
        <w:t>邢艺茹</w:t>
      </w:r>
      <w:r>
        <w:rPr>
          <w:rFonts w:hint="eastAsia"/>
          <w:sz w:val="18"/>
          <w:szCs w:val="18"/>
        </w:rPr>
        <w:t xml:space="preserve">. </w:t>
      </w:r>
      <w:r>
        <w:rPr>
          <w:rFonts w:hint="eastAsia"/>
          <w:sz w:val="18"/>
          <w:szCs w:val="18"/>
        </w:rPr>
        <w:t>极端天气背景下绿色金融对粮食生产韧性的调节效应研究</w:t>
      </w:r>
      <w:r>
        <w:rPr>
          <w:rFonts w:hint="eastAsia"/>
          <w:sz w:val="18"/>
          <w:szCs w:val="18"/>
        </w:rPr>
        <w:t xml:space="preserve">[J]. </w:t>
      </w:r>
      <w:r>
        <w:rPr>
          <w:rFonts w:hint="eastAsia"/>
          <w:sz w:val="18"/>
          <w:szCs w:val="18"/>
        </w:rPr>
        <w:t>粮食科技与经济</w:t>
      </w:r>
      <w:r>
        <w:rPr>
          <w:rFonts w:hint="eastAsia"/>
          <w:sz w:val="18"/>
          <w:szCs w:val="18"/>
        </w:rPr>
        <w:t>, 2025.</w:t>
      </w:r>
      <w:bookmarkEnd w:id="76"/>
    </w:p>
    <w:p w14:paraId="702D49CD" w14:textId="77777777" w:rsidR="004B3261" w:rsidRDefault="00000000">
      <w:pPr>
        <w:numPr>
          <w:ilvl w:val="0"/>
          <w:numId w:val="3"/>
        </w:numPr>
        <w:rPr>
          <w:sz w:val="18"/>
          <w:szCs w:val="18"/>
        </w:rPr>
      </w:pPr>
      <w:bookmarkStart w:id="77" w:name="_Ref19016"/>
      <w:r>
        <w:rPr>
          <w:rFonts w:hint="eastAsia"/>
          <w:sz w:val="18"/>
          <w:szCs w:val="18"/>
        </w:rPr>
        <w:t>韩雪莲</w:t>
      </w:r>
      <w:r>
        <w:rPr>
          <w:rFonts w:hint="eastAsia"/>
          <w:sz w:val="18"/>
          <w:szCs w:val="18"/>
        </w:rPr>
        <w:t xml:space="preserve">, </w:t>
      </w:r>
      <w:r>
        <w:rPr>
          <w:rFonts w:hint="eastAsia"/>
          <w:sz w:val="18"/>
          <w:szCs w:val="18"/>
        </w:rPr>
        <w:t>马世洋</w:t>
      </w:r>
      <w:r>
        <w:rPr>
          <w:rFonts w:hint="eastAsia"/>
          <w:sz w:val="18"/>
          <w:szCs w:val="18"/>
        </w:rPr>
        <w:t xml:space="preserve">, </w:t>
      </w:r>
      <w:r>
        <w:rPr>
          <w:rFonts w:hint="eastAsia"/>
          <w:sz w:val="18"/>
          <w:szCs w:val="18"/>
        </w:rPr>
        <w:t>代洋</w:t>
      </w:r>
      <w:r>
        <w:rPr>
          <w:rFonts w:hint="eastAsia"/>
          <w:sz w:val="18"/>
          <w:szCs w:val="18"/>
        </w:rPr>
        <w:t xml:space="preserve">. </w:t>
      </w:r>
      <w:r>
        <w:rPr>
          <w:rFonts w:hint="eastAsia"/>
          <w:sz w:val="18"/>
          <w:szCs w:val="18"/>
        </w:rPr>
        <w:t>气候变化、农业保险与粮食生产韧性</w:t>
      </w:r>
      <w:r>
        <w:rPr>
          <w:rFonts w:hint="eastAsia"/>
          <w:sz w:val="18"/>
          <w:szCs w:val="18"/>
        </w:rPr>
        <w:t xml:space="preserve">[J]. </w:t>
      </w:r>
      <w:r>
        <w:rPr>
          <w:rFonts w:hint="eastAsia"/>
          <w:sz w:val="18"/>
          <w:szCs w:val="18"/>
        </w:rPr>
        <w:t>产业组织评论</w:t>
      </w:r>
      <w:r>
        <w:rPr>
          <w:rFonts w:hint="eastAsia"/>
          <w:sz w:val="18"/>
          <w:szCs w:val="18"/>
        </w:rPr>
        <w:t>, 2025.</w:t>
      </w:r>
      <w:bookmarkEnd w:id="77"/>
    </w:p>
    <w:p w14:paraId="14753B35" w14:textId="77777777" w:rsidR="004B3261" w:rsidRDefault="00000000">
      <w:pPr>
        <w:numPr>
          <w:ilvl w:val="0"/>
          <w:numId w:val="3"/>
        </w:numPr>
        <w:rPr>
          <w:sz w:val="18"/>
          <w:szCs w:val="18"/>
        </w:rPr>
      </w:pPr>
      <w:bookmarkStart w:id="78" w:name="_Ref19022"/>
      <w:r>
        <w:rPr>
          <w:rFonts w:hint="eastAsia"/>
          <w:sz w:val="18"/>
          <w:szCs w:val="18"/>
        </w:rPr>
        <w:t>彭长生</w:t>
      </w:r>
      <w:r>
        <w:rPr>
          <w:rFonts w:hint="eastAsia"/>
          <w:sz w:val="18"/>
          <w:szCs w:val="18"/>
        </w:rPr>
        <w:t xml:space="preserve">, </w:t>
      </w:r>
      <w:r>
        <w:rPr>
          <w:rFonts w:hint="eastAsia"/>
          <w:sz w:val="18"/>
          <w:szCs w:val="18"/>
        </w:rPr>
        <w:t>刘阳</w:t>
      </w:r>
      <w:r>
        <w:rPr>
          <w:rFonts w:hint="eastAsia"/>
          <w:sz w:val="18"/>
          <w:szCs w:val="18"/>
        </w:rPr>
        <w:t xml:space="preserve">, </w:t>
      </w:r>
      <w:r>
        <w:rPr>
          <w:rFonts w:hint="eastAsia"/>
          <w:sz w:val="18"/>
          <w:szCs w:val="18"/>
        </w:rPr>
        <w:t>钟钰</w:t>
      </w:r>
      <w:r>
        <w:rPr>
          <w:rFonts w:hint="eastAsia"/>
          <w:sz w:val="18"/>
          <w:szCs w:val="18"/>
        </w:rPr>
        <w:t xml:space="preserve">. </w:t>
      </w:r>
      <w:r>
        <w:rPr>
          <w:rFonts w:hint="eastAsia"/>
          <w:sz w:val="18"/>
          <w:szCs w:val="18"/>
        </w:rPr>
        <w:t>高标准农田建设政策实施对粮食生产气候韧性的影响</w:t>
      </w:r>
      <w:r>
        <w:rPr>
          <w:rFonts w:hint="eastAsia"/>
          <w:sz w:val="18"/>
          <w:szCs w:val="18"/>
        </w:rPr>
        <w:t xml:space="preserve">[J]. </w:t>
      </w:r>
      <w:r>
        <w:rPr>
          <w:rFonts w:hint="eastAsia"/>
          <w:sz w:val="18"/>
          <w:szCs w:val="18"/>
        </w:rPr>
        <w:t>中国农村经济</w:t>
      </w:r>
      <w:r>
        <w:rPr>
          <w:rFonts w:hint="eastAsia"/>
          <w:sz w:val="18"/>
          <w:szCs w:val="18"/>
        </w:rPr>
        <w:t>, 2025.</w:t>
      </w:r>
      <w:bookmarkEnd w:id="78"/>
    </w:p>
    <w:p w14:paraId="706D0BEF" w14:textId="77777777" w:rsidR="004B3261" w:rsidRDefault="00000000">
      <w:pPr>
        <w:numPr>
          <w:ilvl w:val="0"/>
          <w:numId w:val="3"/>
        </w:numPr>
        <w:rPr>
          <w:sz w:val="18"/>
          <w:szCs w:val="18"/>
        </w:rPr>
      </w:pPr>
      <w:bookmarkStart w:id="79" w:name="_Ref19319"/>
      <w:r>
        <w:rPr>
          <w:rFonts w:hint="eastAsia"/>
          <w:sz w:val="18"/>
          <w:szCs w:val="18"/>
        </w:rPr>
        <w:t>程敏雅</w:t>
      </w:r>
      <w:r>
        <w:rPr>
          <w:rFonts w:hint="eastAsia"/>
          <w:sz w:val="18"/>
          <w:szCs w:val="18"/>
        </w:rPr>
        <w:t xml:space="preserve">. </w:t>
      </w:r>
      <w:r>
        <w:rPr>
          <w:rFonts w:hint="eastAsia"/>
          <w:sz w:val="18"/>
          <w:szCs w:val="18"/>
        </w:rPr>
        <w:t>基于深度学习的精细化夏玉米产量预测技术研究</w:t>
      </w:r>
      <w:r>
        <w:rPr>
          <w:rFonts w:hint="eastAsia"/>
          <w:sz w:val="18"/>
          <w:szCs w:val="18"/>
        </w:rPr>
        <w:t xml:space="preserve">[D]. </w:t>
      </w:r>
      <w:r>
        <w:rPr>
          <w:rFonts w:hint="eastAsia"/>
          <w:sz w:val="18"/>
          <w:szCs w:val="18"/>
        </w:rPr>
        <w:t>南京信息工程大学</w:t>
      </w:r>
      <w:r>
        <w:rPr>
          <w:rFonts w:hint="eastAsia"/>
          <w:sz w:val="18"/>
          <w:szCs w:val="18"/>
        </w:rPr>
        <w:t>, 2025.</w:t>
      </w:r>
      <w:bookmarkEnd w:id="79"/>
    </w:p>
    <w:p w14:paraId="226FCC0F" w14:textId="77777777" w:rsidR="004B3261" w:rsidRDefault="00000000">
      <w:pPr>
        <w:numPr>
          <w:ilvl w:val="0"/>
          <w:numId w:val="3"/>
        </w:numPr>
        <w:rPr>
          <w:sz w:val="18"/>
          <w:szCs w:val="18"/>
        </w:rPr>
      </w:pPr>
      <w:r>
        <w:rPr>
          <w:rFonts w:hint="eastAsia"/>
          <w:sz w:val="18"/>
          <w:szCs w:val="18"/>
        </w:rPr>
        <w:t>肖文</w:t>
      </w:r>
      <w:r>
        <w:rPr>
          <w:rFonts w:hint="eastAsia"/>
          <w:sz w:val="18"/>
          <w:szCs w:val="18"/>
        </w:rPr>
        <w:t xml:space="preserve">. </w:t>
      </w:r>
      <w:r>
        <w:rPr>
          <w:rFonts w:hint="eastAsia"/>
          <w:sz w:val="18"/>
          <w:szCs w:val="18"/>
        </w:rPr>
        <w:t>基于机器学习的我国粮食产量预测研究</w:t>
      </w:r>
      <w:r>
        <w:rPr>
          <w:rFonts w:hint="eastAsia"/>
          <w:sz w:val="18"/>
          <w:szCs w:val="18"/>
        </w:rPr>
        <w:t xml:space="preserve">[D]. </w:t>
      </w:r>
      <w:r>
        <w:rPr>
          <w:rFonts w:hint="eastAsia"/>
          <w:sz w:val="18"/>
          <w:szCs w:val="18"/>
        </w:rPr>
        <w:t>兰州财经大学</w:t>
      </w:r>
      <w:r>
        <w:rPr>
          <w:rFonts w:hint="eastAsia"/>
          <w:sz w:val="18"/>
          <w:szCs w:val="18"/>
        </w:rPr>
        <w:t>, 2024.</w:t>
      </w:r>
    </w:p>
    <w:p w14:paraId="35F41538" w14:textId="77777777" w:rsidR="004B3261" w:rsidRDefault="00000000">
      <w:pPr>
        <w:numPr>
          <w:ilvl w:val="0"/>
          <w:numId w:val="3"/>
        </w:numPr>
        <w:rPr>
          <w:sz w:val="18"/>
          <w:szCs w:val="18"/>
        </w:rPr>
      </w:pPr>
      <w:r>
        <w:rPr>
          <w:rFonts w:hint="eastAsia"/>
          <w:sz w:val="18"/>
          <w:szCs w:val="18"/>
        </w:rPr>
        <w:t>刘照</w:t>
      </w:r>
      <w:r>
        <w:rPr>
          <w:rFonts w:hint="eastAsia"/>
          <w:sz w:val="18"/>
          <w:szCs w:val="18"/>
        </w:rPr>
        <w:t xml:space="preserve">. </w:t>
      </w:r>
      <w:r>
        <w:rPr>
          <w:rFonts w:hint="eastAsia"/>
          <w:sz w:val="18"/>
          <w:szCs w:val="18"/>
        </w:rPr>
        <w:t>基于机理模型与深度学习方法的农作物长势参数与产量反演研究</w:t>
      </w:r>
      <w:r>
        <w:rPr>
          <w:rFonts w:hint="eastAsia"/>
          <w:sz w:val="18"/>
          <w:szCs w:val="18"/>
        </w:rPr>
        <w:t xml:space="preserve">[D]. </w:t>
      </w:r>
      <w:r>
        <w:rPr>
          <w:rFonts w:hint="eastAsia"/>
          <w:sz w:val="18"/>
          <w:szCs w:val="18"/>
        </w:rPr>
        <w:t>中国科学院大学</w:t>
      </w:r>
      <w:r>
        <w:rPr>
          <w:rFonts w:hint="eastAsia"/>
          <w:sz w:val="18"/>
          <w:szCs w:val="18"/>
        </w:rPr>
        <w:t>, 2024.</w:t>
      </w:r>
    </w:p>
    <w:p w14:paraId="6FDEE0E7" w14:textId="77777777" w:rsidR="004B3261" w:rsidRDefault="00000000">
      <w:pPr>
        <w:numPr>
          <w:ilvl w:val="0"/>
          <w:numId w:val="3"/>
        </w:numPr>
        <w:rPr>
          <w:sz w:val="18"/>
          <w:szCs w:val="18"/>
        </w:rPr>
      </w:pPr>
      <w:r>
        <w:rPr>
          <w:rFonts w:hint="eastAsia"/>
          <w:sz w:val="18"/>
          <w:szCs w:val="18"/>
        </w:rPr>
        <w:t>刘静</w:t>
      </w:r>
      <w:r>
        <w:rPr>
          <w:rFonts w:hint="eastAsia"/>
          <w:sz w:val="18"/>
          <w:szCs w:val="18"/>
        </w:rPr>
        <w:t xml:space="preserve">, </w:t>
      </w:r>
      <w:r>
        <w:rPr>
          <w:rFonts w:hint="eastAsia"/>
          <w:sz w:val="18"/>
          <w:szCs w:val="18"/>
        </w:rPr>
        <w:t>姚志</w:t>
      </w:r>
      <w:r>
        <w:rPr>
          <w:rFonts w:hint="eastAsia"/>
          <w:sz w:val="18"/>
          <w:szCs w:val="18"/>
        </w:rPr>
        <w:t xml:space="preserve">. </w:t>
      </w:r>
      <w:r>
        <w:rPr>
          <w:rFonts w:hint="eastAsia"/>
          <w:sz w:val="18"/>
          <w:szCs w:val="18"/>
        </w:rPr>
        <w:t>“藏粮于技”：农业新质生产力提升粮食生产韧性的内在机制研究</w:t>
      </w:r>
      <w:r>
        <w:rPr>
          <w:rFonts w:hint="eastAsia"/>
          <w:sz w:val="18"/>
          <w:szCs w:val="18"/>
        </w:rPr>
        <w:t xml:space="preserve">[J]. </w:t>
      </w:r>
      <w:r>
        <w:rPr>
          <w:rFonts w:hint="eastAsia"/>
          <w:sz w:val="18"/>
          <w:szCs w:val="18"/>
        </w:rPr>
        <w:t>农业现代化研究</w:t>
      </w:r>
      <w:r>
        <w:rPr>
          <w:rFonts w:hint="eastAsia"/>
          <w:sz w:val="18"/>
          <w:szCs w:val="18"/>
        </w:rPr>
        <w:t>, 2025.</w:t>
      </w:r>
    </w:p>
    <w:p w14:paraId="5466FCC5" w14:textId="77777777" w:rsidR="004B3261" w:rsidRDefault="00000000">
      <w:pPr>
        <w:numPr>
          <w:ilvl w:val="0"/>
          <w:numId w:val="3"/>
        </w:numPr>
        <w:rPr>
          <w:sz w:val="18"/>
          <w:szCs w:val="18"/>
        </w:rPr>
      </w:pPr>
      <w:r>
        <w:rPr>
          <w:rFonts w:hint="eastAsia"/>
          <w:sz w:val="18"/>
          <w:szCs w:val="18"/>
        </w:rPr>
        <w:lastRenderedPageBreak/>
        <w:t>刘良灿</w:t>
      </w:r>
      <w:r>
        <w:rPr>
          <w:rFonts w:hint="eastAsia"/>
          <w:sz w:val="18"/>
          <w:szCs w:val="18"/>
        </w:rPr>
        <w:t xml:space="preserve">, </w:t>
      </w:r>
      <w:r>
        <w:rPr>
          <w:rFonts w:hint="eastAsia"/>
          <w:sz w:val="18"/>
          <w:szCs w:val="18"/>
        </w:rPr>
        <w:t>李想</w:t>
      </w:r>
      <w:r>
        <w:rPr>
          <w:rFonts w:hint="eastAsia"/>
          <w:sz w:val="18"/>
          <w:szCs w:val="18"/>
        </w:rPr>
        <w:t xml:space="preserve">, </w:t>
      </w:r>
      <w:r>
        <w:rPr>
          <w:rFonts w:hint="eastAsia"/>
          <w:sz w:val="18"/>
          <w:szCs w:val="18"/>
        </w:rPr>
        <w:t>王瑾</w:t>
      </w:r>
      <w:r>
        <w:rPr>
          <w:rFonts w:hint="eastAsia"/>
          <w:sz w:val="18"/>
          <w:szCs w:val="18"/>
        </w:rPr>
        <w:t xml:space="preserve">. </w:t>
      </w:r>
      <w:r>
        <w:rPr>
          <w:rFonts w:hint="eastAsia"/>
          <w:sz w:val="18"/>
          <w:szCs w:val="18"/>
        </w:rPr>
        <w:t>绿色金融如何影响粮食生产的气候韧性</w:t>
      </w:r>
      <w:r>
        <w:rPr>
          <w:rFonts w:hint="eastAsia"/>
          <w:sz w:val="18"/>
          <w:szCs w:val="18"/>
        </w:rPr>
        <w:t>?</w:t>
      </w:r>
      <w:r>
        <w:rPr>
          <w:rFonts w:hint="eastAsia"/>
          <w:sz w:val="18"/>
          <w:szCs w:val="18"/>
        </w:rPr>
        <w:t>——基于双重机器学习模型的实证研究</w:t>
      </w:r>
      <w:r>
        <w:rPr>
          <w:rFonts w:hint="eastAsia"/>
          <w:sz w:val="18"/>
          <w:szCs w:val="18"/>
        </w:rPr>
        <w:t xml:space="preserve">[J]. </w:t>
      </w:r>
      <w:r>
        <w:rPr>
          <w:rFonts w:hint="eastAsia"/>
          <w:sz w:val="18"/>
          <w:szCs w:val="18"/>
        </w:rPr>
        <w:t>农村金融研究</w:t>
      </w:r>
      <w:r>
        <w:rPr>
          <w:rFonts w:hint="eastAsia"/>
          <w:sz w:val="18"/>
          <w:szCs w:val="18"/>
        </w:rPr>
        <w:t>, 2024.</w:t>
      </w:r>
    </w:p>
    <w:p w14:paraId="0DFBFF57" w14:textId="77777777" w:rsidR="004B3261" w:rsidRDefault="00000000">
      <w:pPr>
        <w:numPr>
          <w:ilvl w:val="0"/>
          <w:numId w:val="3"/>
        </w:numPr>
        <w:rPr>
          <w:sz w:val="18"/>
          <w:szCs w:val="18"/>
        </w:rPr>
      </w:pPr>
      <w:bookmarkStart w:id="80" w:name="_Ref19332"/>
      <w:r>
        <w:rPr>
          <w:rFonts w:hint="eastAsia"/>
          <w:sz w:val="18"/>
          <w:szCs w:val="18"/>
        </w:rPr>
        <w:t>SCHLENKER W, ROBERTS M J. Nonlinear temperature effects indicate severe damages to U.S. crop yields under climate change[J]. Proceedings of the National Academy of Sciences, 2009, 106(37): 15594-15598.</w:t>
      </w:r>
      <w:bookmarkEnd w:id="80"/>
    </w:p>
    <w:p w14:paraId="177F640E" w14:textId="77777777" w:rsidR="004B3261" w:rsidRDefault="004B3261">
      <w:pPr>
        <w:rPr>
          <w:sz w:val="18"/>
          <w:szCs w:val="18"/>
        </w:rPr>
      </w:pPr>
    </w:p>
    <w:p w14:paraId="0D2E3073" w14:textId="77777777" w:rsidR="004B3261" w:rsidRDefault="004B3261">
      <w:pPr>
        <w:rPr>
          <w:sz w:val="30"/>
          <w:szCs w:val="30"/>
        </w:rPr>
      </w:pPr>
    </w:p>
    <w:p w14:paraId="40056A91" w14:textId="77777777" w:rsidR="004B3261" w:rsidRDefault="004B3261">
      <w:pPr>
        <w:rPr>
          <w:sz w:val="30"/>
          <w:szCs w:val="30"/>
        </w:rPr>
      </w:pPr>
    </w:p>
    <w:p w14:paraId="2AD61EC2" w14:textId="77777777" w:rsidR="004B3261" w:rsidRDefault="004B3261">
      <w:pPr>
        <w:rPr>
          <w:sz w:val="30"/>
          <w:szCs w:val="30"/>
        </w:rPr>
      </w:pPr>
    </w:p>
    <w:p w14:paraId="7366C965" w14:textId="77777777" w:rsidR="004B3261" w:rsidRDefault="004B3261">
      <w:pPr>
        <w:rPr>
          <w:sz w:val="30"/>
          <w:szCs w:val="30"/>
        </w:rPr>
      </w:pPr>
    </w:p>
    <w:p w14:paraId="49492E7D" w14:textId="77777777" w:rsidR="004B3261" w:rsidRDefault="004B3261">
      <w:pPr>
        <w:rPr>
          <w:sz w:val="30"/>
          <w:szCs w:val="30"/>
        </w:rPr>
      </w:pPr>
    </w:p>
    <w:p w14:paraId="1789428F" w14:textId="77777777" w:rsidR="004B3261" w:rsidRDefault="004B3261">
      <w:pPr>
        <w:rPr>
          <w:sz w:val="30"/>
          <w:szCs w:val="30"/>
        </w:rPr>
      </w:pPr>
    </w:p>
    <w:p w14:paraId="07CB36ED" w14:textId="77777777" w:rsidR="004B3261" w:rsidRDefault="004B3261">
      <w:pPr>
        <w:rPr>
          <w:sz w:val="30"/>
          <w:szCs w:val="30"/>
        </w:rPr>
      </w:pPr>
    </w:p>
    <w:p w14:paraId="1A06E6CF" w14:textId="77777777" w:rsidR="004B3261" w:rsidRDefault="004B3261">
      <w:pPr>
        <w:rPr>
          <w:sz w:val="30"/>
          <w:szCs w:val="30"/>
        </w:rPr>
      </w:pPr>
    </w:p>
    <w:p w14:paraId="15D15C55" w14:textId="77777777" w:rsidR="004B3261" w:rsidRDefault="004B3261">
      <w:pPr>
        <w:rPr>
          <w:sz w:val="30"/>
          <w:szCs w:val="30"/>
        </w:rPr>
      </w:pPr>
    </w:p>
    <w:p w14:paraId="1BCFE726" w14:textId="77777777" w:rsidR="004B3261" w:rsidRDefault="004B3261">
      <w:pPr>
        <w:rPr>
          <w:sz w:val="30"/>
          <w:szCs w:val="30"/>
        </w:rPr>
      </w:pPr>
    </w:p>
    <w:p w14:paraId="11E34E1C" w14:textId="77777777" w:rsidR="004B3261" w:rsidRDefault="004B3261">
      <w:pPr>
        <w:rPr>
          <w:sz w:val="30"/>
          <w:szCs w:val="30"/>
        </w:rPr>
      </w:pPr>
    </w:p>
    <w:p w14:paraId="58384F94" w14:textId="77777777" w:rsidR="004B3261" w:rsidRDefault="004B3261">
      <w:pPr>
        <w:rPr>
          <w:sz w:val="30"/>
          <w:szCs w:val="30"/>
        </w:rPr>
      </w:pPr>
    </w:p>
    <w:p w14:paraId="0351BE94" w14:textId="77777777" w:rsidR="004B3261" w:rsidRDefault="004B3261">
      <w:pPr>
        <w:rPr>
          <w:sz w:val="30"/>
          <w:szCs w:val="30"/>
        </w:rPr>
      </w:pPr>
    </w:p>
    <w:p w14:paraId="7208F720" w14:textId="77777777" w:rsidR="004B3261" w:rsidRDefault="004B3261">
      <w:pPr>
        <w:rPr>
          <w:sz w:val="30"/>
          <w:szCs w:val="30"/>
        </w:rPr>
      </w:pPr>
    </w:p>
    <w:p w14:paraId="5CFD6BC7" w14:textId="77777777" w:rsidR="004B3261" w:rsidRDefault="004B3261">
      <w:pPr>
        <w:rPr>
          <w:sz w:val="30"/>
          <w:szCs w:val="30"/>
        </w:rPr>
      </w:pPr>
    </w:p>
    <w:p w14:paraId="011CAA75" w14:textId="77777777" w:rsidR="004B3261" w:rsidRDefault="004B3261">
      <w:pPr>
        <w:pStyle w:val="ac"/>
        <w:ind w:firstLineChars="0" w:firstLine="0"/>
        <w:rPr>
          <w:b/>
          <w:bCs/>
          <w:sz w:val="30"/>
          <w:szCs w:val="30"/>
        </w:rPr>
      </w:pPr>
    </w:p>
    <w:p w14:paraId="43C3F2F7" w14:textId="77777777" w:rsidR="004B3261" w:rsidRDefault="004B3261">
      <w:pPr>
        <w:pStyle w:val="ac"/>
        <w:ind w:firstLineChars="0" w:firstLine="0"/>
        <w:jc w:val="center"/>
        <w:rPr>
          <w:b/>
          <w:bCs/>
          <w:sz w:val="30"/>
          <w:szCs w:val="30"/>
        </w:rPr>
      </w:pPr>
    </w:p>
    <w:p w14:paraId="4F4CCADE" w14:textId="77777777" w:rsidR="004B3261" w:rsidRDefault="004B3261">
      <w:pPr>
        <w:pStyle w:val="ac"/>
        <w:ind w:firstLineChars="0" w:firstLine="0"/>
        <w:jc w:val="center"/>
        <w:rPr>
          <w:b/>
          <w:bCs/>
          <w:sz w:val="30"/>
          <w:szCs w:val="30"/>
        </w:rPr>
      </w:pPr>
    </w:p>
    <w:p w14:paraId="500F837C" w14:textId="77777777" w:rsidR="004B3261" w:rsidRDefault="004B3261">
      <w:pPr>
        <w:pStyle w:val="ac"/>
        <w:ind w:firstLineChars="0" w:firstLine="0"/>
        <w:jc w:val="center"/>
        <w:rPr>
          <w:b/>
          <w:bCs/>
          <w:sz w:val="30"/>
          <w:szCs w:val="30"/>
        </w:rPr>
      </w:pPr>
    </w:p>
    <w:p w14:paraId="7E3407E8" w14:textId="77777777" w:rsidR="004B3261" w:rsidRDefault="004B3261">
      <w:pPr>
        <w:pStyle w:val="ac"/>
        <w:ind w:firstLineChars="0" w:firstLine="0"/>
        <w:jc w:val="center"/>
        <w:rPr>
          <w:b/>
          <w:bCs/>
          <w:sz w:val="30"/>
          <w:szCs w:val="30"/>
        </w:rPr>
      </w:pPr>
    </w:p>
    <w:p w14:paraId="2D2043A5" w14:textId="77777777" w:rsidR="004B3261" w:rsidRDefault="004B3261">
      <w:pPr>
        <w:pStyle w:val="ac"/>
        <w:ind w:firstLineChars="0" w:firstLine="0"/>
        <w:jc w:val="center"/>
        <w:rPr>
          <w:b/>
          <w:bCs/>
          <w:sz w:val="30"/>
          <w:szCs w:val="30"/>
        </w:rPr>
      </w:pPr>
    </w:p>
    <w:p w14:paraId="49CFEE3A" w14:textId="77777777" w:rsidR="004B3261" w:rsidRDefault="004B3261">
      <w:pPr>
        <w:pStyle w:val="ac"/>
        <w:ind w:firstLineChars="0" w:firstLine="0"/>
        <w:jc w:val="center"/>
        <w:rPr>
          <w:b/>
          <w:bCs/>
          <w:sz w:val="30"/>
          <w:szCs w:val="30"/>
        </w:rPr>
      </w:pPr>
    </w:p>
    <w:p w14:paraId="48F30661" w14:textId="77777777" w:rsidR="004B3261" w:rsidRDefault="004B3261">
      <w:pPr>
        <w:pStyle w:val="ac"/>
        <w:ind w:firstLineChars="0" w:firstLine="0"/>
        <w:jc w:val="center"/>
        <w:rPr>
          <w:b/>
          <w:bCs/>
          <w:sz w:val="30"/>
          <w:szCs w:val="30"/>
        </w:rPr>
      </w:pPr>
    </w:p>
    <w:p w14:paraId="2E4892E1" w14:textId="77777777" w:rsidR="004B3261" w:rsidRDefault="00000000">
      <w:pPr>
        <w:pStyle w:val="ac"/>
        <w:ind w:firstLineChars="0" w:firstLine="0"/>
        <w:jc w:val="center"/>
        <w:rPr>
          <w:b/>
          <w:bCs/>
          <w:sz w:val="30"/>
          <w:szCs w:val="30"/>
        </w:rPr>
      </w:pPr>
      <w:r>
        <w:rPr>
          <w:rFonts w:hint="eastAsia"/>
          <w:b/>
          <w:bCs/>
          <w:sz w:val="30"/>
          <w:szCs w:val="30"/>
        </w:rPr>
        <w:t>致谢</w:t>
      </w:r>
    </w:p>
    <w:p w14:paraId="31377AD6" w14:textId="77777777" w:rsidR="004B3261" w:rsidRDefault="00000000">
      <w:pPr>
        <w:pStyle w:val="ac"/>
        <w:ind w:firstLine="480"/>
      </w:pPr>
      <w:r>
        <w:t>至此，本次大赛论文全部完成。</w:t>
      </w:r>
      <w:r>
        <w:rPr>
          <w:rFonts w:hint="eastAsia"/>
        </w:rPr>
        <w:t>回望这段备赛历程，心中满是感激。</w:t>
      </w:r>
    </w:p>
    <w:p w14:paraId="387026F4" w14:textId="77777777" w:rsidR="004B3261" w:rsidRDefault="00000000">
      <w:pPr>
        <w:pStyle w:val="ac"/>
        <w:ind w:firstLine="480"/>
      </w:pPr>
      <w:r>
        <w:t>首先，</w:t>
      </w:r>
      <w:r>
        <w:rPr>
          <w:rFonts w:hint="eastAsia"/>
        </w:rPr>
        <w:t>要感谢母校山西农业大学</w:t>
      </w:r>
      <w:r>
        <w:t>，</w:t>
      </w:r>
      <w:r>
        <w:rPr>
          <w:rFonts w:hint="eastAsia"/>
        </w:rPr>
        <w:t>学校为我们营造了良好的学习氛围，对各类比赛大力支持，使我们在研究的过程中逐渐培养了科研思维和创新意识。</w:t>
      </w:r>
    </w:p>
    <w:p w14:paraId="419335DB" w14:textId="77777777" w:rsidR="004B3261" w:rsidRDefault="00000000">
      <w:pPr>
        <w:pStyle w:val="ac"/>
        <w:ind w:firstLine="480"/>
      </w:pPr>
      <w:r>
        <w:rPr>
          <w:rFonts w:hint="eastAsia"/>
        </w:rPr>
        <w:t>其次，特别感谢我们的</w:t>
      </w:r>
      <w:r>
        <w:t>指导老师</w:t>
      </w:r>
      <w:r>
        <w:t>—</w:t>
      </w:r>
      <w:r>
        <w:t>信息科学与工程学院网络工程</w:t>
      </w:r>
      <w:r>
        <w:rPr>
          <w:rFonts w:hint="eastAsia"/>
        </w:rPr>
        <w:t>系</w:t>
      </w:r>
      <w:r>
        <w:t>的徐苗老师。</w:t>
      </w:r>
      <w:r>
        <w:rPr>
          <w:rFonts w:hint="eastAsia"/>
        </w:rPr>
        <w:t>从选题到数据分析，从构建模型到写论文，老师一路耐心指导，耐心帮我们理思路、解困惑，陪我们攻克了一个个难关。</w:t>
      </w:r>
    </w:p>
    <w:p w14:paraId="4785FCE2" w14:textId="77777777" w:rsidR="004B3261" w:rsidRDefault="00000000">
      <w:pPr>
        <w:pStyle w:val="ac"/>
        <w:ind w:firstLine="480"/>
      </w:pPr>
      <w:r>
        <w:rPr>
          <w:rFonts w:hint="eastAsia"/>
        </w:rPr>
        <w:t>最后感谢一起奋斗的团队成员，大家分工配合，齐心协力完成了所有的工作，同时感谢大赛组委会细致周到的赛事服务。</w:t>
      </w:r>
    </w:p>
    <w:p w14:paraId="7A433A46" w14:textId="77777777" w:rsidR="004B3261" w:rsidRDefault="00000000">
      <w:pPr>
        <w:pStyle w:val="ac"/>
        <w:ind w:firstLine="480"/>
      </w:pPr>
      <w:r>
        <w:rPr>
          <w:rFonts w:hint="eastAsia"/>
        </w:rPr>
        <w:t>这次比赛收获颇多，看到自身的不足的同时我们也会带着这些经验，脚踏实地，稳步前行。</w:t>
      </w:r>
    </w:p>
    <w:p w14:paraId="001F76E9" w14:textId="77777777" w:rsidR="004B3261" w:rsidRDefault="004B3261">
      <w:pPr>
        <w:keepNext/>
        <w:outlineLvl w:val="0"/>
        <w:rPr>
          <w:rFonts w:ascii="Calibri" w:eastAsia="宋体" w:hAnsi="Calibri" w:cs="Times New Roman"/>
        </w:rPr>
      </w:pPr>
    </w:p>
    <w:p w14:paraId="52217646" w14:textId="77777777" w:rsidR="004B3261" w:rsidRDefault="004B3261">
      <w:pPr>
        <w:keepNext/>
        <w:outlineLvl w:val="0"/>
        <w:rPr>
          <w:rFonts w:ascii="Calibri" w:eastAsia="宋体" w:hAnsi="Calibri" w:cs="Times New Roman"/>
        </w:rPr>
      </w:pPr>
    </w:p>
    <w:p w14:paraId="68C34D05" w14:textId="77777777" w:rsidR="004B3261" w:rsidRDefault="004B3261">
      <w:pPr>
        <w:keepNext/>
        <w:outlineLvl w:val="0"/>
        <w:rPr>
          <w:rFonts w:ascii="Calibri" w:eastAsia="宋体" w:hAnsi="Calibri" w:cs="Times New Roman"/>
        </w:rPr>
      </w:pPr>
    </w:p>
    <w:p w14:paraId="276EAF21" w14:textId="77777777" w:rsidR="004B3261" w:rsidRDefault="004B3261">
      <w:pPr>
        <w:keepNext/>
        <w:outlineLvl w:val="0"/>
        <w:rPr>
          <w:rFonts w:ascii="Calibri" w:eastAsia="宋体" w:hAnsi="Calibri" w:cs="Times New Roman"/>
        </w:rPr>
      </w:pPr>
    </w:p>
    <w:p w14:paraId="5C41578F" w14:textId="77777777" w:rsidR="004B3261" w:rsidRDefault="004B3261">
      <w:pPr>
        <w:keepNext/>
        <w:outlineLvl w:val="0"/>
        <w:rPr>
          <w:rFonts w:ascii="Calibri" w:eastAsia="宋体" w:hAnsi="Calibri" w:cs="Times New Roman"/>
        </w:rPr>
      </w:pPr>
    </w:p>
    <w:p w14:paraId="51C8E93B" w14:textId="77777777" w:rsidR="004B3261" w:rsidRDefault="004B3261">
      <w:pPr>
        <w:keepNext/>
        <w:outlineLvl w:val="0"/>
        <w:rPr>
          <w:rFonts w:ascii="Calibri" w:eastAsia="宋体" w:hAnsi="Calibri" w:cs="Times New Roman"/>
        </w:rPr>
      </w:pPr>
    </w:p>
    <w:p w14:paraId="23A865EF" w14:textId="77777777" w:rsidR="004B3261" w:rsidRDefault="004B3261">
      <w:pPr>
        <w:keepNext/>
        <w:outlineLvl w:val="0"/>
        <w:rPr>
          <w:rFonts w:ascii="Calibri" w:eastAsia="宋体" w:hAnsi="Calibri" w:cs="Times New Roman"/>
        </w:rPr>
      </w:pPr>
    </w:p>
    <w:p w14:paraId="0E5B5213" w14:textId="77777777" w:rsidR="004B3261" w:rsidRDefault="004B3261">
      <w:pPr>
        <w:keepNext/>
        <w:outlineLvl w:val="0"/>
        <w:rPr>
          <w:rFonts w:ascii="Calibri" w:eastAsia="宋体" w:hAnsi="Calibri" w:cs="Times New Roman"/>
        </w:rPr>
      </w:pPr>
    </w:p>
    <w:p w14:paraId="60686AFB" w14:textId="77777777" w:rsidR="004B3261" w:rsidRDefault="004B3261">
      <w:pPr>
        <w:keepNext/>
        <w:outlineLvl w:val="0"/>
        <w:rPr>
          <w:rFonts w:ascii="Calibri" w:eastAsia="宋体" w:hAnsi="Calibri" w:cs="Times New Roman"/>
        </w:rPr>
      </w:pPr>
    </w:p>
    <w:p w14:paraId="20DD1559" w14:textId="77777777" w:rsidR="004B3261" w:rsidRDefault="004B3261">
      <w:pPr>
        <w:keepNext/>
        <w:outlineLvl w:val="0"/>
        <w:rPr>
          <w:rFonts w:ascii="Calibri" w:eastAsia="宋体" w:hAnsi="Calibri" w:cs="Times New Roman"/>
        </w:rPr>
      </w:pPr>
    </w:p>
    <w:p w14:paraId="5C88BBF7" w14:textId="77777777" w:rsidR="004B3261" w:rsidRDefault="004B3261">
      <w:pPr>
        <w:keepNext/>
        <w:outlineLvl w:val="0"/>
        <w:rPr>
          <w:rFonts w:ascii="Calibri" w:eastAsia="宋体" w:hAnsi="Calibri" w:cs="Times New Roman"/>
        </w:rPr>
      </w:pPr>
    </w:p>
    <w:p w14:paraId="049FDB42" w14:textId="77777777" w:rsidR="004B3261" w:rsidRDefault="004B3261">
      <w:pPr>
        <w:keepNext/>
        <w:outlineLvl w:val="0"/>
        <w:rPr>
          <w:rFonts w:ascii="Calibri" w:eastAsia="宋体" w:hAnsi="Calibri" w:cs="Times New Roman"/>
          <w:sz w:val="30"/>
          <w:szCs w:val="30"/>
        </w:rPr>
      </w:pPr>
    </w:p>
    <w:p w14:paraId="03AB355E" w14:textId="77777777" w:rsidR="004B3261" w:rsidRDefault="004B3261">
      <w:pPr>
        <w:keepNext/>
        <w:outlineLvl w:val="0"/>
        <w:rPr>
          <w:rFonts w:ascii="Calibri" w:eastAsia="宋体" w:hAnsi="Calibri" w:cs="Times New Roman"/>
          <w:sz w:val="30"/>
          <w:szCs w:val="30"/>
        </w:rPr>
      </w:pPr>
    </w:p>
    <w:p w14:paraId="5A2B0813" w14:textId="77777777" w:rsidR="004B3261" w:rsidRDefault="00000000">
      <w:pPr>
        <w:keepNext/>
        <w:outlineLvl w:val="0"/>
        <w:rPr>
          <w:rFonts w:ascii="Calibri" w:eastAsia="宋体" w:hAnsi="Calibri" w:cs="Times New Roman"/>
        </w:rPr>
      </w:pPr>
      <w:r>
        <w:rPr>
          <w:rFonts w:ascii="Calibri" w:eastAsia="宋体" w:hAnsi="Calibri" w:cs="Times New Roman" w:hint="eastAsia"/>
          <w:sz w:val="30"/>
          <w:szCs w:val="30"/>
        </w:rPr>
        <w:t>附录</w:t>
      </w:r>
    </w:p>
    <w:p w14:paraId="3FE1B232" w14:textId="77777777" w:rsidR="004B3261" w:rsidRDefault="004B3261">
      <w:pPr>
        <w:keepNext/>
        <w:outlineLvl w:val="0"/>
        <w:rPr>
          <w:rFonts w:ascii="Calibri" w:eastAsia="宋体" w:hAnsi="Calibri" w:cs="Times New Roman"/>
        </w:rPr>
      </w:pPr>
    </w:p>
    <w:p w14:paraId="507DF437" w14:textId="77777777" w:rsidR="004B3261" w:rsidRDefault="00000000">
      <w:pPr>
        <w:keepNext/>
        <w:outlineLvl w:val="0"/>
        <w:rPr>
          <w:rFonts w:ascii="Calibri" w:eastAsia="宋体" w:hAnsi="Calibri" w:cs="Times New Roman"/>
        </w:rPr>
      </w:pPr>
      <w:r>
        <w:rPr>
          <w:rFonts w:ascii="Calibri" w:eastAsia="宋体" w:hAnsi="Calibri" w:cs="Times New Roman" w:hint="eastAsia"/>
        </w:rPr>
        <w:t>附录</w:t>
      </w:r>
      <w:r>
        <w:rPr>
          <w:rFonts w:ascii="Calibri" w:eastAsia="宋体" w:hAnsi="Calibri" w:cs="Times New Roman" w:hint="eastAsia"/>
        </w:rPr>
        <w:t>1</w:t>
      </w:r>
      <w:r>
        <w:rPr>
          <w:rFonts w:ascii="Calibri" w:eastAsia="宋体" w:hAnsi="Calibri" w:cs="Times New Roman"/>
        </w:rPr>
        <w:t>：</w:t>
      </w:r>
      <w:r>
        <w:rPr>
          <w:rFonts w:ascii="Calibri" w:eastAsia="宋体" w:hAnsi="Calibri" w:cs="Times New Roman" w:hint="eastAsia"/>
        </w:rPr>
        <w:t>调研方案与数据采集说明</w:t>
      </w:r>
      <w:bookmarkEnd w:id="61"/>
      <w:bookmarkEnd w:id="62"/>
      <w:bookmarkEnd w:id="63"/>
    </w:p>
    <w:p w14:paraId="0B0EC9D6" w14:textId="77777777" w:rsidR="004B3261" w:rsidRDefault="00000000">
      <w:pPr>
        <w:ind w:firstLineChars="200" w:firstLine="420"/>
        <w:rPr>
          <w:rFonts w:ascii="Calibri" w:eastAsia="宋体" w:hAnsi="Calibri" w:cs="Times New Roman"/>
        </w:rPr>
      </w:pPr>
      <w:r>
        <w:rPr>
          <w:rFonts w:ascii="Calibri" w:eastAsia="宋体" w:hAnsi="Calibri" w:cs="Times New Roman" w:hint="eastAsia"/>
        </w:rPr>
        <w:t>本研究围绕极端气候下粮食生产风险与韧性提升主题，采用宏观统计数据</w:t>
      </w:r>
      <w:r>
        <w:rPr>
          <w:rFonts w:ascii="Calibri" w:eastAsia="宋体" w:hAnsi="Calibri" w:cs="Times New Roman" w:hint="eastAsia"/>
        </w:rPr>
        <w:t>+</w:t>
      </w:r>
      <w:r>
        <w:rPr>
          <w:rFonts w:ascii="Calibri" w:eastAsia="宋体" w:hAnsi="Calibri" w:cs="Times New Roman" w:hint="eastAsia"/>
        </w:rPr>
        <w:t>文献调研</w:t>
      </w:r>
      <w:r>
        <w:rPr>
          <w:rFonts w:ascii="Calibri" w:eastAsia="宋体" w:hAnsi="Calibri" w:cs="Times New Roman" w:hint="eastAsia"/>
        </w:rPr>
        <w:t>+</w:t>
      </w:r>
      <w:r>
        <w:rPr>
          <w:rFonts w:ascii="Calibri" w:eastAsia="宋体" w:hAnsi="Calibri" w:cs="Times New Roman" w:hint="eastAsia"/>
        </w:rPr>
        <w:t>实地访谈相结合的方式开展数据采集与验证工作。研究对象覆盖全国</w:t>
      </w:r>
      <w:r>
        <w:rPr>
          <w:rFonts w:ascii="Calibri" w:eastAsia="宋体" w:hAnsi="Calibri" w:cs="Times New Roman" w:hint="eastAsia"/>
        </w:rPr>
        <w:t>31</w:t>
      </w:r>
      <w:r>
        <w:rPr>
          <w:rFonts w:ascii="Calibri" w:eastAsia="宋体" w:hAnsi="Calibri" w:cs="Times New Roman" w:hint="eastAsia"/>
        </w:rPr>
        <w:t>个省（自治区、直</w:t>
      </w:r>
      <w:r>
        <w:rPr>
          <w:rFonts w:ascii="Calibri" w:eastAsia="宋体" w:hAnsi="Calibri" w:cs="Times New Roman" w:hint="eastAsia"/>
        </w:rPr>
        <w:lastRenderedPageBreak/>
        <w:t>辖市）粮食主产区与非主产区，时间跨度为</w:t>
      </w:r>
      <w:r>
        <w:rPr>
          <w:rFonts w:ascii="Calibri" w:eastAsia="宋体" w:hAnsi="Calibri" w:cs="Times New Roman" w:hint="eastAsia"/>
        </w:rPr>
        <w:t>2011</w:t>
      </w:r>
      <w:r>
        <w:rPr>
          <w:rFonts w:ascii="Calibri" w:eastAsia="宋体" w:hAnsi="Calibri" w:cs="Times New Roman" w:hint="eastAsia"/>
        </w:rPr>
        <w:t>—</w:t>
      </w:r>
      <w:r>
        <w:rPr>
          <w:rFonts w:ascii="Calibri" w:eastAsia="宋体" w:hAnsi="Calibri" w:cs="Times New Roman" w:hint="eastAsia"/>
        </w:rPr>
        <w:t>2023</w:t>
      </w:r>
      <w:r>
        <w:rPr>
          <w:rFonts w:ascii="Calibri" w:eastAsia="宋体" w:hAnsi="Calibri" w:cs="Times New Roman" w:hint="eastAsia"/>
        </w:rPr>
        <w:t>年。调研内容主要包括：区域气候特征、粮食生产受灾情况、农田水利设施水平、农业机械化与物质投入、农户风险感知与适应性行为等。调研过程严格遵循数据可获得性、连续性、一致性原则，对异常值与缺失值进行统一处理，确保数据质量满足模型建模要求。</w:t>
      </w:r>
    </w:p>
    <w:p w14:paraId="5161C0C7" w14:textId="77777777" w:rsidR="004B3261" w:rsidRDefault="004B3261">
      <w:pPr>
        <w:rPr>
          <w:rFonts w:ascii="Calibri" w:eastAsia="宋体" w:hAnsi="Calibri" w:cs="Times New Roman"/>
        </w:rPr>
      </w:pPr>
    </w:p>
    <w:p w14:paraId="2E2D6850" w14:textId="77777777" w:rsidR="004B3261" w:rsidRDefault="00000000">
      <w:pPr>
        <w:keepNext/>
        <w:outlineLvl w:val="0"/>
        <w:rPr>
          <w:rFonts w:ascii="Calibri" w:eastAsia="宋体" w:hAnsi="Calibri" w:cs="Times New Roman"/>
        </w:rPr>
      </w:pPr>
      <w:r>
        <w:rPr>
          <w:rFonts w:ascii="Calibri" w:eastAsia="宋体" w:hAnsi="Calibri" w:cs="Times New Roman" w:hint="eastAsia"/>
        </w:rPr>
        <w:t>附录</w:t>
      </w:r>
      <w:r>
        <w:rPr>
          <w:rFonts w:ascii="Calibri" w:eastAsia="宋体" w:hAnsi="Calibri" w:cs="Times New Roman" w:hint="eastAsia"/>
        </w:rPr>
        <w:t>2</w:t>
      </w:r>
      <w:r>
        <w:rPr>
          <w:rFonts w:ascii="Calibri" w:eastAsia="宋体" w:hAnsi="Calibri" w:cs="Times New Roman"/>
        </w:rPr>
        <w:t>：</w:t>
      </w:r>
      <w:r>
        <w:rPr>
          <w:rFonts w:ascii="Calibri" w:eastAsia="宋体" w:hAnsi="Calibri" w:cs="Times New Roman" w:hint="eastAsia"/>
        </w:rPr>
        <w:t>统计软件与计算环境</w:t>
      </w:r>
    </w:p>
    <w:p w14:paraId="1F078C9F" w14:textId="77777777" w:rsidR="004B3261" w:rsidRDefault="00000000">
      <w:pPr>
        <w:ind w:firstLineChars="200" w:firstLine="420"/>
        <w:rPr>
          <w:rFonts w:ascii="Calibri" w:eastAsia="宋体" w:hAnsi="Calibri" w:cs="Times New Roman"/>
        </w:rPr>
      </w:pPr>
      <w:r>
        <w:rPr>
          <w:rFonts w:ascii="Calibri" w:eastAsia="宋体" w:hAnsi="Calibri" w:cs="Times New Roman" w:hint="eastAsia"/>
        </w:rPr>
        <w:t>本研究全部数据处理、模型构建与可视化分析在以下环境完成：</w:t>
      </w:r>
    </w:p>
    <w:p w14:paraId="7FAA7524" w14:textId="77777777" w:rsidR="004B3261" w:rsidRDefault="00000000">
      <w:pPr>
        <w:rPr>
          <w:rFonts w:ascii="Calibri" w:eastAsia="宋体" w:hAnsi="Calibri" w:cs="Times New Roman"/>
        </w:rPr>
      </w:pPr>
      <w:r>
        <w:rPr>
          <w:rFonts w:ascii="Calibri" w:eastAsia="宋体" w:hAnsi="Calibri" w:cs="Times New Roman" w:hint="eastAsia"/>
        </w:rPr>
        <w:t>1.</w:t>
      </w:r>
      <w:r>
        <w:rPr>
          <w:rFonts w:ascii="Calibri" w:eastAsia="宋体" w:hAnsi="Calibri" w:cs="Times New Roman" w:hint="eastAsia"/>
        </w:rPr>
        <w:t>数据处理与统计分析：</w:t>
      </w:r>
      <w:r>
        <w:rPr>
          <w:rFonts w:ascii="Calibri" w:eastAsia="宋体" w:hAnsi="Calibri" w:cs="Times New Roman" w:hint="eastAsia"/>
        </w:rPr>
        <w:t>Python 3.9</w:t>
      </w:r>
      <w:r>
        <w:rPr>
          <w:rFonts w:ascii="Calibri" w:eastAsia="宋体" w:hAnsi="Calibri" w:cs="Times New Roman" w:hint="eastAsia"/>
        </w:rPr>
        <w:t>、</w:t>
      </w:r>
      <w:r>
        <w:rPr>
          <w:rFonts w:ascii="Calibri" w:eastAsia="宋体" w:hAnsi="Calibri" w:cs="Times New Roman" w:hint="eastAsia"/>
        </w:rPr>
        <w:t>Pandas</w:t>
      </w:r>
      <w:r>
        <w:rPr>
          <w:rFonts w:ascii="Calibri" w:eastAsia="宋体" w:hAnsi="Calibri" w:cs="Times New Roman" w:hint="eastAsia"/>
        </w:rPr>
        <w:t>、</w:t>
      </w:r>
      <w:r>
        <w:rPr>
          <w:rFonts w:ascii="Calibri" w:eastAsia="宋体" w:hAnsi="Calibri" w:cs="Times New Roman" w:hint="eastAsia"/>
        </w:rPr>
        <w:t>Numpy</w:t>
      </w:r>
      <w:r>
        <w:rPr>
          <w:rFonts w:ascii="Calibri" w:eastAsia="宋体" w:hAnsi="Calibri" w:cs="Times New Roman" w:hint="eastAsia"/>
        </w:rPr>
        <w:t>、</w:t>
      </w:r>
      <w:r>
        <w:rPr>
          <w:rFonts w:ascii="Calibri" w:eastAsia="宋体" w:hAnsi="Calibri" w:cs="Times New Roman" w:hint="eastAsia"/>
        </w:rPr>
        <w:t>Scikit-learn</w:t>
      </w:r>
      <w:r>
        <w:rPr>
          <w:rFonts w:ascii="Calibri" w:eastAsia="宋体" w:hAnsi="Calibri" w:cs="Times New Roman" w:hint="eastAsia"/>
        </w:rPr>
        <w:t>；</w:t>
      </w:r>
    </w:p>
    <w:p w14:paraId="495CEDEC" w14:textId="77777777" w:rsidR="004B3261" w:rsidRDefault="00000000">
      <w:pPr>
        <w:rPr>
          <w:rFonts w:ascii="Calibri" w:eastAsia="宋体" w:hAnsi="Calibri" w:cs="Times New Roman"/>
        </w:rPr>
      </w:pPr>
      <w:r>
        <w:rPr>
          <w:rFonts w:ascii="Calibri" w:eastAsia="宋体" w:hAnsi="Calibri" w:cs="Times New Roman" w:hint="eastAsia"/>
        </w:rPr>
        <w:t>2.</w:t>
      </w:r>
      <w:r>
        <w:rPr>
          <w:rFonts w:ascii="Calibri" w:eastAsia="宋体" w:hAnsi="Calibri" w:cs="Times New Roman" w:hint="eastAsia"/>
        </w:rPr>
        <w:t>机器学习模型：</w:t>
      </w:r>
      <w:r>
        <w:rPr>
          <w:rFonts w:ascii="Calibri" w:eastAsia="宋体" w:hAnsi="Calibri" w:cs="Times New Roman" w:hint="eastAsia"/>
        </w:rPr>
        <w:t>XGBoost</w:t>
      </w:r>
      <w:r>
        <w:rPr>
          <w:rFonts w:ascii="Calibri" w:eastAsia="宋体" w:hAnsi="Calibri" w:cs="Times New Roman" w:hint="eastAsia"/>
        </w:rPr>
        <w:t>、</w:t>
      </w:r>
      <w:r>
        <w:rPr>
          <w:rFonts w:ascii="Calibri" w:eastAsia="宋体" w:hAnsi="Calibri" w:cs="Times New Roman" w:hint="eastAsia"/>
        </w:rPr>
        <w:t>SHAP</w:t>
      </w:r>
      <w:r>
        <w:rPr>
          <w:rFonts w:ascii="Calibri" w:eastAsia="宋体" w:hAnsi="Calibri" w:cs="Times New Roman" w:hint="eastAsia"/>
        </w:rPr>
        <w:t>（</w:t>
      </w:r>
      <w:r>
        <w:rPr>
          <w:rFonts w:ascii="Calibri" w:eastAsia="宋体" w:hAnsi="Calibri" w:cs="Times New Roman" w:hint="eastAsia"/>
        </w:rPr>
        <w:t>SHAP Explainer</w:t>
      </w:r>
      <w:r>
        <w:rPr>
          <w:rFonts w:ascii="Calibri" w:eastAsia="宋体" w:hAnsi="Calibri" w:cs="Times New Roman" w:hint="eastAsia"/>
        </w:rPr>
        <w:t>）；</w:t>
      </w:r>
    </w:p>
    <w:p w14:paraId="0D205CB7" w14:textId="77777777" w:rsidR="004B3261" w:rsidRDefault="00000000">
      <w:pPr>
        <w:rPr>
          <w:rFonts w:ascii="Calibri" w:eastAsia="宋体" w:hAnsi="Calibri" w:cs="Times New Roman"/>
        </w:rPr>
      </w:pPr>
      <w:r>
        <w:rPr>
          <w:rFonts w:ascii="Calibri" w:eastAsia="宋体" w:hAnsi="Calibri" w:cs="Times New Roman" w:hint="eastAsia"/>
        </w:rPr>
        <w:t>3.</w:t>
      </w:r>
      <w:r>
        <w:rPr>
          <w:rFonts w:ascii="Calibri" w:eastAsia="宋体" w:hAnsi="Calibri" w:cs="Times New Roman" w:hint="eastAsia"/>
        </w:rPr>
        <w:t>深度学习模型：</w:t>
      </w:r>
      <w:r>
        <w:rPr>
          <w:rFonts w:ascii="Calibri" w:eastAsia="宋体" w:hAnsi="Calibri" w:cs="Times New Roman" w:hint="eastAsia"/>
        </w:rPr>
        <w:t>TensorFlow/Keras</w:t>
      </w:r>
      <w:r>
        <w:rPr>
          <w:rFonts w:ascii="Calibri" w:eastAsia="宋体" w:hAnsi="Calibri" w:cs="Times New Roman" w:hint="eastAsia"/>
        </w:rPr>
        <w:t>构建</w:t>
      </w:r>
      <w:r>
        <w:rPr>
          <w:rFonts w:ascii="Calibri" w:eastAsia="宋体" w:hAnsi="Calibri" w:cs="Times New Roman" w:hint="eastAsia"/>
        </w:rPr>
        <w:t>LSTM</w:t>
      </w:r>
      <w:r>
        <w:rPr>
          <w:rFonts w:ascii="Calibri" w:eastAsia="宋体" w:hAnsi="Calibri" w:cs="Times New Roman" w:hint="eastAsia"/>
        </w:rPr>
        <w:t>网络；</w:t>
      </w:r>
    </w:p>
    <w:p w14:paraId="2D919420" w14:textId="77777777" w:rsidR="004B3261" w:rsidRDefault="00000000">
      <w:pPr>
        <w:rPr>
          <w:rFonts w:ascii="Calibri" w:eastAsia="宋体" w:hAnsi="Calibri" w:cs="Times New Roman"/>
        </w:rPr>
      </w:pPr>
      <w:r>
        <w:rPr>
          <w:rFonts w:ascii="Calibri" w:eastAsia="宋体" w:hAnsi="Calibri" w:cs="Times New Roman" w:hint="eastAsia"/>
        </w:rPr>
        <w:t>4.</w:t>
      </w:r>
      <w:r>
        <w:rPr>
          <w:rFonts w:ascii="Calibri" w:eastAsia="宋体" w:hAnsi="Calibri" w:cs="Times New Roman" w:hint="eastAsia"/>
        </w:rPr>
        <w:t>绘图与可视化：</w:t>
      </w:r>
      <w:r>
        <w:rPr>
          <w:rFonts w:ascii="Calibri" w:eastAsia="宋体" w:hAnsi="Calibri" w:cs="Times New Roman" w:hint="eastAsia"/>
        </w:rPr>
        <w:t>Matplotlib</w:t>
      </w:r>
      <w:r>
        <w:rPr>
          <w:rFonts w:ascii="Calibri" w:eastAsia="宋体" w:hAnsi="Calibri" w:cs="Times New Roman" w:hint="eastAsia"/>
        </w:rPr>
        <w:t>、</w:t>
      </w:r>
      <w:r>
        <w:rPr>
          <w:rFonts w:ascii="Calibri" w:eastAsia="宋体" w:hAnsi="Calibri" w:cs="Times New Roman" w:hint="eastAsia"/>
        </w:rPr>
        <w:t>Seaborn</w:t>
      </w:r>
      <w:r>
        <w:rPr>
          <w:rFonts w:ascii="Calibri" w:eastAsia="宋体" w:hAnsi="Calibri" w:cs="Times New Roman" w:hint="eastAsia"/>
        </w:rPr>
        <w:t>、</w:t>
      </w:r>
      <w:r>
        <w:rPr>
          <w:rFonts w:ascii="Calibri" w:eastAsia="宋体" w:hAnsi="Calibri" w:cs="Times New Roman" w:hint="eastAsia"/>
        </w:rPr>
        <w:t>SHAP</w:t>
      </w:r>
      <w:r>
        <w:rPr>
          <w:rFonts w:ascii="Calibri" w:eastAsia="宋体" w:hAnsi="Calibri" w:cs="Times New Roman" w:hint="eastAsia"/>
        </w:rPr>
        <w:t>、；</w:t>
      </w:r>
    </w:p>
    <w:p w14:paraId="44EC5994" w14:textId="77777777" w:rsidR="004B3261" w:rsidRDefault="00000000">
      <w:pPr>
        <w:rPr>
          <w:rFonts w:ascii="Calibri" w:eastAsia="宋体" w:hAnsi="Calibri" w:cs="Times New Roman"/>
        </w:rPr>
      </w:pPr>
      <w:r>
        <w:rPr>
          <w:rFonts w:ascii="Calibri" w:eastAsia="宋体" w:hAnsi="Calibri" w:cs="Times New Roman" w:hint="eastAsia"/>
        </w:rPr>
        <w:t>5.</w:t>
      </w:r>
      <w:r>
        <w:rPr>
          <w:rFonts w:ascii="Calibri" w:eastAsia="宋体" w:hAnsi="Calibri" w:cs="Times New Roman" w:hint="eastAsia"/>
        </w:rPr>
        <w:t>数据标准化、滤波与插值：</w:t>
      </w:r>
      <w:r>
        <w:rPr>
          <w:rFonts w:ascii="Calibri" w:eastAsia="宋体" w:hAnsi="Calibri" w:cs="Times New Roman" w:hint="eastAsia"/>
        </w:rPr>
        <w:t>Butterworth</w:t>
      </w:r>
      <w:r>
        <w:rPr>
          <w:rFonts w:ascii="Calibri" w:eastAsia="宋体" w:hAnsi="Calibri" w:cs="Times New Roman" w:hint="eastAsia"/>
        </w:rPr>
        <w:t>低通滤波、</w:t>
      </w:r>
      <w:r>
        <w:rPr>
          <w:rFonts w:ascii="Calibri" w:eastAsia="宋体" w:hAnsi="Calibri" w:cs="Times New Roman" w:hint="eastAsia"/>
        </w:rPr>
        <w:t>Z-score</w:t>
      </w:r>
      <w:r>
        <w:rPr>
          <w:rFonts w:ascii="Calibri" w:eastAsia="宋体" w:hAnsi="Calibri" w:cs="Times New Roman" w:hint="eastAsia"/>
        </w:rPr>
        <w:t>标准化、线性插值。</w:t>
      </w:r>
    </w:p>
    <w:p w14:paraId="3A356752" w14:textId="77777777" w:rsidR="004B3261" w:rsidRDefault="00000000">
      <w:pPr>
        <w:rPr>
          <w:rFonts w:ascii="Calibri" w:eastAsia="宋体" w:hAnsi="Calibri" w:cs="Times New Roman"/>
        </w:rPr>
      </w:pPr>
      <w:r>
        <w:rPr>
          <w:rFonts w:ascii="Calibri" w:eastAsia="宋体" w:hAnsi="Calibri" w:cs="Times New Roman" w:hint="eastAsia"/>
        </w:rPr>
        <w:t xml:space="preserve"> </w:t>
      </w:r>
    </w:p>
    <w:p w14:paraId="2DC9857D" w14:textId="77777777" w:rsidR="004B3261" w:rsidRDefault="00000000">
      <w:pPr>
        <w:keepNext/>
        <w:outlineLvl w:val="0"/>
        <w:rPr>
          <w:rFonts w:ascii="Calibri" w:eastAsia="宋体" w:hAnsi="Calibri" w:cs="Times New Roman"/>
        </w:rPr>
      </w:pPr>
      <w:r>
        <w:rPr>
          <w:rFonts w:ascii="Calibri" w:eastAsia="宋体" w:hAnsi="Calibri" w:cs="Times New Roman" w:hint="eastAsia"/>
        </w:rPr>
        <w:t>附录</w:t>
      </w:r>
      <w:r>
        <w:rPr>
          <w:rFonts w:ascii="Calibri" w:eastAsia="宋体" w:hAnsi="Calibri" w:cs="Times New Roman" w:hint="eastAsia"/>
        </w:rPr>
        <w:t>3</w:t>
      </w:r>
      <w:r>
        <w:rPr>
          <w:rFonts w:ascii="Calibri" w:eastAsia="宋体" w:hAnsi="Calibri" w:cs="Times New Roman"/>
        </w:rPr>
        <w:t>：</w:t>
      </w:r>
      <w:r>
        <w:rPr>
          <w:rFonts w:ascii="Calibri" w:eastAsia="宋体" w:hAnsi="Calibri" w:cs="Times New Roman" w:hint="eastAsia"/>
        </w:rPr>
        <w:t>数据预处理与模型参数补充说明</w:t>
      </w:r>
    </w:p>
    <w:p w14:paraId="2712D7F1" w14:textId="77777777" w:rsidR="004B3261" w:rsidRDefault="00000000">
      <w:pPr>
        <w:rPr>
          <w:rFonts w:ascii="Calibri" w:eastAsia="宋体" w:hAnsi="Calibri" w:cs="Times New Roman"/>
        </w:rPr>
      </w:pPr>
      <w:r>
        <w:rPr>
          <w:rFonts w:ascii="Calibri" w:eastAsia="宋体" w:hAnsi="Calibri" w:cs="Times New Roman" w:hint="eastAsia"/>
        </w:rPr>
        <w:t>1.</w:t>
      </w:r>
      <w:r>
        <w:rPr>
          <w:rFonts w:ascii="Calibri" w:eastAsia="宋体" w:hAnsi="Calibri" w:cs="Times New Roman" w:hint="eastAsia"/>
        </w:rPr>
        <w:t>去趋势处理：采用</w:t>
      </w:r>
      <w:r>
        <w:rPr>
          <w:rFonts w:ascii="Calibri" w:eastAsia="宋体" w:hAnsi="Calibri" w:cs="Times New Roman" w:hint="eastAsia"/>
        </w:rPr>
        <w:t>Butterworth</w:t>
      </w:r>
      <w:r>
        <w:rPr>
          <w:rFonts w:ascii="Calibri" w:eastAsia="宋体" w:hAnsi="Calibri" w:cs="Times New Roman" w:hint="eastAsia"/>
        </w:rPr>
        <w:t>低通滤波器剔除粮食单产长期趋势，提取波动项作为风险指标；</w:t>
      </w:r>
    </w:p>
    <w:p w14:paraId="18F2EFA0" w14:textId="77777777" w:rsidR="004B3261" w:rsidRDefault="00000000">
      <w:pPr>
        <w:rPr>
          <w:rFonts w:ascii="Calibri" w:eastAsia="宋体" w:hAnsi="Calibri" w:cs="Times New Roman"/>
        </w:rPr>
      </w:pPr>
      <w:r>
        <w:rPr>
          <w:rFonts w:ascii="Calibri" w:eastAsia="宋体" w:hAnsi="Calibri" w:cs="Times New Roman" w:hint="eastAsia"/>
        </w:rPr>
        <w:t>2.</w:t>
      </w:r>
      <w:r>
        <w:rPr>
          <w:rFonts w:ascii="Calibri" w:eastAsia="宋体" w:hAnsi="Calibri" w:cs="Times New Roman" w:hint="eastAsia"/>
        </w:rPr>
        <w:t>缺失值处理：对极少量缺失数据采用线性插值补齐，保证时序连续性；</w:t>
      </w:r>
    </w:p>
    <w:p w14:paraId="3ADF9402" w14:textId="77777777" w:rsidR="004B3261" w:rsidRDefault="00000000">
      <w:pPr>
        <w:rPr>
          <w:rFonts w:ascii="Calibri" w:eastAsia="宋体" w:hAnsi="Calibri" w:cs="Times New Roman"/>
        </w:rPr>
      </w:pPr>
      <w:r>
        <w:rPr>
          <w:rFonts w:ascii="Calibri" w:eastAsia="宋体" w:hAnsi="Calibri" w:cs="Times New Roman" w:hint="eastAsia"/>
        </w:rPr>
        <w:t>3.</w:t>
      </w:r>
      <w:r>
        <w:rPr>
          <w:rFonts w:ascii="Calibri" w:eastAsia="宋体" w:hAnsi="Calibri" w:cs="Times New Roman" w:hint="eastAsia"/>
        </w:rPr>
        <w:t>数据标准化：对所有特征执行</w:t>
      </w:r>
      <w:r>
        <w:rPr>
          <w:rFonts w:ascii="Calibri" w:eastAsia="宋体" w:hAnsi="Calibri" w:cs="Times New Roman" w:hint="eastAsia"/>
        </w:rPr>
        <w:t>Z-score</w:t>
      </w:r>
      <w:r>
        <w:rPr>
          <w:rFonts w:ascii="Calibri" w:eastAsia="宋体" w:hAnsi="Calibri" w:cs="Times New Roman" w:hint="eastAsia"/>
        </w:rPr>
        <w:t>标准化，消除量纲影响；</w:t>
      </w:r>
    </w:p>
    <w:p w14:paraId="2E3DE420" w14:textId="77777777" w:rsidR="004B3261" w:rsidRDefault="00000000">
      <w:pPr>
        <w:rPr>
          <w:rFonts w:ascii="Calibri" w:eastAsia="宋体" w:hAnsi="Calibri" w:cs="Times New Roman"/>
        </w:rPr>
      </w:pPr>
      <w:r>
        <w:rPr>
          <w:rFonts w:ascii="Calibri" w:eastAsia="宋体" w:hAnsi="Calibri" w:cs="Times New Roman" w:hint="eastAsia"/>
        </w:rPr>
        <w:t>4.</w:t>
      </w:r>
      <w:r>
        <w:rPr>
          <w:rFonts w:ascii="Calibri" w:eastAsia="宋体" w:hAnsi="Calibri" w:cs="Times New Roman" w:hint="eastAsia"/>
        </w:rPr>
        <w:t>数据集划分：按</w:t>
      </w:r>
      <w:r>
        <w:rPr>
          <w:rFonts w:ascii="Calibri" w:eastAsia="宋体" w:hAnsi="Calibri" w:cs="Times New Roman" w:hint="eastAsia"/>
        </w:rPr>
        <w:t>8:2</w:t>
      </w:r>
      <w:r>
        <w:rPr>
          <w:rFonts w:ascii="Calibri" w:eastAsia="宋体" w:hAnsi="Calibri" w:cs="Times New Roman" w:hint="eastAsia"/>
        </w:rPr>
        <w:t>随机划分为训练集与测试集，采用网格搜索优化超参数；</w:t>
      </w:r>
    </w:p>
    <w:p w14:paraId="17655979" w14:textId="77777777" w:rsidR="004B3261" w:rsidRDefault="00000000">
      <w:pPr>
        <w:rPr>
          <w:rFonts w:ascii="Calibri" w:eastAsia="宋体" w:hAnsi="Calibri" w:cs="Times New Roman"/>
        </w:rPr>
      </w:pPr>
      <w:r>
        <w:rPr>
          <w:rFonts w:ascii="Calibri" w:eastAsia="宋体" w:hAnsi="Calibri" w:cs="Times New Roman" w:hint="eastAsia"/>
        </w:rPr>
        <w:t>5.</w:t>
      </w:r>
      <w:r>
        <w:rPr>
          <w:rFonts w:ascii="Calibri" w:eastAsia="宋体" w:hAnsi="Calibri" w:cs="Times New Roman" w:hint="eastAsia"/>
        </w:rPr>
        <w:t>模型评价：采用决定系数</w:t>
      </w:r>
      <w:r>
        <w:rPr>
          <w:rFonts w:ascii="Calibri" w:eastAsia="宋体" w:hAnsi="Calibri" w:cs="Times New Roman" w:hint="eastAsia"/>
        </w:rPr>
        <w:t>R</w:t>
      </w:r>
      <w:r>
        <w:rPr>
          <w:rFonts w:ascii="Calibri" w:eastAsia="宋体" w:hAnsi="Calibri" w:cs="Times New Roman" w:hint="eastAsia"/>
        </w:rPr>
        <w:t>²、均方根误差</w:t>
      </w:r>
      <w:r>
        <w:rPr>
          <w:rFonts w:ascii="Calibri" w:eastAsia="宋体" w:hAnsi="Calibri" w:cs="Times New Roman" w:hint="eastAsia"/>
        </w:rPr>
        <w:t>RMSE</w:t>
      </w:r>
      <w:r>
        <w:rPr>
          <w:rFonts w:ascii="Calibri" w:eastAsia="宋体" w:hAnsi="Calibri" w:cs="Times New Roman" w:hint="eastAsia"/>
        </w:rPr>
        <w:t>评价拟合效果与预测精度。</w:t>
      </w:r>
    </w:p>
    <w:p w14:paraId="26263320" w14:textId="77777777" w:rsidR="004B3261" w:rsidRDefault="00000000">
      <w:pPr>
        <w:rPr>
          <w:rFonts w:ascii="Calibri" w:eastAsia="宋体" w:hAnsi="Calibri" w:cs="Times New Roman"/>
        </w:rPr>
      </w:pPr>
      <w:r>
        <w:rPr>
          <w:rFonts w:ascii="Calibri" w:eastAsia="宋体" w:hAnsi="Calibri" w:cs="Times New Roman" w:hint="eastAsia"/>
        </w:rPr>
        <w:t xml:space="preserve"> </w:t>
      </w:r>
    </w:p>
    <w:p w14:paraId="228426FF" w14:textId="77777777" w:rsidR="004B3261" w:rsidRDefault="00000000">
      <w:pPr>
        <w:keepNext/>
        <w:outlineLvl w:val="0"/>
        <w:rPr>
          <w:rFonts w:ascii="Calibri" w:eastAsia="宋体" w:hAnsi="Calibri" w:cs="Times New Roman"/>
        </w:rPr>
      </w:pPr>
      <w:r>
        <w:rPr>
          <w:rFonts w:ascii="Calibri" w:eastAsia="宋体" w:hAnsi="Calibri" w:cs="Times New Roman" w:hint="eastAsia"/>
        </w:rPr>
        <w:t>附录</w:t>
      </w:r>
      <w:r>
        <w:rPr>
          <w:rFonts w:ascii="Calibri" w:eastAsia="宋体" w:hAnsi="Calibri" w:cs="Times New Roman" w:hint="eastAsia"/>
        </w:rPr>
        <w:t>4</w:t>
      </w:r>
      <w:r>
        <w:rPr>
          <w:rFonts w:ascii="Calibri" w:eastAsia="宋体" w:hAnsi="Calibri" w:cs="Times New Roman"/>
        </w:rPr>
        <w:t>：</w:t>
      </w:r>
      <w:r>
        <w:rPr>
          <w:rFonts w:ascii="Calibri" w:eastAsia="宋体" w:hAnsi="Calibri" w:cs="Times New Roman" w:hint="eastAsia"/>
        </w:rPr>
        <w:t>核心模型核心代码说明（简要）</w:t>
      </w:r>
    </w:p>
    <w:p w14:paraId="42D8CC58" w14:textId="77777777" w:rsidR="004B3261" w:rsidRDefault="00000000">
      <w:pPr>
        <w:rPr>
          <w:rFonts w:ascii="Calibri" w:eastAsia="宋体" w:hAnsi="Calibri" w:cs="Times New Roman"/>
        </w:rPr>
      </w:pPr>
      <w:r>
        <w:rPr>
          <w:rFonts w:ascii="Calibri" w:eastAsia="宋体" w:hAnsi="Calibri" w:cs="Times New Roman" w:hint="eastAsia"/>
        </w:rPr>
        <w:t>1.XGBoost-SHAP</w:t>
      </w:r>
      <w:r>
        <w:rPr>
          <w:rFonts w:ascii="Calibri" w:eastAsia="宋体" w:hAnsi="Calibri" w:cs="Times New Roman" w:hint="eastAsia"/>
        </w:rPr>
        <w:t>模型：完成特征重要性排序、</w:t>
      </w:r>
      <w:r>
        <w:rPr>
          <w:rFonts w:ascii="Calibri" w:eastAsia="宋体" w:hAnsi="Calibri" w:cs="Times New Roman" w:hint="eastAsia"/>
        </w:rPr>
        <w:t>SHAP</w:t>
      </w:r>
      <w:r>
        <w:rPr>
          <w:rFonts w:ascii="Calibri" w:eastAsia="宋体" w:hAnsi="Calibri" w:cs="Times New Roman" w:hint="eastAsia"/>
        </w:rPr>
        <w:t>全局解释、粮食单产预测；</w:t>
      </w:r>
    </w:p>
    <w:p w14:paraId="12241F4B" w14:textId="77777777" w:rsidR="004B3261" w:rsidRDefault="00000000">
      <w:pPr>
        <w:rPr>
          <w:rFonts w:ascii="Calibri" w:eastAsia="宋体" w:hAnsi="Calibri" w:cs="Times New Roman"/>
        </w:rPr>
      </w:pPr>
      <w:r>
        <w:rPr>
          <w:rFonts w:ascii="Calibri" w:eastAsia="宋体" w:hAnsi="Calibri" w:cs="Times New Roman" w:hint="eastAsia"/>
        </w:rPr>
        <w:t>2.LSTM</w:t>
      </w:r>
      <w:r>
        <w:rPr>
          <w:rFonts w:ascii="Calibri" w:eastAsia="宋体" w:hAnsi="Calibri" w:cs="Times New Roman" w:hint="eastAsia"/>
        </w:rPr>
        <w:t>模型：构建</w:t>
      </w:r>
      <w:r>
        <w:rPr>
          <w:rFonts w:ascii="Calibri" w:eastAsia="宋体" w:hAnsi="Calibri" w:cs="Times New Roman" w:hint="eastAsia"/>
        </w:rPr>
        <w:t>LSTM</w:t>
      </w:r>
      <w:r>
        <w:rPr>
          <w:rFonts w:ascii="Calibri" w:eastAsia="宋体" w:hAnsi="Calibri" w:cs="Times New Roman" w:hint="eastAsia"/>
        </w:rPr>
        <w:t>结构，用于风险时序预测与双重验证；</w:t>
      </w:r>
    </w:p>
    <w:p w14:paraId="0ED13320" w14:textId="77777777" w:rsidR="004B3261" w:rsidRDefault="00000000">
      <w:pPr>
        <w:rPr>
          <w:rFonts w:ascii="Calibri" w:eastAsia="宋体" w:hAnsi="Calibri" w:cs="Times New Roman"/>
        </w:rPr>
      </w:pPr>
      <w:r>
        <w:rPr>
          <w:rFonts w:ascii="Calibri" w:eastAsia="宋体" w:hAnsi="Calibri" w:cs="Times New Roman" w:hint="eastAsia"/>
        </w:rPr>
        <w:t>3.</w:t>
      </w:r>
      <w:r>
        <w:rPr>
          <w:rFonts w:ascii="Calibri" w:eastAsia="宋体" w:hAnsi="Calibri" w:cs="Times New Roman" w:hint="eastAsia"/>
        </w:rPr>
        <w:t>结果输出：风险核心因子排序、拟合对比图、训练收敛曲线和</w:t>
      </w:r>
      <w:r>
        <w:rPr>
          <w:rFonts w:ascii="Calibri" w:eastAsia="宋体" w:hAnsi="Calibri" w:cs="Times New Roman" w:hint="eastAsia"/>
        </w:rPr>
        <w:t>SHAP</w:t>
      </w:r>
      <w:r>
        <w:rPr>
          <w:rFonts w:ascii="Calibri" w:eastAsia="宋体" w:hAnsi="Calibri" w:cs="Times New Roman" w:hint="eastAsia"/>
        </w:rPr>
        <w:t>蜂群图。</w:t>
      </w:r>
    </w:p>
    <w:p w14:paraId="0AA312EB" w14:textId="77777777" w:rsidR="004B3261" w:rsidRDefault="004B3261"/>
    <w:p w14:paraId="2D196F01" w14:textId="77777777" w:rsidR="004B3261" w:rsidRDefault="004B3261">
      <w:pPr>
        <w:tabs>
          <w:tab w:val="left" w:pos="2039"/>
        </w:tabs>
        <w:jc w:val="left"/>
      </w:pPr>
    </w:p>
    <w:p w14:paraId="43C44497" w14:textId="77777777" w:rsidR="004B3261" w:rsidRDefault="004B3261"/>
    <w:sectPr w:rsidR="004B326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Regular">
    <w:altName w:val="Times New Roman"/>
    <w:charset w:val="00"/>
    <w:family w:val="auto"/>
    <w:pitch w:val="default"/>
    <w:sig w:usb0="00000000" w:usb1="00000000" w:usb2="00000001" w:usb3="00000000" w:csb0="400001BF" w:csb1="DFF7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2453FE4"/>
    <w:multiLevelType w:val="singleLevel"/>
    <w:tmpl w:val="B2453FE4"/>
    <w:lvl w:ilvl="0">
      <w:start w:val="3"/>
      <w:numFmt w:val="decimal"/>
      <w:suff w:val="space"/>
      <w:lvlText w:val="%1."/>
      <w:lvlJc w:val="left"/>
    </w:lvl>
  </w:abstractNum>
  <w:abstractNum w:abstractNumId="1" w15:restartNumberingAfterBreak="0">
    <w:nsid w:val="DA2007CD"/>
    <w:multiLevelType w:val="singleLevel"/>
    <w:tmpl w:val="DA2007CD"/>
    <w:lvl w:ilvl="0">
      <w:start w:val="1"/>
      <w:numFmt w:val="chineseCounting"/>
      <w:suff w:val="nothing"/>
      <w:lvlText w:val="%1、"/>
      <w:lvlJc w:val="left"/>
      <w:rPr>
        <w:rFonts w:hint="eastAsia"/>
      </w:rPr>
    </w:lvl>
  </w:abstractNum>
  <w:abstractNum w:abstractNumId="2" w15:restartNumberingAfterBreak="0">
    <w:nsid w:val="5A1DF3CB"/>
    <w:multiLevelType w:val="multilevel"/>
    <w:tmpl w:val="5A1DF3CB"/>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30636236">
    <w:abstractNumId w:val="1"/>
  </w:num>
  <w:num w:numId="2" w16cid:durableId="1424569746">
    <w:abstractNumId w:val="0"/>
  </w:num>
  <w:num w:numId="3" w16cid:durableId="2972976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09F2813"/>
    <w:rsid w:val="000566D3"/>
    <w:rsid w:val="004B3261"/>
    <w:rsid w:val="00911545"/>
    <w:rsid w:val="0B8F0C83"/>
    <w:rsid w:val="209F2813"/>
    <w:rsid w:val="2E8359E9"/>
    <w:rsid w:val="475E18C3"/>
    <w:rsid w:val="6B647232"/>
    <w:rsid w:val="7BA613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BF55DC"/>
  <w15:docId w15:val="{E5B178C9-93AC-40F5-B22C-5DAEB38A3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semiHidden="1" w:qFormat="1"/>
    <w:lsdException w:name="Body Text" w:semiHidden="1" w:uiPriority="99" w:unhideWhenUsed="1" w:qFormat="1"/>
    <w:lsdException w:name="Subtitle" w:uiPriority="1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next w:val="a"/>
    <w:uiPriority w:val="9"/>
    <w:qFormat/>
    <w:pPr>
      <w:widowControl w:val="0"/>
      <w:adjustRightInd w:val="0"/>
      <w:spacing w:beforeLines="50" w:before="50" w:afterLines="50" w:after="50" w:line="360" w:lineRule="auto"/>
      <w:jc w:val="both"/>
      <w:outlineLvl w:val="0"/>
    </w:pPr>
    <w:rPr>
      <w:rFonts w:ascii="Times New Roman" w:eastAsia="黑体" w:hAnsi="Times New Roman" w:cs="Times New Roman"/>
      <w:b/>
      <w:color w:val="000000"/>
      <w:kern w:val="44"/>
      <w:sz w:val="32"/>
      <w:szCs w:val="44"/>
    </w:rPr>
  </w:style>
  <w:style w:type="paragraph" w:styleId="2">
    <w:name w:val="heading 2"/>
    <w:basedOn w:val="a"/>
    <w:next w:val="a"/>
    <w:uiPriority w:val="9"/>
    <w:unhideWhenUsed/>
    <w:qFormat/>
    <w:pPr>
      <w:adjustRightInd w:val="0"/>
      <w:spacing w:beforeLines="50" w:before="50" w:afterLines="50" w:after="50" w:line="360" w:lineRule="auto"/>
      <w:outlineLvl w:val="1"/>
    </w:pPr>
    <w:rPr>
      <w:rFonts w:ascii="Times New Roman" w:eastAsia="黑体" w:hAnsi="Times New Roman" w:cs="Times New Roman"/>
      <w:b/>
      <w:sz w:val="30"/>
      <w:szCs w:val="32"/>
    </w:rPr>
  </w:style>
  <w:style w:type="paragraph" w:styleId="3">
    <w:name w:val="heading 3"/>
    <w:next w:val="a"/>
    <w:uiPriority w:val="9"/>
    <w:unhideWhenUsed/>
    <w:qFormat/>
    <w:pPr>
      <w:keepNext/>
      <w:keepLines/>
      <w:widowControl w:val="0"/>
      <w:adjustRightInd w:val="0"/>
      <w:spacing w:beforeLines="50" w:before="50" w:afterLines="50" w:after="50" w:line="360" w:lineRule="auto"/>
      <w:jc w:val="both"/>
      <w:outlineLvl w:val="2"/>
    </w:pPr>
    <w:rPr>
      <w:rFonts w:ascii="Times New Roman" w:eastAsia="黑体" w:hAnsi="Times New Roman" w:cs="Times New Roman"/>
      <w:b/>
      <w:kern w:val="2"/>
      <w:sz w:val="28"/>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uiPriority w:val="99"/>
    <w:semiHidden/>
    <w:unhideWhenUsed/>
    <w:qFormat/>
    <w:pPr>
      <w:widowControl w:val="0"/>
      <w:ind w:firstLineChars="200" w:firstLine="420"/>
      <w:jc w:val="both"/>
    </w:pPr>
    <w:rPr>
      <w:rFonts w:ascii="Times New Roman" w:eastAsia="宋体" w:hAnsi="Calibri" w:cs="Times New Roman"/>
      <w:sz w:val="21"/>
    </w:rPr>
  </w:style>
  <w:style w:type="paragraph" w:styleId="a4">
    <w:name w:val="Subtitle"/>
    <w:next w:val="a"/>
    <w:uiPriority w:val="11"/>
    <w:qFormat/>
    <w:pPr>
      <w:widowControl w:val="0"/>
      <w:adjustRightInd w:val="0"/>
      <w:spacing w:beforeLines="50" w:before="50" w:afterLines="50" w:after="50" w:line="360" w:lineRule="auto"/>
      <w:jc w:val="center"/>
    </w:pPr>
    <w:rPr>
      <w:rFonts w:ascii="Times New Roman" w:eastAsia="黑体" w:hAnsi="Times New Roman" w:cs="Times New Roman"/>
      <w:b/>
      <w:kern w:val="28"/>
      <w:sz w:val="32"/>
      <w:szCs w:val="24"/>
    </w:rPr>
  </w:style>
  <w:style w:type="paragraph" w:styleId="a5">
    <w:name w:val="Normal (Web)"/>
    <w:basedOn w:val="a"/>
    <w:pPr>
      <w:spacing w:beforeAutospacing="1" w:afterAutospacing="1"/>
      <w:jc w:val="left"/>
    </w:pPr>
    <w:rPr>
      <w:rFonts w:cs="Times New Roman"/>
      <w:kern w:val="0"/>
      <w:sz w:val="24"/>
    </w:rPr>
  </w:style>
  <w:style w:type="paragraph" w:styleId="a6">
    <w:name w:val="Title"/>
    <w:next w:val="a"/>
    <w:uiPriority w:val="10"/>
    <w:qFormat/>
    <w:pPr>
      <w:widowControl w:val="0"/>
      <w:adjustRightInd w:val="0"/>
      <w:spacing w:beforeLines="50" w:before="50" w:afterLines="50" w:after="50" w:line="360" w:lineRule="auto"/>
      <w:jc w:val="center"/>
    </w:pPr>
    <w:rPr>
      <w:rFonts w:ascii="Times New Roman" w:eastAsia="黑体" w:hAnsi="Times New Roman" w:cs="Times New Roman"/>
      <w:b/>
      <w:kern w:val="2"/>
      <w:sz w:val="44"/>
      <w:szCs w:val="24"/>
    </w:rPr>
  </w:style>
  <w:style w:type="table" w:styleId="a7">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8">
    <w:name w:val="摘要标题"/>
    <w:next w:val="a"/>
    <w:qFormat/>
    <w:pPr>
      <w:widowControl w:val="0"/>
      <w:adjustRightInd w:val="0"/>
      <w:spacing w:beforeLines="50" w:before="50" w:afterLines="100" w:after="100" w:line="360" w:lineRule="auto"/>
      <w:jc w:val="center"/>
      <w:outlineLvl w:val="0"/>
    </w:pPr>
    <w:rPr>
      <w:rFonts w:ascii="Times New Roman" w:eastAsia="黑体" w:hAnsi="Times New Roman" w:cs="Times New Roman"/>
      <w:b/>
      <w:bCs/>
      <w:kern w:val="44"/>
      <w:sz w:val="36"/>
      <w:szCs w:val="44"/>
    </w:rPr>
  </w:style>
  <w:style w:type="character" w:customStyle="1" w:styleId="a9">
    <w:name w:val="关键词"/>
    <w:qFormat/>
    <w:rPr>
      <w:rFonts w:ascii="Times New Roman" w:eastAsia="宋体" w:hAnsi="Times New Roman"/>
      <w:b/>
      <w:bCs/>
      <w:sz w:val="24"/>
    </w:rPr>
  </w:style>
  <w:style w:type="paragraph" w:customStyle="1" w:styleId="aa">
    <w:name w:val="图片标题"/>
    <w:next w:val="a"/>
    <w:qFormat/>
    <w:pPr>
      <w:widowControl w:val="0"/>
      <w:adjustRightInd w:val="0"/>
      <w:spacing w:before="240" w:after="120" w:line="288" w:lineRule="auto"/>
      <w:jc w:val="center"/>
    </w:pPr>
    <w:rPr>
      <w:rFonts w:ascii="Times New Roman" w:eastAsia="宋体" w:hAnsi="Times New Roman" w:cs="Times New Roman"/>
      <w:kern w:val="2"/>
      <w:sz w:val="24"/>
      <w:szCs w:val="22"/>
    </w:rPr>
  </w:style>
  <w:style w:type="paragraph" w:customStyle="1" w:styleId="ab">
    <w:name w:val="表格标题"/>
    <w:next w:val="a"/>
    <w:qFormat/>
    <w:pPr>
      <w:widowControl w:val="0"/>
      <w:adjustRightInd w:val="0"/>
      <w:spacing w:before="240" w:after="120" w:line="288" w:lineRule="auto"/>
      <w:jc w:val="center"/>
    </w:pPr>
    <w:rPr>
      <w:rFonts w:ascii="Times New Roman" w:eastAsia="宋体" w:hAnsi="Times New Roman" w:cs="Times New Roman"/>
      <w:kern w:val="2"/>
      <w:sz w:val="24"/>
      <w:szCs w:val="22"/>
    </w:rPr>
  </w:style>
  <w:style w:type="paragraph" w:customStyle="1" w:styleId="ac">
    <w:name w:val="致谢正文"/>
    <w:next w:val="a"/>
    <w:qFormat/>
    <w:pPr>
      <w:widowControl w:val="0"/>
      <w:adjustRightInd w:val="0"/>
      <w:spacing w:line="360" w:lineRule="auto"/>
      <w:ind w:firstLineChars="200" w:firstLine="1040"/>
      <w:jc w:val="both"/>
    </w:pPr>
    <w:rPr>
      <w:rFonts w:ascii="Times New Roman" w:eastAsia="宋体" w:hAnsi="Times New Roman" w:cs="Times New Roman"/>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wmf"/><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10179</Words>
  <Characters>10383</Characters>
  <Application>Microsoft Office Word</Application>
  <DocSecurity>0</DocSecurity>
  <Lines>471</Lines>
  <Paragraphs>403</Paragraphs>
  <ScaleCrop>false</ScaleCrop>
  <Company/>
  <LinksUpToDate>false</LinksUpToDate>
  <CharactersWithSpaces>20159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妙齐 潘</cp:lastModifiedBy>
  <cp:revision>2</cp:revision>
  <dcterms:created xsi:type="dcterms:W3CDTF">2026-05-05T12:11:00Z</dcterms:created>
  <dcterms:modified xsi:type="dcterms:W3CDTF">2026-05-05T12:11:00Z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2B5D1B8E4431454389F9CB3A0C886B7C_13</vt:lpwstr>
  </property>
  <property fmtid="{D5CDD505-2E9C-101B-9397-08002B2CF9AE}" pid="4" name="KSOTemplateDocerSaveRecord">
    <vt:lpwstr>eyJoZGlkIjoiYjQ1YmExY2MyMzdiYjA0MjY5MDhmNmEyNDcyYTdkOWMiLCJ1c2VySWQiOiIyODg5ODk3NDAifQ==</vt:lpwstr>
  </property>
</Properties>
</file>