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jc w:val="center"/>
      </w:pPr>
      <w:r>
        <w:rPr>
          <w:rFonts w:ascii="黑体" w:hAnsi="黑体" w:eastAsia="黑体"/>
          <w:b/>
          <w:sz w:val="28"/>
        </w:rPr>
        <w:t>论文题目：</w:t>
      </w:r>
    </w:p>
    <w:p>
      <w:pPr>
        <w:jc w:val="center"/>
      </w:pPr>
      <w:r>
        <w:rPr>
          <w:rFonts w:ascii="黑体" w:hAnsi="黑体" w:eastAsia="黑体"/>
          <w:b/>
          <w:sz w:val="36"/>
        </w:rPr>
        <w:t>极端气候下我国粮食生产风险的核心因子识别与韧性提升研究</w:t>
      </w:r>
    </w:p>
    <w:p>
      <w:pPr>
        <w:jc w:val="center"/>
      </w:pPr>
      <w:r>
        <w:rPr>
          <w:rFonts w:ascii="黑体" w:hAnsi="黑体" w:eastAsia="黑体"/>
          <w:b/>
          <w:sz w:val="28"/>
        </w:rPr>
        <w:t>——基于XGBoost-SHAP与深度学习的双重验证</w:t>
      </w:r>
    </w:p>
    <w:p/>
    <w:p/>
    <w:p/>
    <w:p>
      <w:pPr>
        <w:spacing w:line="480" w:lineRule="auto"/>
        <w:jc w:val="center"/>
      </w:pPr>
      <w:r>
        <w:rPr>
          <w:rFonts w:ascii="黑体" w:hAnsi="黑体" w:eastAsia="黑体"/>
          <w:b w:val="0"/>
          <w:sz w:val="28"/>
        </w:rPr>
        <w:t>学    校：山西农业大学</w:t>
      </w:r>
    </w:p>
    <w:p>
      <w:pPr>
        <w:spacing w:line="480" w:lineRule="auto"/>
        <w:jc w:val="center"/>
      </w:pPr>
      <w:r>
        <w:rPr>
          <w:rFonts w:ascii="黑体" w:hAnsi="黑体" w:eastAsia="黑体"/>
          <w:b w:val="0"/>
          <w:sz w:val="28"/>
        </w:rPr>
        <w:t>学    院：信息科学与工程学院</w:t>
      </w:r>
    </w:p>
    <w:p>
      <w:pPr>
        <w:spacing w:line="480" w:lineRule="auto"/>
        <w:jc w:val="center"/>
      </w:pPr>
      <w:r>
        <w:rPr>
          <w:rFonts w:ascii="黑体" w:hAnsi="黑体" w:eastAsia="黑体"/>
          <w:b w:val="0"/>
          <w:sz w:val="28"/>
        </w:rPr>
        <w:t>参赛队员：王天硕  张嘉越  张彬杰</w:t>
      </w:r>
    </w:p>
    <w:p>
      <w:pPr>
        <w:spacing w:line="480" w:lineRule="auto"/>
        <w:jc w:val="center"/>
      </w:pPr>
      <w:r>
        <w:rPr>
          <w:rFonts w:ascii="黑体" w:hAnsi="黑体" w:eastAsia="黑体"/>
          <w:b w:val="0"/>
          <w:sz w:val="28"/>
        </w:rPr>
        <w:t>指导老师：徐  苗</w:t>
      </w:r>
    </w:p>
    <w:p>
      <w:pPr>
        <w:spacing w:line="480" w:lineRule="auto"/>
        <w:jc w:val="center"/>
      </w:pPr>
      <w:r>
        <w:rPr>
          <w:rFonts w:ascii="黑体" w:hAnsi="黑体" w:eastAsia="黑体"/>
          <w:b w:val="0"/>
          <w:sz w:val="28"/>
        </w:rPr>
        <w:t>联系电话：17835406536</w:t>
      </w:r>
    </w:p>
    <w:p/>
    <w:p/>
    <w:p/>
    <w:p>
      <w:pPr>
        <w:jc w:val="center"/>
      </w:pPr>
      <w:r>
        <w:rPr>
          <w:rFonts w:ascii="黑体" w:hAnsi="黑体" w:eastAsia="黑体"/>
          <w:b/>
          <w:sz w:val="28"/>
        </w:rPr>
        <w:t>2026年4月</w:t>
      </w:r>
    </w:p>
    <w:p>
      <w:r>
        <w:br w:type="page"/>
      </w:r>
    </w:p>
    <w:p>
      <w:pPr>
        <w:spacing w:after="120"/>
        <w:jc w:val="center"/>
      </w:pPr>
      <w:r>
        <w:rPr>
          <w:rFonts w:ascii="黑体" w:hAnsi="黑体" w:eastAsia="黑体"/>
          <w:b/>
          <w:sz w:val="32"/>
        </w:rPr>
        <w:t>极端气候下我国粮食生产风险的核心因子识别与韧性提升研究</w:t>
      </w:r>
    </w:p>
    <w:p>
      <w:pPr>
        <w:spacing w:after="240"/>
        <w:jc w:val="center"/>
      </w:pPr>
      <w:r>
        <w:rPr>
          <w:rFonts w:ascii="黑体" w:hAnsi="黑体" w:eastAsia="黑体"/>
          <w:b/>
          <w:sz w:val="26"/>
        </w:rPr>
        <w:t>——基于XGBoost-SHAP与深度学习的双重验证</w:t>
      </w:r>
    </w:p>
    <w:p>
      <w:pPr>
        <w:spacing w:after="240"/>
        <w:jc w:val="center"/>
      </w:pPr>
      <w:r>
        <w:rPr>
          <w:rFonts w:ascii="楷体" w:hAnsi="楷体" w:eastAsia="楷体"/>
          <w:b w:val="0"/>
          <w:sz w:val="22"/>
        </w:rPr>
        <w:t>山西农业大学  王天硕  张嘉越  张彬杰</w:t>
      </w:r>
    </w:p>
    <w:p>
      <w:pPr>
        <w:spacing w:before="240" w:after="120"/>
        <w:jc w:val="center"/>
      </w:pPr>
      <w:r>
        <w:rPr>
          <w:rFonts w:ascii="黑体" w:hAnsi="黑体" w:eastAsia="黑体"/>
          <w:b/>
          <w:sz w:val="28"/>
        </w:rPr>
        <w:t>摘  要</w:t>
      </w:r>
    </w:p>
    <w:p>
      <w:pPr>
        <w:spacing w:line="360" w:lineRule="auto" w:after="0"/>
        <w:ind w:firstLine="420"/>
      </w:pPr>
      <w:r>
        <w:rPr>
          <w:rFonts w:ascii="宋体" w:hAnsi="宋体" w:eastAsia="宋体"/>
          <w:b w:val="0"/>
          <w:sz w:val="21"/>
        </w:rPr>
        <w:t>在全球气候变暖背景下，极端天气频发已成为威胁我国粮食安全的核心变量。本文基于2011—2023年我国31个省份的面板数据，针对传统研究在因子选择与模型可解释性方面的不足，构建了"XGBoost-SHAP+LSTM"双重验证的研究框架，对粮食单产风险进行系统建模与稳健性检验。</w:t>
      </w:r>
    </w:p>
    <w:p>
      <w:pPr>
        <w:spacing w:line="360" w:lineRule="auto" w:after="0"/>
        <w:ind w:firstLine="420"/>
      </w:pPr>
      <w:r>
        <w:rPr>
          <w:rFonts w:ascii="宋体" w:hAnsi="宋体" w:eastAsia="宋体"/>
          <w:b w:val="0"/>
          <w:sz w:val="21"/>
        </w:rPr>
        <w:t>研究分两阶段展开。第一阶段，利用XGBoost算法建立气候因子与生产要素对粮食单产风险的非线性映射关系，并引入SHAP解释框架，从全局贡献、特征交互及个体决策三个维度对风险因子进行解构；第二阶段，引入长短期记忆网络（LSTM）作为深度学习验证模型，刻画风险的时序演化特征。实证结果显示，XGBoost模型R²为0.6293、RMSE为0.0051；LSTM验证模型R²提升至0.6619、RMSE降至0.0046，两类模型均具有较高预测精度。研究发现：灌溉率、洪涝占比与日照时数是影响粮食单产风险的核心因子，其中完善的灌溉设施能显著抵御极端干旱风险，展现出极强的韧性调节能力；同时各因子间存在显著的非线性交互关系。在双重验证下，核心因子的影响力排名及作用方向均保持高度一致，证明了研究结论的稳健性。</w:t>
      </w:r>
    </w:p>
    <w:p>
      <w:pPr>
        <w:spacing w:line="360" w:lineRule="auto" w:after="0"/>
        <w:ind w:firstLine="420"/>
      </w:pPr>
      <w:r>
        <w:rPr>
          <w:rFonts w:ascii="宋体" w:hAnsi="宋体" w:eastAsia="宋体"/>
          <w:b w:val="0"/>
          <w:sz w:val="21"/>
        </w:rPr>
        <w:t>在此基础上，本文从强化农业基础设施、优化气候监测预警系统、构建区域差异化补偿机制等维度提出了粮食生产韧性提升路径，并设计了基于双模型的可视化决策支持系统构想，为保障国家粮食安全、增强农业生产体系抗逆性提供科学决策依据。</w:t>
      </w:r>
    </w:p>
    <w:p>
      <w:pPr>
        <w:spacing w:before="240" w:line="360" w:lineRule="auto"/>
        <w:ind w:firstLine="420"/>
      </w:pPr>
      <w:r>
        <w:rPr>
          <w:rFonts w:ascii="黑体" w:hAnsi="黑体" w:eastAsia="黑体"/>
          <w:b/>
          <w:sz w:val="21"/>
        </w:rPr>
        <w:t>关键词：</w:t>
      </w:r>
      <w:r>
        <w:rPr>
          <w:rFonts w:ascii="宋体" w:hAnsi="宋体" w:eastAsia="宋体"/>
          <w:b w:val="0"/>
          <w:sz w:val="21"/>
        </w:rPr>
        <w:t>极端气候；粮食生产风险；XGBoost-SHAP；LSTM；农业韧性</w:t>
      </w:r>
    </w:p>
    <w:p>
      <w:r>
        <w:br w:type="page"/>
      </w:r>
    </w:p>
    <w:p>
      <w:pPr>
        <w:spacing w:before="240" w:after="120" w:line="360" w:lineRule="auto"/>
        <w:jc w:val="center"/>
      </w:pPr>
      <w:r>
        <w:rPr>
          <w:rFonts w:ascii="黑体" w:hAnsi="黑体" w:eastAsia="黑体"/>
          <w:b/>
          <w:color w:val="000000"/>
          <w:sz w:val="32"/>
        </w:rPr>
        <w:t>一、引言</w:t>
      </w:r>
    </w:p>
    <w:p>
      <w:pPr>
        <w:spacing w:before="240" w:after="120" w:line="360" w:lineRule="auto"/>
        <w:jc w:val="left"/>
      </w:pPr>
      <w:r>
        <w:rPr>
          <w:rFonts w:ascii="黑体" w:hAnsi="黑体" w:eastAsia="黑体"/>
          <w:b/>
          <w:color w:val="000000"/>
          <w:sz w:val="28"/>
        </w:rPr>
        <w:t>（一）研究背景与意义</w:t>
      </w:r>
    </w:p>
    <w:p>
      <w:pPr>
        <w:spacing w:line="360" w:lineRule="auto" w:after="0"/>
        <w:ind w:firstLine="420"/>
      </w:pPr>
      <w:r>
        <w:rPr>
          <w:rFonts w:ascii="宋体" w:hAnsi="宋体" w:eastAsia="宋体"/>
          <w:b w:val="0"/>
          <w:sz w:val="21"/>
        </w:rPr>
        <w:t>全球气候变暖导致极端天气事件频发，呈现范围广、强度高、频率上升的态势，直接威胁我国粮食生产安全，也影响农民生计与社会稳定。IPCC《Climate Change 2022: Impacts, Adaptation and Vulnerability》报告明确指出，气候变化正加剧全球农业系统的脆弱性，极端气候对粮食生产的冲击已成为全球粮食安全治理的核心议题[1]。近年来，受全球气候变暖和厄尔尼诺现象的叠加影响，北半球多地遭遇持续性高温热浪，我国东北、华北等地区强降雨事件也频频发生，极端天气的不可预见性显著增强。如2023年台风"杜苏芮"引发河北省极端降水，导致该省9个市区及雄安新区发生洪涝灾害，造成87个县、54万人受灾，大面积农田被淹，小麦、玉米、水稻产量大幅下降，其中约400—500万吨玉米（占全国全年产量2%）受损，当年夏粮产量也较上年减少127万吨。为应对灾害影响，我国政府及时拨付救灾资金、推进灾后复产、优化粮食供需调节，也让我们更加意识到，极端气候下粮食安全保障的紧迫性。</w:t>
      </w:r>
    </w:p>
    <w:p>
      <w:pPr>
        <w:spacing w:line="360" w:lineRule="auto" w:after="0"/>
        <w:ind w:firstLine="420"/>
      </w:pPr>
      <w:r>
        <w:rPr>
          <w:rFonts w:ascii="宋体" w:hAnsi="宋体" w:eastAsia="宋体"/>
          <w:b w:val="0"/>
          <w:sz w:val="21"/>
        </w:rPr>
        <w:t>粮食安全是国家核心战略。"十四五"以来，党的二十大报告、"十四五"规划纲要及历年中央一号文件，都明确提出要夯实粮食安全根基、强化产能基础。《中华人民共和国国务院新闻办公室. 中国的粮食安全[R]》也强调，保障粮食安全是治国理政的头等大事[2]。目前，我国在粮食生产、储备、流通等环节取得显著成效，粮食安全保障能力持续提升，但当前研究极端气候与粮食生产风险的传统方法仍有局限：一方面，现有针对农户适应行为、农业经济影响的研究多聚焦微观主体或单一灾种，缺乏多源数据融合的系统性风险识别框架；另一方面，传统产量预测研究虽引入机器学习方法，但模型"黑盒化"导致的可解释性不足问题仍未得到有效解决，同时难以精准识别核心风险因子、准确刻画因子间的非线性关联，最终导致农业抗灾韧性提升缺乏科学支撑。</w:t>
      </w:r>
    </w:p>
    <w:p>
      <w:pPr>
        <w:spacing w:line="360" w:lineRule="auto" w:after="0"/>
        <w:ind w:firstLine="420"/>
      </w:pPr>
      <w:r>
        <w:rPr>
          <w:rFonts w:ascii="宋体" w:hAnsi="宋体" w:eastAsia="宋体"/>
          <w:b w:val="0"/>
          <w:sz w:val="21"/>
        </w:rPr>
        <w:t>针对上述问题，本文采用XGBoost-SHAP可解释机器学习与LSTM深度学习模型开展双重验证：其中XGBoost作为可扩展的树提升系统，为非线性风险建模提供了算法基础[3]；SHAP框架通过统一的模型解释方法解决了传统机器学习的"黑箱"问题[4]；LSTM长短期记忆网络则为时序数据的稳健性检验提供了深度学习支撑[5]。本文通过SHAP值直观呈现风险因子的影响程度与作用方向，精准识别极端气候下粮食生产的核心致灾因子，进而提出针对性的韧性提升路径。这项研究不仅为农业灾变因子精准识别提供了新方法，也为保障国家粮食安全、增强农业生产体系抗逆性提供科学参考，具有重要的理论与现实意义。</w:t>
      </w:r>
    </w:p>
    <w:p>
      <w:pPr>
        <w:spacing w:line="360" w:lineRule="auto" w:after="0"/>
        <w:ind w:firstLine="420"/>
      </w:pPr>
      <w:r>
        <w:rPr>
          <w:rFonts w:ascii="宋体" w:hAnsi="宋体" w:eastAsia="宋体"/>
          <w:b w:val="0"/>
          <w:sz w:val="21"/>
        </w:rPr>
        <w:t>另外，随着全球变暖的加剧，极端天气对农业气象监测、预警与产量评估技术提出了更高要求。除救灾资金拨付、灾后复产、粮食供需调节、多元化进口等方式保障粮食安全外，从生产端提升农业抗灾韧性才是保障粮食安全的根本之策，这也正是本研究的核心落脚点。</w:t>
      </w:r>
    </w:p>
    <w:p>
      <w:pPr>
        <w:spacing w:before="120" w:after="120" w:line="360" w:lineRule="auto"/>
        <w:jc w:val="center"/>
      </w:pPr>
      <w:r>
        <w:rPr>
          <w:rFonts w:ascii="黑体" w:hAnsi="黑体" w:eastAsia="黑体"/>
          <w:b/>
          <w:sz w:val="21"/>
        </w:rPr>
        <w:t>图1 极端气候下生产风险相关核心要素词云图</w:t>
      </w:r>
    </w:p>
    <w:p>
      <w:pPr>
        <w:spacing w:before="240" w:after="120" w:line="360" w:lineRule="auto"/>
        <w:jc w:val="left"/>
      </w:pPr>
      <w:r>
        <w:rPr>
          <w:rFonts w:ascii="黑体" w:hAnsi="黑体" w:eastAsia="黑体"/>
          <w:b/>
          <w:color w:val="000000"/>
          <w:sz w:val="28"/>
        </w:rPr>
        <w:t>（二）研究内容与研究路线</w:t>
      </w:r>
    </w:p>
    <w:p>
      <w:pPr>
        <w:spacing w:before="240" w:after="120" w:line="360" w:lineRule="auto"/>
        <w:jc w:val="left"/>
      </w:pPr>
      <w:r>
        <w:rPr>
          <w:rFonts w:ascii="黑体" w:hAnsi="黑体" w:eastAsia="黑体"/>
          <w:b/>
          <w:color w:val="000000"/>
          <w:sz w:val="24"/>
        </w:rPr>
        <w:t>1. 研究内容</w:t>
      </w:r>
    </w:p>
    <w:p>
      <w:pPr>
        <w:spacing w:line="360" w:lineRule="auto" w:after="0"/>
        <w:ind w:firstLine="420"/>
      </w:pPr>
      <w:r>
        <w:rPr>
          <w:rFonts w:ascii="宋体" w:hAnsi="宋体" w:eastAsia="宋体"/>
          <w:b w:val="0"/>
          <w:sz w:val="21"/>
        </w:rPr>
        <w:t>本文围绕极端气候下我国粮食生产风险的核心因子展开研究，主要包括以下三部分内容：</w:t>
      </w:r>
    </w:p>
    <w:p>
      <w:pPr>
        <w:spacing w:line="360" w:lineRule="auto" w:after="0"/>
        <w:ind w:firstLine="420"/>
      </w:pPr>
      <w:r>
        <w:rPr>
          <w:rFonts w:ascii="宋体" w:hAnsi="宋体" w:eastAsia="宋体"/>
          <w:b w:val="0"/>
          <w:sz w:val="21"/>
        </w:rPr>
        <w:t>①核心因子识别：本文基于2011年到2023年全国31个省份的省级面板数据，以粮食单产波动为风险表征，通过一系列的描述性统计和相关性分析，最终筛选出影响粮食生产风险的相关关键变量，从而明确各因子的时空分布特征与初步关联机制。</w:t>
      </w:r>
    </w:p>
    <w:p>
      <w:pPr>
        <w:spacing w:line="360" w:lineRule="auto" w:after="0"/>
        <w:ind w:firstLine="420"/>
      </w:pPr>
      <w:r>
        <w:rPr>
          <w:rFonts w:ascii="宋体" w:hAnsi="宋体" w:eastAsia="宋体"/>
          <w:b w:val="0"/>
          <w:sz w:val="21"/>
        </w:rPr>
        <w:t>②双模型构建与实证分析：本文构建XGBoost-SHAP与LSTM双重模型开展双重验证，一方面通过XGBoost识别核心因子并量化影响程度，同时借助SHAP框架解析因子作用方向与交互效应；另一方面利用LSTM捕捉风险时序特征，从而验证核心因子影响的稳健性，最终形成"非线性建模+时序验证"的科学分析模式。</w:t>
      </w:r>
    </w:p>
    <w:p>
      <w:pPr>
        <w:spacing w:line="360" w:lineRule="auto" w:after="0"/>
        <w:ind w:firstLine="420"/>
      </w:pPr>
      <w:r>
        <w:rPr>
          <w:rFonts w:ascii="宋体" w:hAnsi="宋体" w:eastAsia="宋体"/>
          <w:b w:val="0"/>
          <w:sz w:val="21"/>
        </w:rPr>
        <w:t>③韧性提升路径优化：基于核心因子的识别结果，分别从灾害防控、设施建设、政策保障等维度，提出相应的粮食生产韧性提升路径，并进一步设计可视化决策支持系统构想，为极端气候背景下保障国家粮食安全保驾护航。</w:t>
      </w:r>
    </w:p>
    <w:p>
      <w:pPr>
        <w:spacing w:before="240" w:after="120" w:line="360" w:lineRule="auto"/>
        <w:jc w:val="left"/>
      </w:pPr>
      <w:r>
        <w:rPr>
          <w:rFonts w:ascii="黑体" w:hAnsi="黑体" w:eastAsia="黑体"/>
          <w:b/>
          <w:color w:val="000000"/>
          <w:sz w:val="24"/>
        </w:rPr>
        <w:t>2. 研究路线</w:t>
      </w:r>
    </w:p>
    <w:p>
      <w:pPr>
        <w:spacing w:line="360" w:lineRule="auto" w:after="0"/>
        <w:ind w:firstLine="420"/>
      </w:pPr>
      <w:r>
        <w:rPr>
          <w:rFonts w:ascii="宋体" w:hAnsi="宋体" w:eastAsia="宋体"/>
          <w:b w:val="0"/>
          <w:sz w:val="21"/>
        </w:rPr>
        <w:t>本文研究框架如图2所示。</w:t>
      </w:r>
    </w:p>
    <w:p>
      <w:pPr>
        <w:spacing w:before="120" w:after="120" w:line="360" w:lineRule="auto"/>
        <w:jc w:val="center"/>
      </w:pPr>
      <w:r>
        <w:rPr>
          <w:rFonts w:ascii="黑体" w:hAnsi="黑体" w:eastAsia="黑体"/>
          <w:b/>
          <w:sz w:val="21"/>
        </w:rPr>
        <w:t>图2 研究框架</w:t>
      </w:r>
    </w:p>
    <w:p>
      <w:pPr>
        <w:spacing w:before="240" w:after="120" w:line="360" w:lineRule="auto"/>
        <w:jc w:val="left"/>
      </w:pPr>
      <w:r>
        <w:rPr>
          <w:rFonts w:ascii="黑体" w:hAnsi="黑体" w:eastAsia="黑体"/>
          <w:b/>
          <w:color w:val="000000"/>
          <w:sz w:val="28"/>
        </w:rPr>
        <w:t>（三）本文创新点</w:t>
      </w:r>
    </w:p>
    <w:p>
      <w:pPr>
        <w:spacing w:line="360" w:lineRule="auto" w:after="0"/>
        <w:ind w:firstLine="420"/>
      </w:pPr>
      <w:r>
        <w:rPr>
          <w:rFonts w:ascii="宋体" w:hAnsi="宋体" w:eastAsia="宋体"/>
          <w:b w:val="0"/>
          <w:sz w:val="21"/>
        </w:rPr>
        <w:t>与传统研究方法相比，本文主要做出了以下三点创新：</w:t>
      </w:r>
    </w:p>
    <w:p>
      <w:pPr>
        <w:spacing w:line="360" w:lineRule="auto" w:after="0"/>
        <w:ind w:firstLine="420"/>
      </w:pPr>
      <w:r>
        <w:rPr>
          <w:rFonts w:ascii="宋体" w:hAnsi="宋体" w:eastAsia="宋体"/>
          <w:b w:val="0"/>
          <w:sz w:val="21"/>
        </w:rPr>
        <w:t>①在研究视角与分析框架方面：传统研究多采取单一气候的风险影响评估，缺乏对极端气候多重因素的多维度、动态化研究。在传统研究基础上，本文将多种极端天气等因素整合研究，填补了全国31个省份省域性风险识别与韧性提升的研究空白；另一方面，本研究突破了传统意义上的"线性假设"的束缚，实现了从"被动应对极端气候风险"到"主动预判因子、提升韧性"的转变，更好为此研究提供了方法与理论。</w:t>
      </w:r>
    </w:p>
    <w:p>
      <w:pPr>
        <w:spacing w:line="360" w:lineRule="auto" w:after="0"/>
        <w:ind w:firstLine="420"/>
      </w:pPr>
      <w:r>
        <w:rPr>
          <w:rFonts w:ascii="宋体" w:hAnsi="宋体" w:eastAsia="宋体"/>
          <w:b w:val="0"/>
          <w:sz w:val="21"/>
        </w:rPr>
        <w:t>②在模型方法和技术体系创新方面：一方面，本研究采用非传统计量模型，而是采用将XGBoost-SHAP融合的高精度预测与透明归因的双重模型体系，更好的识别极端气候与粮食生产因子之间的非线性复杂关联；另一方面，本文囊括"预测模型+可解释性框架"的结合，不仅克服了传统机器学习模型的局限性，即模型内部决策逻辑、计算过程无法被直观解释，并且提升了研究的准确性与可落地性，为未来预测极端气候造成风险，服务于农业提供了可靠支持。</w:t>
      </w:r>
    </w:p>
    <w:p>
      <w:pPr>
        <w:spacing w:line="360" w:lineRule="auto" w:after="0"/>
        <w:ind w:firstLine="420"/>
      </w:pPr>
      <w:r>
        <w:rPr>
          <w:rFonts w:ascii="宋体" w:hAnsi="宋体" w:eastAsia="宋体"/>
          <w:b w:val="0"/>
          <w:sz w:val="21"/>
        </w:rPr>
        <w:t>③在研究应用与实践价值创新方面：本研究通过对粮食生产风险的量化评估，构建了一套可推广、有实际价值的极端气候下粮食生产风险预警分析框架，并进一步提出可视化决策支持系统设计构想；在相关区域的农业政策制定以及防灾减灾工作等方面提供了决策支撑，具有较好的实践指导意义。</w:t>
      </w:r>
    </w:p>
    <w:p>
      <w:pPr>
        <w:spacing w:before="240" w:after="120" w:line="360" w:lineRule="auto"/>
        <w:jc w:val="center"/>
      </w:pPr>
      <w:r>
        <w:rPr>
          <w:rFonts w:ascii="黑体" w:hAnsi="黑体" w:eastAsia="黑体"/>
          <w:b/>
          <w:color w:val="000000"/>
          <w:sz w:val="32"/>
        </w:rPr>
        <w:t>二、国内外研究现状及综述</w:t>
      </w:r>
    </w:p>
    <w:p>
      <w:pPr>
        <w:spacing w:before="240" w:after="120" w:line="360" w:lineRule="auto"/>
        <w:jc w:val="left"/>
      </w:pPr>
      <w:r>
        <w:rPr>
          <w:rFonts w:ascii="黑体" w:hAnsi="黑体" w:eastAsia="黑体"/>
          <w:b/>
          <w:color w:val="000000"/>
          <w:sz w:val="28"/>
        </w:rPr>
        <w:t>（一）研究现状</w:t>
      </w:r>
    </w:p>
    <w:p>
      <w:pPr>
        <w:spacing w:before="240" w:after="120" w:line="360" w:lineRule="auto"/>
        <w:jc w:val="left"/>
      </w:pPr>
      <w:r>
        <w:rPr>
          <w:rFonts w:ascii="黑体" w:hAnsi="黑体" w:eastAsia="黑体"/>
          <w:b/>
          <w:color w:val="000000"/>
          <w:sz w:val="24"/>
        </w:rPr>
        <w:t>1. 国外研究现状</w:t>
      </w:r>
    </w:p>
    <w:p>
      <w:pPr>
        <w:spacing w:line="360" w:lineRule="auto" w:after="0"/>
        <w:ind w:firstLine="420"/>
      </w:pPr>
      <w:r>
        <w:rPr>
          <w:rFonts w:ascii="宋体" w:hAnsi="宋体" w:eastAsia="宋体"/>
          <w:b w:val="0"/>
          <w:sz w:val="21"/>
        </w:rPr>
        <w:t>在极端气候与粮食生产风险研究脉络方面：国外学术界较早开始了关于气候变化对粮食生产安全的相关研究，大体研究方向呈从"单一性气候因子影响"到"多极端事件耦合风险"的顺序。早期研究多聚焦于降水、温度、光照等一些常规性气候要素，并采取线性模型，简单地证实农作物缺乏常规性气候要素会改变作物生产周期、降低作物光合作用能力等，最终直接导致作物减产等风险[6]。近年来，随着极端气候频发，研究焦点从单一性气候因子影响转向多种极端天气共同作用的效应，如洪涝、干旱、高温等极端事件。研究发现，多极端事件对作物的影响远远超过单一性气候因子影响，并且在某些低收入、气候薄弱的地区影响更为显著[7,27]。</w:t>
      </w:r>
    </w:p>
    <w:p>
      <w:pPr>
        <w:spacing w:line="360" w:lineRule="auto" w:after="0"/>
        <w:ind w:firstLine="420"/>
      </w:pPr>
      <w:r>
        <w:rPr>
          <w:rFonts w:ascii="宋体" w:hAnsi="宋体" w:eastAsia="宋体"/>
          <w:b w:val="0"/>
          <w:sz w:val="21"/>
        </w:rPr>
        <w:t>在风险评估方法上：传统的计量模型长期被使用，但近年来通过引入机器学习技术显著提升了研究的精度。随机森林、XGBoost等算法逐渐被广泛使用，应用于气候与粮食产量之间的非线性复杂关联，相较于传统计量模型，大大提高了预测准确率[3]，同时一些深度学习模型也被用来进行粮食生产系统的时序风险评估，捕捉在愈发复杂的气候下的韧性演化趋势[5]。</w:t>
      </w:r>
    </w:p>
    <w:p>
      <w:pPr>
        <w:spacing w:line="360" w:lineRule="auto" w:after="0"/>
        <w:ind w:firstLine="420"/>
      </w:pPr>
      <w:r>
        <w:rPr>
          <w:rFonts w:ascii="宋体" w:hAnsi="宋体" w:eastAsia="宋体"/>
          <w:b w:val="0"/>
          <w:sz w:val="21"/>
        </w:rPr>
        <w:t>在粮食生产韧性与适应策略研究方面：韧性理论指面对外部风险冲击下抵御、适应及转型能力，国外研究关注农业在外部气候因素冲击下的稳定性和恢复能力。多项现有研究表明研发抗旱品种、升级灌溉技术等与多种政策干预协同治理，有效提升气候关键韧性[13]。但现有研究有明显的缺陷，如多项研究基于发达国家相关的农业背景，而对于大部分发展中国家，并不能很好适配当地以"小农"为主的农业系统，也出现了区域差异显著的问题。此外，目前研究大多处于静态韧性评估方面，而对于动态预测演化分析研究成果不足。</w:t>
      </w:r>
    </w:p>
    <w:p>
      <w:pPr>
        <w:spacing w:before="240" w:after="120" w:line="360" w:lineRule="auto"/>
        <w:jc w:val="left"/>
      </w:pPr>
      <w:r>
        <w:rPr>
          <w:rFonts w:ascii="黑体" w:hAnsi="黑体" w:eastAsia="黑体"/>
          <w:b/>
          <w:color w:val="000000"/>
          <w:sz w:val="24"/>
        </w:rPr>
        <w:t>2. 国内研究现状</w:t>
      </w:r>
    </w:p>
    <w:p>
      <w:pPr>
        <w:spacing w:line="360" w:lineRule="auto" w:after="0"/>
        <w:ind w:firstLine="420"/>
      </w:pPr>
      <w:r>
        <w:rPr>
          <w:rFonts w:ascii="宋体" w:hAnsi="宋体" w:eastAsia="宋体"/>
          <w:b w:val="0"/>
          <w:sz w:val="21"/>
        </w:rPr>
        <w:t>在极端气候与粮食生产风险研究脉络方面：相较于国外研究，我国学者紧紧围绕国家战略，逐步形成了"风险评估-影响机制-预警防控"的研究顺序。早期的研究同样多采用传统的计量模型分析单气候因子对粮食作物的线性影响，随着极端气候事件的增多，研究重点从传统面向多种极端气候（洪涝、旱灾、高温等），进一步得出我国粮食生产的气候风险呈区域分化、季节性集中等特征[8]。</w:t>
      </w:r>
    </w:p>
    <w:p>
      <w:pPr>
        <w:spacing w:line="360" w:lineRule="auto" w:after="0"/>
        <w:ind w:firstLine="420"/>
      </w:pPr>
      <w:r>
        <w:rPr>
          <w:rFonts w:ascii="宋体" w:hAnsi="宋体" w:eastAsia="宋体"/>
          <w:b w:val="0"/>
          <w:sz w:val="21"/>
        </w:rPr>
        <w:t>在风险评估方法上：我国部分学者引入了机器学习技术如XGBoost等算法开展区别于传统方法的非线性建模，虽提升了产量预测精度，但难以明晰具体极端气候因子的影响路线与贡献度，并且多局限于某地或区域性的气候影响研究，并未有效覆盖全国31个省份整体的风险差异分析[9-12]。</w:t>
      </w:r>
    </w:p>
    <w:p>
      <w:pPr>
        <w:spacing w:line="360" w:lineRule="auto" w:after="0"/>
        <w:ind w:firstLine="420"/>
      </w:pPr>
      <w:r>
        <w:rPr>
          <w:rFonts w:ascii="宋体" w:hAnsi="宋体" w:eastAsia="宋体"/>
          <w:b w:val="0"/>
          <w:sz w:val="21"/>
        </w:rPr>
        <w:t>在粮食生产韧性与适应策略研究方面：整体来看，我国对粮食生产韧性的研究起步较晚，但近年来成为研究热点，体系逐步被构建。现有的研究大多数基于指标体系法构建韧性评价框架，但与国外类似，对韧性动态演化的研究数目不足，大多聚焦于静态评估层面，因此缺乏"风险识别-韧性评估-路径优化"的全链条研究，使得不能很好地将气候风险因子与韧性提升路径相结合[14-15]。目前，采用机器学习与深度学习双重验证的模式的应用较少[16-17]。</w:t>
      </w:r>
    </w:p>
    <w:p>
      <w:pPr>
        <w:spacing w:before="240" w:after="120" w:line="360" w:lineRule="auto"/>
        <w:jc w:val="left"/>
      </w:pPr>
      <w:r>
        <w:rPr>
          <w:rFonts w:ascii="黑体" w:hAnsi="黑体" w:eastAsia="黑体"/>
          <w:b/>
          <w:color w:val="000000"/>
          <w:sz w:val="28"/>
        </w:rPr>
        <w:t>（二）综述</w:t>
      </w:r>
    </w:p>
    <w:p>
      <w:pPr>
        <w:spacing w:line="360" w:lineRule="auto" w:after="0"/>
        <w:ind w:firstLine="420"/>
      </w:pPr>
      <w:r>
        <w:rPr>
          <w:rFonts w:ascii="宋体" w:hAnsi="宋体" w:eastAsia="宋体"/>
          <w:b w:val="0"/>
          <w:sz w:val="21"/>
        </w:rPr>
        <w:t>综合国内外现有研究进展来看，虽现有的成果在极端气候因子与粮食生产风险方面关联，同时引入了机器学习等方法提升韧性理论研究，但仍然存在以下几方面的不足：</w:t>
      </w:r>
    </w:p>
    <w:p>
      <w:pPr>
        <w:spacing w:line="360" w:lineRule="auto" w:after="0"/>
        <w:ind w:firstLine="420"/>
      </w:pPr>
      <w:r>
        <w:rPr>
          <w:rFonts w:ascii="宋体" w:hAnsi="宋体" w:eastAsia="宋体"/>
          <w:b w:val="0"/>
          <w:sz w:val="21"/>
        </w:rPr>
        <w:t>1. 现有多数研究局限于单一气候因子或局限于局部地区分析，缺少对多极端事件耦合效应与全国尺度下的系统性研究，导致对气候因子影响路径和贡献度的量化解析不足。</w:t>
      </w:r>
    </w:p>
    <w:p>
      <w:pPr>
        <w:spacing w:line="360" w:lineRule="auto" w:after="0"/>
        <w:ind w:firstLine="420"/>
      </w:pPr>
      <w:r>
        <w:rPr>
          <w:rFonts w:ascii="宋体" w:hAnsi="宋体" w:eastAsia="宋体"/>
          <w:b w:val="0"/>
          <w:sz w:val="21"/>
        </w:rPr>
        <w:t>2. 现有研究多局限于静态韧性评估，对粮食生产系统韧性的动态演化认识不足，难以制定具有支撑性的韧性策略。</w:t>
      </w:r>
    </w:p>
    <w:p>
      <w:pPr>
        <w:spacing w:line="360" w:lineRule="auto" w:after="0"/>
        <w:ind w:firstLine="420"/>
      </w:pPr>
      <w:r>
        <w:rPr>
          <w:rFonts w:ascii="宋体" w:hAnsi="宋体" w:eastAsia="宋体"/>
          <w:b w:val="0"/>
          <w:sz w:val="21"/>
        </w:rPr>
        <w:t>3. 国内外学者均将机器学习、深度学习等多种模型引入到粮食生产风险研究之中，但多为单一性的模型应用，采用双重验证或多模型融合的研究少之又少，因此对极端气候与粮食系统间的非线性关系的刻画精度亟待提升。</w:t>
      </w:r>
    </w:p>
    <w:p>
      <w:pPr>
        <w:spacing w:line="360" w:lineRule="auto" w:after="0"/>
        <w:ind w:firstLine="420"/>
      </w:pPr>
      <w:r>
        <w:rPr>
          <w:rFonts w:ascii="宋体" w:hAnsi="宋体" w:eastAsia="宋体"/>
          <w:b w:val="0"/>
          <w:sz w:val="21"/>
        </w:rPr>
        <w:t>综上所述，本文以全国31个省份为研究对象，通过搜集多源数据并整合，最后构建起"风险评估-韧性评估-路径优化"的全链条分析框架，采用双模型识别极端气候下粮食生产风险的核心因子，并开展韧性评估，最终达到政策制定的目的，弥补了现有研究视角与范围局限、方法体系短板、研究链条断层的不足。</w:t>
      </w:r>
    </w:p>
    <w:p>
      <w:pPr>
        <w:spacing w:before="120" w:after="120" w:line="360" w:lineRule="auto"/>
        <w:jc w:val="center"/>
      </w:pPr>
      <w:r>
        <w:rPr>
          <w:rFonts w:ascii="黑体" w:hAnsi="黑体" w:eastAsia="黑体"/>
          <w:b/>
          <w:sz w:val="21"/>
        </w:rPr>
        <w:t>图3 本文研究核心要素词云图</w:t>
      </w:r>
    </w:p>
    <w:p>
      <w:pPr>
        <w:spacing w:before="240" w:after="120" w:line="360" w:lineRule="auto"/>
        <w:jc w:val="center"/>
      </w:pPr>
      <w:r>
        <w:rPr>
          <w:rFonts w:ascii="黑体" w:hAnsi="黑体" w:eastAsia="黑体"/>
          <w:b/>
          <w:color w:val="000000"/>
          <w:sz w:val="32"/>
        </w:rPr>
        <w:t>三、研究方法与数据来源</w:t>
      </w:r>
    </w:p>
    <w:p>
      <w:pPr>
        <w:spacing w:before="240" w:after="120" w:line="360" w:lineRule="auto"/>
        <w:jc w:val="left"/>
      </w:pPr>
      <w:r>
        <w:rPr>
          <w:rFonts w:ascii="黑体" w:hAnsi="黑体" w:eastAsia="黑体"/>
          <w:b/>
          <w:color w:val="000000"/>
          <w:sz w:val="28"/>
        </w:rPr>
        <w:t>（一）理论基础与变量选取</w:t>
      </w:r>
    </w:p>
    <w:p>
      <w:pPr>
        <w:spacing w:before="240" w:after="120" w:line="360" w:lineRule="auto"/>
        <w:jc w:val="left"/>
      </w:pPr>
      <w:r>
        <w:rPr>
          <w:rFonts w:ascii="黑体" w:hAnsi="黑体" w:eastAsia="黑体"/>
          <w:b/>
          <w:color w:val="000000"/>
          <w:sz w:val="24"/>
        </w:rPr>
        <w:t>1. 粮食生产风险与韧性逻辑</w:t>
      </w:r>
    </w:p>
    <w:p>
      <w:pPr>
        <w:spacing w:line="360" w:lineRule="auto" w:after="0"/>
        <w:ind w:firstLine="420"/>
      </w:pPr>
      <w:r>
        <w:rPr>
          <w:rFonts w:ascii="宋体" w:hAnsi="宋体" w:eastAsia="宋体"/>
          <w:b w:val="0"/>
          <w:sz w:val="21"/>
        </w:rPr>
        <w:t>粮食生产风险指粮食作物在播种、生长、收获生产周期内，受到多种不确定因素的扰乱，导致最终产量偏离预期水平的现象。本文通过构建实际产量与预期产量的偏离程度予以量化该风险，计算公式如下：</w:t>
      </w:r>
    </w:p>
    <w:p>
      <w:pPr>
        <w:spacing w:before="120" w:after="120"/>
        <w:jc w:val="center"/>
      </w:pPr>
      <w:r>
        <w:rPr>
          <w:rFonts w:ascii="Times New Roman" w:hAnsi="Times New Roman" w:eastAsia="Times New Roman"/>
          <w:b w:val="0"/>
          <w:sz w:val="22"/>
        </w:rPr>
        <w:t>R = | Y − Ŷ |</w:t>
      </w:r>
    </w:p>
    <w:p>
      <w:pPr>
        <w:spacing w:line="360" w:lineRule="auto" w:after="0"/>
        <w:ind w:firstLine="420"/>
      </w:pPr>
      <w:r>
        <w:rPr>
          <w:rFonts w:ascii="宋体" w:hAnsi="宋体" w:eastAsia="宋体"/>
          <w:b w:val="0"/>
          <w:sz w:val="21"/>
        </w:rPr>
        <w:t>其中，R表示粮食生产风险水平，Y为粮食实际产量，Ŷ为模型拟合的粮食预期产量。</w:t>
      </w:r>
    </w:p>
    <w:p>
      <w:pPr>
        <w:spacing w:line="360" w:lineRule="auto" w:after="0"/>
        <w:ind w:firstLine="420"/>
      </w:pPr>
      <w:r>
        <w:rPr>
          <w:rFonts w:ascii="宋体" w:hAnsi="宋体" w:eastAsia="宋体"/>
          <w:b w:val="0"/>
          <w:sz w:val="21"/>
        </w:rPr>
        <w:t>为了应对此类风险，农业系统需要具备相应的韧性。农业系统韧性不仅体现在遭受极端气候冲击时的抗压能力，更体现在通过基础设施投入和技术手段实现快速恢复的能力。这一理论为本文开展粮食生产风险因子识别、韧性水平评估及提升路径研究提供了坚实的理论支撑。</w:t>
      </w:r>
    </w:p>
    <w:p>
      <w:pPr>
        <w:spacing w:before="240" w:after="120" w:line="360" w:lineRule="auto"/>
        <w:jc w:val="left"/>
      </w:pPr>
      <w:r>
        <w:rPr>
          <w:rFonts w:ascii="黑体" w:hAnsi="黑体" w:eastAsia="黑体"/>
          <w:b/>
          <w:color w:val="000000"/>
          <w:sz w:val="24"/>
        </w:rPr>
        <w:t>2. 数据来源与指标体系构建</w:t>
      </w:r>
    </w:p>
    <w:p>
      <w:pPr>
        <w:spacing w:line="360" w:lineRule="auto" w:after="0"/>
        <w:ind w:firstLine="420"/>
      </w:pPr>
      <w:r>
        <w:rPr>
          <w:rFonts w:ascii="宋体" w:hAnsi="宋体" w:eastAsia="宋体"/>
          <w:b w:val="0"/>
          <w:sz w:val="21"/>
        </w:rPr>
        <w:t>本文研究样本覆盖我国31个省份（不含港澳台），时间跨度为2011—2023年。粮食生产系统的风险波动并非单一气象因子能够解释，而是外部自然冲击与系统自身物理韧性相互博弈的结果。为厘清这一复杂的对冲机制，本文构建了一个包含"致灾"与"韧性"双维度的评价指标体系（见表3-1）。</w:t>
      </w:r>
    </w:p>
    <w:p>
      <w:pPr>
        <w:spacing w:line="360" w:lineRule="auto" w:after="0"/>
        <w:ind w:firstLine="420"/>
      </w:pPr>
      <w:r>
        <w:rPr>
          <w:rFonts w:ascii="宋体" w:hAnsi="宋体" w:eastAsia="宋体"/>
          <w:b w:val="0"/>
          <w:sz w:val="21"/>
        </w:rPr>
        <w:t>（1）致灾维度（风险诱发源）。该维度涵盖降水、气温、光照、干旱指数（SPEI）、洪涝占比等指标，反映自然界对农业产出造成的随机扰动能力，是引发单产波动的主要外部因素。</w:t>
      </w:r>
    </w:p>
    <w:p>
      <w:pPr>
        <w:spacing w:line="360" w:lineRule="auto" w:after="0"/>
        <w:ind w:firstLine="420"/>
      </w:pPr>
      <w:r>
        <w:rPr>
          <w:rFonts w:ascii="宋体" w:hAnsi="宋体" w:eastAsia="宋体"/>
          <w:b w:val="0"/>
          <w:sz w:val="21"/>
        </w:rPr>
        <w:t>（2）韧性维度（风险对冲力）。该维度选取农田灌溉率、农机总动力、化肥施用量等主要指标，反映农业系统在受到冲击时的防御能力与恢复潜力。覆盖广泛的灌溉网络能够有效缓解降水骤减引发的旱灾，是衡量系统底层物理抗逆性的关键。</w:t>
      </w:r>
    </w:p>
    <w:p>
      <w:pPr>
        <w:spacing w:line="360" w:lineRule="auto" w:after="0"/>
        <w:ind w:firstLine="420"/>
      </w:pPr>
      <w:r>
        <w:rPr>
          <w:rFonts w:ascii="宋体" w:hAnsi="宋体" w:eastAsia="宋体"/>
          <w:b w:val="0"/>
          <w:sz w:val="21"/>
        </w:rPr>
        <w:t>通过建立这一双维度体系，本文希望在后续的特征归因分析中能够定量区分出哪些风险源于不可控的气候冲击，哪些可以通过人为干预提升防御韧性，从而为制定更具针对性的减损政策提供依据。</w:t>
      </w:r>
    </w:p>
    <w:p>
      <w:pPr>
        <w:spacing w:line="360" w:lineRule="auto" w:after="0"/>
        <w:ind w:firstLine="420"/>
      </w:pPr>
      <w:r>
        <w:rPr>
          <w:rFonts w:ascii="宋体" w:hAnsi="宋体" w:eastAsia="宋体"/>
          <w:b w:val="0"/>
          <w:sz w:val="21"/>
        </w:rPr>
        <w:t>数据来源说明如下：</w:t>
      </w:r>
    </w:p>
    <w:p>
      <w:pPr>
        <w:spacing w:line="360" w:lineRule="auto" w:after="0"/>
        <w:ind w:firstLine="420"/>
      </w:pPr>
      <w:r>
        <w:rPr>
          <w:rFonts w:ascii="宋体" w:hAnsi="宋体" w:eastAsia="宋体"/>
          <w:b w:val="0"/>
          <w:sz w:val="21"/>
        </w:rPr>
        <w:t>• 农业生产数据：粮食单产、农机总动力、化肥施用量、有效灌溉面积等，主要来源于历年《中国统计年鉴》、《中国农村统计年鉴》及各省份统计公报。</w:t>
      </w:r>
    </w:p>
    <w:p>
      <w:pPr>
        <w:spacing w:line="360" w:lineRule="auto" w:after="0"/>
        <w:ind w:firstLine="420"/>
      </w:pPr>
      <w:r>
        <w:rPr>
          <w:rFonts w:ascii="宋体" w:hAnsi="宋体" w:eastAsia="宋体"/>
          <w:b w:val="0"/>
          <w:sz w:val="21"/>
        </w:rPr>
        <w:t>• 气象监测数据：平均气温、累计降水量、日照时数以及干旱指数（SPEI），来源于中国气象数据网（CMDC）提供的省域逐日监测数据计算所得。</w:t>
      </w:r>
    </w:p>
    <w:p>
      <w:pPr>
        <w:spacing w:line="360" w:lineRule="auto" w:after="0"/>
        <w:ind w:firstLine="420"/>
      </w:pPr>
      <w:r>
        <w:rPr>
          <w:rFonts w:ascii="宋体" w:hAnsi="宋体" w:eastAsia="宋体"/>
          <w:b w:val="0"/>
          <w:sz w:val="21"/>
        </w:rPr>
        <w:t>• 致灾因子数据：洪涝灾害占比、受灾面积等，来源于历年《中国水旱灾害公报》。</w:t>
      </w:r>
    </w:p>
    <w:p>
      <w:pPr>
        <w:spacing w:before="120" w:after="120" w:line="360" w:lineRule="auto"/>
        <w:jc w:val="center"/>
      </w:pPr>
      <w:r>
        <w:rPr>
          <w:rFonts w:ascii="黑体" w:hAnsi="黑体" w:eastAsia="黑体"/>
          <w:b/>
          <w:sz w:val="21"/>
        </w:rPr>
        <w:t>表3-1 主要变量定义与指标体系</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417"/>
            <w:vAlign w:val="center"/>
          </w:tcPr>
          <w:p>
            <w:pPr>
              <w:jc w:val="center"/>
            </w:pPr>
            <w:r/>
            <w:r>
              <w:rPr>
                <w:rFonts w:ascii="宋体" w:hAnsi="宋体" w:eastAsia="宋体"/>
                <w:b/>
                <w:sz w:val="20"/>
              </w:rPr>
              <w:t>变量类别</w:t>
            </w:r>
          </w:p>
        </w:tc>
        <w:tc>
          <w:tcPr>
            <w:tcW w:type="dxa" w:w="1247"/>
            <w:vAlign w:val="center"/>
          </w:tcPr>
          <w:p>
            <w:pPr>
              <w:jc w:val="center"/>
            </w:pPr>
            <w:r/>
            <w:r>
              <w:rPr>
                <w:rFonts w:ascii="宋体" w:hAnsi="宋体" w:eastAsia="宋体"/>
                <w:b/>
                <w:sz w:val="20"/>
              </w:rPr>
              <w:t>变量名称</w:t>
            </w:r>
          </w:p>
        </w:tc>
        <w:tc>
          <w:tcPr>
            <w:tcW w:type="dxa" w:w="850"/>
            <w:vAlign w:val="center"/>
          </w:tcPr>
          <w:p>
            <w:pPr>
              <w:jc w:val="center"/>
            </w:pPr>
            <w:r/>
            <w:r>
              <w:rPr>
                <w:rFonts w:ascii="宋体" w:hAnsi="宋体" w:eastAsia="宋体"/>
                <w:b/>
                <w:sz w:val="20"/>
              </w:rPr>
              <w:t>符号</w:t>
            </w:r>
          </w:p>
        </w:tc>
        <w:tc>
          <w:tcPr>
            <w:tcW w:type="dxa" w:w="680"/>
            <w:vAlign w:val="center"/>
          </w:tcPr>
          <w:p>
            <w:pPr>
              <w:jc w:val="center"/>
            </w:pPr>
            <w:r/>
            <w:r>
              <w:rPr>
                <w:rFonts w:ascii="宋体" w:hAnsi="宋体" w:eastAsia="宋体"/>
                <w:b/>
                <w:sz w:val="20"/>
              </w:rPr>
              <w:t>单位</w:t>
            </w:r>
          </w:p>
        </w:tc>
        <w:tc>
          <w:tcPr>
            <w:tcW w:type="dxa" w:w="3175"/>
            <w:vAlign w:val="center"/>
          </w:tcPr>
          <w:p>
            <w:pPr>
              <w:jc w:val="center"/>
            </w:pPr>
            <w:r/>
            <w:r>
              <w:rPr>
                <w:rFonts w:ascii="宋体" w:hAnsi="宋体" w:eastAsia="宋体"/>
                <w:b/>
                <w:sz w:val="20"/>
              </w:rPr>
              <w:t>计算/定义说明</w:t>
            </w:r>
          </w:p>
        </w:tc>
      </w:tr>
      <w:tr>
        <w:tc>
          <w:tcPr>
            <w:tcW w:type="dxa" w:w="1417"/>
            <w:vAlign w:val="center"/>
          </w:tcPr>
          <w:p>
            <w:pPr>
              <w:jc w:val="center"/>
            </w:pPr>
            <w:r/>
            <w:r>
              <w:rPr>
                <w:rFonts w:ascii="宋体" w:hAnsi="宋体" w:eastAsia="宋体"/>
                <w:b w:val="0"/>
                <w:sz w:val="20"/>
              </w:rPr>
              <w:t>被解释变量</w:t>
            </w:r>
          </w:p>
        </w:tc>
        <w:tc>
          <w:tcPr>
            <w:tcW w:type="dxa" w:w="1247"/>
            <w:vAlign w:val="center"/>
          </w:tcPr>
          <w:p>
            <w:pPr>
              <w:jc w:val="center"/>
            </w:pPr>
            <w:r/>
            <w:r>
              <w:rPr>
                <w:rFonts w:ascii="宋体" w:hAnsi="宋体" w:eastAsia="宋体"/>
                <w:b w:val="0"/>
                <w:sz w:val="20"/>
              </w:rPr>
              <w:t>粮食单产风险</w:t>
            </w:r>
          </w:p>
        </w:tc>
        <w:tc>
          <w:tcPr>
            <w:tcW w:type="dxa" w:w="850"/>
            <w:vAlign w:val="center"/>
          </w:tcPr>
          <w:p>
            <w:pPr>
              <w:jc w:val="center"/>
            </w:pPr>
            <w:r/>
            <w:r>
              <w:rPr>
                <w:rFonts w:ascii="宋体" w:hAnsi="宋体" w:eastAsia="宋体"/>
                <w:b w:val="0"/>
                <w:sz w:val="20"/>
              </w:rPr>
              <w:t>Y</w:t>
            </w:r>
          </w:p>
        </w:tc>
        <w:tc>
          <w:tcPr>
            <w:tcW w:type="dxa" w:w="680"/>
            <w:vAlign w:val="center"/>
          </w:tcPr>
          <w:p>
            <w:pPr>
              <w:jc w:val="center"/>
            </w:pPr>
            <w:r/>
            <w:r>
              <w:rPr>
                <w:rFonts w:ascii="宋体" w:hAnsi="宋体" w:eastAsia="宋体"/>
                <w:b w:val="0"/>
                <w:sz w:val="20"/>
              </w:rPr>
              <w:t>—</w:t>
            </w:r>
          </w:p>
        </w:tc>
        <w:tc>
          <w:tcPr>
            <w:tcW w:type="dxa" w:w="3175"/>
            <w:vAlign w:val="center"/>
          </w:tcPr>
          <w:p>
            <w:pPr>
              <w:jc w:val="center"/>
            </w:pPr>
            <w:r/>
            <w:r>
              <w:rPr>
                <w:rFonts w:ascii="宋体" w:hAnsi="宋体" w:eastAsia="宋体"/>
                <w:b w:val="0"/>
                <w:sz w:val="20"/>
              </w:rPr>
              <w:t>经Butterworth低通滤波分离后的单产波动项</w:t>
            </w:r>
          </w:p>
        </w:tc>
      </w:tr>
      <w:tr>
        <w:tc>
          <w:tcPr>
            <w:tcW w:type="dxa" w:w="1417"/>
            <w:vAlign w:val="center"/>
          </w:tcPr>
          <w:p>
            <w:pPr>
              <w:jc w:val="center"/>
            </w:pPr>
            <w:r/>
            <w:r>
              <w:rPr>
                <w:rFonts w:ascii="宋体" w:hAnsi="宋体" w:eastAsia="宋体"/>
                <w:b w:val="0"/>
                <w:sz w:val="20"/>
              </w:rPr>
              <w:t>解释变量：气候因子</w:t>
            </w:r>
          </w:p>
        </w:tc>
        <w:tc>
          <w:tcPr>
            <w:tcW w:type="dxa" w:w="1247"/>
            <w:vAlign w:val="center"/>
          </w:tcPr>
          <w:p>
            <w:pPr>
              <w:jc w:val="center"/>
            </w:pPr>
            <w:r/>
            <w:r>
              <w:rPr>
                <w:rFonts w:ascii="宋体" w:hAnsi="宋体" w:eastAsia="宋体"/>
                <w:b w:val="0"/>
                <w:sz w:val="20"/>
              </w:rPr>
              <w:t>平均气温</w:t>
            </w:r>
          </w:p>
        </w:tc>
        <w:tc>
          <w:tcPr>
            <w:tcW w:type="dxa" w:w="850"/>
            <w:vAlign w:val="center"/>
          </w:tcPr>
          <w:p>
            <w:pPr>
              <w:jc w:val="center"/>
            </w:pPr>
            <w:r/>
            <w:r>
              <w:rPr>
                <w:rFonts w:ascii="宋体" w:hAnsi="宋体" w:eastAsia="宋体"/>
                <w:b w:val="0"/>
                <w:sz w:val="20"/>
              </w:rPr>
              <w:t>Temp</w:t>
            </w:r>
          </w:p>
        </w:tc>
        <w:tc>
          <w:tcPr>
            <w:tcW w:type="dxa" w:w="680"/>
            <w:vAlign w:val="center"/>
          </w:tcPr>
          <w:p>
            <w:pPr>
              <w:jc w:val="center"/>
            </w:pPr>
            <w:r/>
            <w:r>
              <w:rPr>
                <w:rFonts w:ascii="宋体" w:hAnsi="宋体" w:eastAsia="宋体"/>
                <w:b w:val="0"/>
                <w:sz w:val="20"/>
              </w:rPr>
              <w:t>°C</w:t>
            </w:r>
          </w:p>
        </w:tc>
        <w:tc>
          <w:tcPr>
            <w:tcW w:type="dxa" w:w="3175"/>
            <w:vAlign w:val="center"/>
          </w:tcPr>
          <w:p>
            <w:pPr>
              <w:jc w:val="center"/>
            </w:pPr>
            <w:r/>
            <w:r>
              <w:rPr>
                <w:rFonts w:ascii="宋体" w:hAnsi="宋体" w:eastAsia="宋体"/>
                <w:b w:val="0"/>
                <w:sz w:val="20"/>
              </w:rPr>
              <w:t>年度省域平均气温</w:t>
            </w:r>
          </w:p>
        </w:tc>
      </w:tr>
      <w:tr>
        <w:tc>
          <w:tcPr>
            <w:tcW w:type="dxa" w:w="1417"/>
            <w:vAlign w:val="center"/>
          </w:tcPr>
          <w:p>
            <w:pPr>
              <w:jc w:val="center"/>
            </w:pPr>
            <w:r/>
            <w:r>
              <w:rPr>
                <w:rFonts w:ascii="宋体" w:hAnsi="宋体" w:eastAsia="宋体"/>
                <w:b w:val="0"/>
                <w:sz w:val="20"/>
              </w:rPr>
            </w:r>
          </w:p>
        </w:tc>
        <w:tc>
          <w:tcPr>
            <w:tcW w:type="dxa" w:w="1247"/>
            <w:vAlign w:val="center"/>
          </w:tcPr>
          <w:p>
            <w:pPr>
              <w:jc w:val="center"/>
            </w:pPr>
            <w:r/>
            <w:r>
              <w:rPr>
                <w:rFonts w:ascii="宋体" w:hAnsi="宋体" w:eastAsia="宋体"/>
                <w:b w:val="0"/>
                <w:sz w:val="20"/>
              </w:rPr>
              <w:t>干旱指数</w:t>
            </w:r>
          </w:p>
        </w:tc>
        <w:tc>
          <w:tcPr>
            <w:tcW w:type="dxa" w:w="850"/>
            <w:vAlign w:val="center"/>
          </w:tcPr>
          <w:p>
            <w:pPr>
              <w:jc w:val="center"/>
            </w:pPr>
            <w:r/>
            <w:r>
              <w:rPr>
                <w:rFonts w:ascii="宋体" w:hAnsi="宋体" w:eastAsia="宋体"/>
                <w:b w:val="0"/>
                <w:sz w:val="20"/>
              </w:rPr>
              <w:t>SPEI</w:t>
            </w:r>
          </w:p>
        </w:tc>
        <w:tc>
          <w:tcPr>
            <w:tcW w:type="dxa" w:w="680"/>
            <w:vAlign w:val="center"/>
          </w:tcPr>
          <w:p>
            <w:pPr>
              <w:jc w:val="center"/>
            </w:pPr>
            <w:r/>
            <w:r>
              <w:rPr>
                <w:rFonts w:ascii="宋体" w:hAnsi="宋体" w:eastAsia="宋体"/>
                <w:b w:val="0"/>
                <w:sz w:val="20"/>
              </w:rPr>
              <w:t>—</w:t>
            </w:r>
          </w:p>
        </w:tc>
        <w:tc>
          <w:tcPr>
            <w:tcW w:type="dxa" w:w="3175"/>
            <w:vAlign w:val="center"/>
          </w:tcPr>
          <w:p>
            <w:pPr>
              <w:jc w:val="center"/>
            </w:pPr>
            <w:r/>
            <w:r>
              <w:rPr>
                <w:rFonts w:ascii="宋体" w:hAnsi="宋体" w:eastAsia="宋体"/>
                <w:b w:val="0"/>
                <w:sz w:val="20"/>
              </w:rPr>
              <w:t>标准化降水蒸散指数（月均值）</w:t>
            </w:r>
          </w:p>
        </w:tc>
      </w:tr>
      <w:tr>
        <w:tc>
          <w:tcPr>
            <w:tcW w:type="dxa" w:w="1417"/>
            <w:vAlign w:val="center"/>
          </w:tcPr>
          <w:p>
            <w:pPr>
              <w:jc w:val="center"/>
            </w:pPr>
            <w:r/>
            <w:r>
              <w:rPr>
                <w:rFonts w:ascii="宋体" w:hAnsi="宋体" w:eastAsia="宋体"/>
                <w:b w:val="0"/>
                <w:sz w:val="20"/>
              </w:rPr>
            </w:r>
          </w:p>
        </w:tc>
        <w:tc>
          <w:tcPr>
            <w:tcW w:type="dxa" w:w="1247"/>
            <w:vAlign w:val="center"/>
          </w:tcPr>
          <w:p>
            <w:pPr>
              <w:jc w:val="center"/>
            </w:pPr>
            <w:r/>
            <w:r>
              <w:rPr>
                <w:rFonts w:ascii="宋体" w:hAnsi="宋体" w:eastAsia="宋体"/>
                <w:b w:val="0"/>
                <w:sz w:val="20"/>
              </w:rPr>
              <w:t>降水量</w:t>
            </w:r>
          </w:p>
        </w:tc>
        <w:tc>
          <w:tcPr>
            <w:tcW w:type="dxa" w:w="850"/>
            <w:vAlign w:val="center"/>
          </w:tcPr>
          <w:p>
            <w:pPr>
              <w:jc w:val="center"/>
            </w:pPr>
            <w:r/>
            <w:r>
              <w:rPr>
                <w:rFonts w:ascii="宋体" w:hAnsi="宋体" w:eastAsia="宋体"/>
                <w:b w:val="0"/>
                <w:sz w:val="20"/>
              </w:rPr>
              <w:t>Prec</w:t>
            </w:r>
          </w:p>
        </w:tc>
        <w:tc>
          <w:tcPr>
            <w:tcW w:type="dxa" w:w="680"/>
            <w:vAlign w:val="center"/>
          </w:tcPr>
          <w:p>
            <w:pPr>
              <w:jc w:val="center"/>
            </w:pPr>
            <w:r/>
            <w:r>
              <w:rPr>
                <w:rFonts w:ascii="宋体" w:hAnsi="宋体" w:eastAsia="宋体"/>
                <w:b w:val="0"/>
                <w:sz w:val="20"/>
              </w:rPr>
              <w:t>mm</w:t>
            </w:r>
          </w:p>
        </w:tc>
        <w:tc>
          <w:tcPr>
            <w:tcW w:type="dxa" w:w="3175"/>
            <w:vAlign w:val="center"/>
          </w:tcPr>
          <w:p>
            <w:pPr>
              <w:jc w:val="center"/>
            </w:pPr>
            <w:r/>
            <w:r>
              <w:rPr>
                <w:rFonts w:ascii="宋体" w:hAnsi="宋体" w:eastAsia="宋体"/>
                <w:b w:val="0"/>
                <w:sz w:val="20"/>
              </w:rPr>
              <w:t>年度累计降水量</w:t>
            </w:r>
          </w:p>
        </w:tc>
      </w:tr>
      <w:tr>
        <w:tc>
          <w:tcPr>
            <w:tcW w:type="dxa" w:w="1417"/>
            <w:vAlign w:val="center"/>
          </w:tcPr>
          <w:p>
            <w:pPr>
              <w:jc w:val="center"/>
            </w:pPr>
            <w:r/>
            <w:r>
              <w:rPr>
                <w:rFonts w:ascii="宋体" w:hAnsi="宋体" w:eastAsia="宋体"/>
                <w:b w:val="0"/>
                <w:sz w:val="20"/>
              </w:rPr>
            </w:r>
          </w:p>
        </w:tc>
        <w:tc>
          <w:tcPr>
            <w:tcW w:type="dxa" w:w="1247"/>
            <w:vAlign w:val="center"/>
          </w:tcPr>
          <w:p>
            <w:pPr>
              <w:jc w:val="center"/>
            </w:pPr>
            <w:r/>
            <w:r>
              <w:rPr>
                <w:rFonts w:ascii="宋体" w:hAnsi="宋体" w:eastAsia="宋体"/>
                <w:b w:val="0"/>
                <w:sz w:val="20"/>
              </w:rPr>
              <w:t>日照时数</w:t>
            </w:r>
          </w:p>
        </w:tc>
        <w:tc>
          <w:tcPr>
            <w:tcW w:type="dxa" w:w="850"/>
            <w:vAlign w:val="center"/>
          </w:tcPr>
          <w:p>
            <w:pPr>
              <w:jc w:val="center"/>
            </w:pPr>
            <w:r/>
            <w:r>
              <w:rPr>
                <w:rFonts w:ascii="宋体" w:hAnsi="宋体" w:eastAsia="宋体"/>
                <w:b w:val="0"/>
                <w:sz w:val="20"/>
              </w:rPr>
              <w:t>Sun</w:t>
            </w:r>
          </w:p>
        </w:tc>
        <w:tc>
          <w:tcPr>
            <w:tcW w:type="dxa" w:w="680"/>
            <w:vAlign w:val="center"/>
          </w:tcPr>
          <w:p>
            <w:pPr>
              <w:jc w:val="center"/>
            </w:pPr>
            <w:r/>
            <w:r>
              <w:rPr>
                <w:rFonts w:ascii="宋体" w:hAnsi="宋体" w:eastAsia="宋体"/>
                <w:b w:val="0"/>
                <w:sz w:val="20"/>
              </w:rPr>
              <w:t>h</w:t>
            </w:r>
          </w:p>
        </w:tc>
        <w:tc>
          <w:tcPr>
            <w:tcW w:type="dxa" w:w="3175"/>
            <w:vAlign w:val="center"/>
          </w:tcPr>
          <w:p>
            <w:pPr>
              <w:jc w:val="center"/>
            </w:pPr>
            <w:r/>
            <w:r>
              <w:rPr>
                <w:rFonts w:ascii="宋体" w:hAnsi="宋体" w:eastAsia="宋体"/>
                <w:b w:val="0"/>
                <w:sz w:val="20"/>
              </w:rPr>
              <w:t>年度累计日照总时长</w:t>
            </w:r>
          </w:p>
        </w:tc>
      </w:tr>
      <w:tr>
        <w:tc>
          <w:tcPr>
            <w:tcW w:type="dxa" w:w="1417"/>
            <w:vAlign w:val="center"/>
          </w:tcPr>
          <w:p>
            <w:pPr>
              <w:jc w:val="center"/>
            </w:pPr>
            <w:r/>
            <w:r>
              <w:rPr>
                <w:rFonts w:ascii="宋体" w:hAnsi="宋体" w:eastAsia="宋体"/>
                <w:b w:val="0"/>
                <w:sz w:val="20"/>
              </w:rPr>
              <w:t>解释变量：致灾因子</w:t>
            </w:r>
          </w:p>
        </w:tc>
        <w:tc>
          <w:tcPr>
            <w:tcW w:type="dxa" w:w="1247"/>
            <w:vAlign w:val="center"/>
          </w:tcPr>
          <w:p>
            <w:pPr>
              <w:jc w:val="center"/>
            </w:pPr>
            <w:r/>
            <w:r>
              <w:rPr>
                <w:rFonts w:ascii="宋体" w:hAnsi="宋体" w:eastAsia="宋体"/>
                <w:b w:val="0"/>
                <w:sz w:val="20"/>
              </w:rPr>
              <w:t>洪涝占比</w:t>
            </w:r>
          </w:p>
        </w:tc>
        <w:tc>
          <w:tcPr>
            <w:tcW w:type="dxa" w:w="850"/>
            <w:vAlign w:val="center"/>
          </w:tcPr>
          <w:p>
            <w:pPr>
              <w:jc w:val="center"/>
            </w:pPr>
            <w:r/>
            <w:r>
              <w:rPr>
                <w:rFonts w:ascii="宋体" w:hAnsi="宋体" w:eastAsia="宋体"/>
                <w:b w:val="0"/>
                <w:sz w:val="20"/>
              </w:rPr>
              <w:t>Flood_R</w:t>
            </w:r>
          </w:p>
        </w:tc>
        <w:tc>
          <w:tcPr>
            <w:tcW w:type="dxa" w:w="680"/>
            <w:vAlign w:val="center"/>
          </w:tcPr>
          <w:p>
            <w:pPr>
              <w:jc w:val="center"/>
            </w:pPr>
            <w:r/>
            <w:r>
              <w:rPr>
                <w:rFonts w:ascii="宋体" w:hAnsi="宋体" w:eastAsia="宋体"/>
                <w:b w:val="0"/>
                <w:sz w:val="20"/>
              </w:rPr>
              <w:t>%</w:t>
            </w:r>
          </w:p>
        </w:tc>
        <w:tc>
          <w:tcPr>
            <w:tcW w:type="dxa" w:w="3175"/>
            <w:vAlign w:val="center"/>
          </w:tcPr>
          <w:p>
            <w:pPr>
              <w:jc w:val="center"/>
            </w:pPr>
            <w:r/>
            <w:r>
              <w:rPr>
                <w:rFonts w:ascii="宋体" w:hAnsi="宋体" w:eastAsia="宋体"/>
                <w:b w:val="0"/>
                <w:sz w:val="20"/>
              </w:rPr>
              <w:t>洪涝受灾面积占总受灾面积比重</w:t>
            </w:r>
          </w:p>
        </w:tc>
      </w:tr>
      <w:tr>
        <w:tc>
          <w:tcPr>
            <w:tcW w:type="dxa" w:w="1417"/>
            <w:vAlign w:val="center"/>
          </w:tcPr>
          <w:p>
            <w:pPr>
              <w:jc w:val="center"/>
            </w:pPr>
            <w:r/>
            <w:r>
              <w:rPr>
                <w:rFonts w:ascii="宋体" w:hAnsi="宋体" w:eastAsia="宋体"/>
                <w:b w:val="0"/>
                <w:sz w:val="20"/>
              </w:rPr>
            </w:r>
          </w:p>
        </w:tc>
        <w:tc>
          <w:tcPr>
            <w:tcW w:type="dxa" w:w="1247"/>
            <w:vAlign w:val="center"/>
          </w:tcPr>
          <w:p>
            <w:pPr>
              <w:jc w:val="center"/>
            </w:pPr>
            <w:r/>
            <w:r>
              <w:rPr>
                <w:rFonts w:ascii="宋体" w:hAnsi="宋体" w:eastAsia="宋体"/>
                <w:b w:val="0"/>
                <w:sz w:val="20"/>
              </w:rPr>
              <w:t>旱/水灾面积</w:t>
            </w:r>
          </w:p>
        </w:tc>
        <w:tc>
          <w:tcPr>
            <w:tcW w:type="dxa" w:w="850"/>
            <w:vAlign w:val="center"/>
          </w:tcPr>
          <w:p>
            <w:pPr>
              <w:jc w:val="center"/>
            </w:pPr>
            <w:r/>
            <w:r>
              <w:rPr>
                <w:rFonts w:ascii="宋体" w:hAnsi="宋体" w:eastAsia="宋体"/>
                <w:b w:val="0"/>
                <w:sz w:val="20"/>
              </w:rPr>
              <w:t>Area</w:t>
            </w:r>
          </w:p>
        </w:tc>
        <w:tc>
          <w:tcPr>
            <w:tcW w:type="dxa" w:w="680"/>
            <w:vAlign w:val="center"/>
          </w:tcPr>
          <w:p>
            <w:pPr>
              <w:jc w:val="center"/>
            </w:pPr>
            <w:r/>
            <w:r>
              <w:rPr>
                <w:rFonts w:ascii="宋体" w:hAnsi="宋体" w:eastAsia="宋体"/>
                <w:b w:val="0"/>
                <w:sz w:val="20"/>
              </w:rPr>
              <w:t>khm²</w:t>
            </w:r>
          </w:p>
        </w:tc>
        <w:tc>
          <w:tcPr>
            <w:tcW w:type="dxa" w:w="3175"/>
            <w:vAlign w:val="center"/>
          </w:tcPr>
          <w:p>
            <w:pPr>
              <w:jc w:val="center"/>
            </w:pPr>
            <w:r/>
            <w:r>
              <w:rPr>
                <w:rFonts w:ascii="宋体" w:hAnsi="宋体" w:eastAsia="宋体"/>
                <w:b w:val="0"/>
                <w:sz w:val="20"/>
              </w:rPr>
              <w:t>实际受灾、成灾面积统计值</w:t>
            </w:r>
          </w:p>
        </w:tc>
      </w:tr>
      <w:tr>
        <w:tc>
          <w:tcPr>
            <w:tcW w:type="dxa" w:w="1417"/>
            <w:vAlign w:val="center"/>
          </w:tcPr>
          <w:p>
            <w:pPr>
              <w:jc w:val="center"/>
            </w:pPr>
            <w:r/>
            <w:r>
              <w:rPr>
                <w:rFonts w:ascii="宋体" w:hAnsi="宋体" w:eastAsia="宋体"/>
                <w:b w:val="0"/>
                <w:sz w:val="20"/>
              </w:rPr>
              <w:t>解释变量：生产韧性</w:t>
            </w:r>
          </w:p>
        </w:tc>
        <w:tc>
          <w:tcPr>
            <w:tcW w:type="dxa" w:w="1247"/>
            <w:vAlign w:val="center"/>
          </w:tcPr>
          <w:p>
            <w:pPr>
              <w:jc w:val="center"/>
            </w:pPr>
            <w:r/>
            <w:r>
              <w:rPr>
                <w:rFonts w:ascii="宋体" w:hAnsi="宋体" w:eastAsia="宋体"/>
                <w:b w:val="0"/>
                <w:sz w:val="20"/>
              </w:rPr>
              <w:t>灌溉率</w:t>
            </w:r>
          </w:p>
        </w:tc>
        <w:tc>
          <w:tcPr>
            <w:tcW w:type="dxa" w:w="850"/>
            <w:vAlign w:val="center"/>
          </w:tcPr>
          <w:p>
            <w:pPr>
              <w:jc w:val="center"/>
            </w:pPr>
            <w:r/>
            <w:r>
              <w:rPr>
                <w:rFonts w:ascii="宋体" w:hAnsi="宋体" w:eastAsia="宋体"/>
                <w:b w:val="0"/>
                <w:sz w:val="20"/>
              </w:rPr>
              <w:t>Irr</w:t>
            </w:r>
          </w:p>
        </w:tc>
        <w:tc>
          <w:tcPr>
            <w:tcW w:type="dxa" w:w="680"/>
            <w:vAlign w:val="center"/>
          </w:tcPr>
          <w:p>
            <w:pPr>
              <w:jc w:val="center"/>
            </w:pPr>
            <w:r/>
            <w:r>
              <w:rPr>
                <w:rFonts w:ascii="宋体" w:hAnsi="宋体" w:eastAsia="宋体"/>
                <w:b w:val="0"/>
                <w:sz w:val="20"/>
              </w:rPr>
              <w:t>%</w:t>
            </w:r>
          </w:p>
        </w:tc>
        <w:tc>
          <w:tcPr>
            <w:tcW w:type="dxa" w:w="3175"/>
            <w:vAlign w:val="center"/>
          </w:tcPr>
          <w:p>
            <w:pPr>
              <w:jc w:val="center"/>
            </w:pPr>
            <w:r/>
            <w:r>
              <w:rPr>
                <w:rFonts w:ascii="宋体" w:hAnsi="宋体" w:eastAsia="宋体"/>
                <w:b w:val="0"/>
                <w:sz w:val="20"/>
              </w:rPr>
              <w:t>有效灌溉面积占耕地面积比重</w:t>
            </w:r>
          </w:p>
        </w:tc>
      </w:tr>
      <w:tr>
        <w:tc>
          <w:tcPr>
            <w:tcW w:type="dxa" w:w="1417"/>
            <w:vAlign w:val="center"/>
          </w:tcPr>
          <w:p>
            <w:pPr>
              <w:jc w:val="center"/>
            </w:pPr>
            <w:r/>
            <w:r>
              <w:rPr>
                <w:rFonts w:ascii="宋体" w:hAnsi="宋体" w:eastAsia="宋体"/>
                <w:b w:val="0"/>
                <w:sz w:val="20"/>
              </w:rPr>
            </w:r>
          </w:p>
        </w:tc>
        <w:tc>
          <w:tcPr>
            <w:tcW w:type="dxa" w:w="1247"/>
            <w:vAlign w:val="center"/>
          </w:tcPr>
          <w:p>
            <w:pPr>
              <w:jc w:val="center"/>
            </w:pPr>
            <w:r/>
            <w:r>
              <w:rPr>
                <w:rFonts w:ascii="宋体" w:hAnsi="宋体" w:eastAsia="宋体"/>
                <w:b w:val="0"/>
                <w:sz w:val="20"/>
              </w:rPr>
              <w:t>农机总动力</w:t>
            </w:r>
          </w:p>
        </w:tc>
        <w:tc>
          <w:tcPr>
            <w:tcW w:type="dxa" w:w="850"/>
            <w:vAlign w:val="center"/>
          </w:tcPr>
          <w:p>
            <w:pPr>
              <w:jc w:val="center"/>
            </w:pPr>
            <w:r/>
            <w:r>
              <w:rPr>
                <w:rFonts w:ascii="宋体" w:hAnsi="宋体" w:eastAsia="宋体"/>
                <w:b w:val="0"/>
                <w:sz w:val="20"/>
              </w:rPr>
              <w:t>Mech</w:t>
            </w:r>
          </w:p>
        </w:tc>
        <w:tc>
          <w:tcPr>
            <w:tcW w:type="dxa" w:w="680"/>
            <w:vAlign w:val="center"/>
          </w:tcPr>
          <w:p>
            <w:pPr>
              <w:jc w:val="center"/>
            </w:pPr>
            <w:r/>
            <w:r>
              <w:rPr>
                <w:rFonts w:ascii="宋体" w:hAnsi="宋体" w:eastAsia="宋体"/>
                <w:b w:val="0"/>
                <w:sz w:val="20"/>
              </w:rPr>
              <w:t>kW</w:t>
            </w:r>
          </w:p>
        </w:tc>
        <w:tc>
          <w:tcPr>
            <w:tcW w:type="dxa" w:w="3175"/>
            <w:vAlign w:val="center"/>
          </w:tcPr>
          <w:p>
            <w:pPr>
              <w:jc w:val="center"/>
            </w:pPr>
            <w:r/>
            <w:r>
              <w:rPr>
                <w:rFonts w:ascii="宋体" w:hAnsi="宋体" w:eastAsia="宋体"/>
                <w:b w:val="0"/>
                <w:sz w:val="20"/>
              </w:rPr>
              <w:t>衡量农业机械化与现代化水平指标</w:t>
            </w:r>
          </w:p>
        </w:tc>
      </w:tr>
      <w:tr>
        <w:tc>
          <w:tcPr>
            <w:tcW w:type="dxa" w:w="1417"/>
            <w:vAlign w:val="center"/>
          </w:tcPr>
          <w:p>
            <w:pPr>
              <w:jc w:val="center"/>
            </w:pPr>
            <w:r/>
            <w:r>
              <w:rPr>
                <w:rFonts w:ascii="宋体" w:hAnsi="宋体" w:eastAsia="宋体"/>
                <w:b w:val="0"/>
                <w:sz w:val="20"/>
              </w:rPr>
            </w:r>
          </w:p>
        </w:tc>
        <w:tc>
          <w:tcPr>
            <w:tcW w:type="dxa" w:w="1247"/>
            <w:vAlign w:val="center"/>
          </w:tcPr>
          <w:p>
            <w:pPr>
              <w:jc w:val="center"/>
            </w:pPr>
            <w:r/>
            <w:r>
              <w:rPr>
                <w:rFonts w:ascii="宋体" w:hAnsi="宋体" w:eastAsia="宋体"/>
                <w:b w:val="0"/>
                <w:sz w:val="20"/>
              </w:rPr>
              <w:t>化肥施用量</w:t>
            </w:r>
          </w:p>
        </w:tc>
        <w:tc>
          <w:tcPr>
            <w:tcW w:type="dxa" w:w="850"/>
            <w:vAlign w:val="center"/>
          </w:tcPr>
          <w:p>
            <w:pPr>
              <w:jc w:val="center"/>
            </w:pPr>
            <w:r/>
            <w:r>
              <w:rPr>
                <w:rFonts w:ascii="宋体" w:hAnsi="宋体" w:eastAsia="宋体"/>
                <w:b w:val="0"/>
                <w:sz w:val="20"/>
              </w:rPr>
              <w:t>Fert</w:t>
            </w:r>
          </w:p>
        </w:tc>
        <w:tc>
          <w:tcPr>
            <w:tcW w:type="dxa" w:w="680"/>
            <w:vAlign w:val="center"/>
          </w:tcPr>
          <w:p>
            <w:pPr>
              <w:jc w:val="center"/>
            </w:pPr>
            <w:r/>
            <w:r>
              <w:rPr>
                <w:rFonts w:ascii="宋体" w:hAnsi="宋体" w:eastAsia="宋体"/>
                <w:b w:val="0"/>
                <w:sz w:val="20"/>
              </w:rPr>
              <w:t>t</w:t>
            </w:r>
          </w:p>
        </w:tc>
        <w:tc>
          <w:tcPr>
            <w:tcW w:type="dxa" w:w="3175"/>
            <w:vAlign w:val="center"/>
          </w:tcPr>
          <w:p>
            <w:pPr>
              <w:jc w:val="center"/>
            </w:pPr>
            <w:r/>
            <w:r>
              <w:rPr>
                <w:rFonts w:ascii="宋体" w:hAnsi="宋体" w:eastAsia="宋体"/>
                <w:b w:val="0"/>
                <w:sz w:val="20"/>
              </w:rPr>
              <w:t>衡量农业生产投入强度的指标</w:t>
            </w:r>
          </w:p>
        </w:tc>
      </w:tr>
    </w:tbl>
    <w:p>
      <w:pPr>
        <w:spacing w:before="240" w:after="120" w:line="360" w:lineRule="auto"/>
        <w:jc w:val="left"/>
      </w:pPr>
      <w:r>
        <w:rPr>
          <w:rFonts w:ascii="黑体" w:hAnsi="黑体" w:eastAsia="黑体"/>
          <w:b/>
          <w:color w:val="000000"/>
          <w:sz w:val="28"/>
        </w:rPr>
        <w:t>（二）数据预处理与描述性统计</w:t>
      </w:r>
    </w:p>
    <w:p>
      <w:pPr>
        <w:spacing w:before="240" w:after="120" w:line="360" w:lineRule="auto"/>
        <w:jc w:val="left"/>
      </w:pPr>
      <w:r>
        <w:rPr>
          <w:rFonts w:ascii="黑体" w:hAnsi="黑体" w:eastAsia="黑体"/>
          <w:b/>
          <w:color w:val="000000"/>
          <w:sz w:val="24"/>
        </w:rPr>
        <w:t>1. 数据清洗与标准化</w:t>
      </w:r>
    </w:p>
    <w:p>
      <w:pPr>
        <w:spacing w:line="360" w:lineRule="auto" w:after="0"/>
        <w:ind w:firstLine="420"/>
      </w:pPr>
      <w:r>
        <w:rPr>
          <w:rFonts w:ascii="宋体" w:hAnsi="宋体" w:eastAsia="宋体"/>
          <w:b w:val="0"/>
          <w:sz w:val="21"/>
        </w:rPr>
        <w:t>为消除原始统计数据中的噪声、量纲差异及非平稳性对模型的影响，本研究在建模前对数据进行了精细化预处理，具体流程如下：</w:t>
      </w:r>
    </w:p>
    <w:p>
      <w:pPr>
        <w:spacing w:line="360" w:lineRule="auto" w:after="0"/>
        <w:ind w:firstLine="420"/>
      </w:pPr>
      <w:r>
        <w:rPr>
          <w:rFonts w:ascii="宋体" w:hAnsi="宋体" w:eastAsia="宋体"/>
          <w:b w:val="0"/>
          <w:sz w:val="21"/>
        </w:rPr>
        <w:t>①数据清洗与缺失值补全</w:t>
      </w:r>
    </w:p>
    <w:p>
      <w:pPr>
        <w:spacing w:line="360" w:lineRule="auto" w:after="0"/>
        <w:ind w:firstLine="420"/>
      </w:pPr>
      <w:r>
        <w:rPr>
          <w:rFonts w:ascii="宋体" w:hAnsi="宋体" w:eastAsia="宋体"/>
          <w:b w:val="0"/>
          <w:sz w:val="21"/>
        </w:rPr>
        <w:t>首先对全国31个省份的面板数据进行完整性检查。针对个别年份存在的随机缺失项，本文采用线性插值法（Linear Interpolation）进行平滑补齐，确保时空序列的连续性，为后续深度学习模型的长序列训练奠定数据基础。</w:t>
      </w:r>
    </w:p>
    <w:p>
      <w:pPr>
        <w:spacing w:line="360" w:lineRule="auto" w:after="0"/>
        <w:ind w:firstLine="420"/>
      </w:pPr>
      <w:r>
        <w:rPr>
          <w:rFonts w:ascii="宋体" w:hAnsi="宋体" w:eastAsia="宋体"/>
          <w:b w:val="0"/>
          <w:sz w:val="21"/>
        </w:rPr>
        <w:t>②粮食单产去趋势化与降噪处理</w:t>
      </w:r>
    </w:p>
    <w:p>
      <w:pPr>
        <w:spacing w:line="360" w:lineRule="auto" w:after="0"/>
        <w:ind w:firstLine="420"/>
      </w:pPr>
      <w:r>
        <w:rPr>
          <w:rFonts w:ascii="宋体" w:hAnsi="宋体" w:eastAsia="宋体"/>
          <w:b w:val="0"/>
          <w:sz w:val="21"/>
        </w:rPr>
        <w:t>由于粮食单产受技术进步影响呈现长期增长趋势，为精准刻画极端气候带来的"随机风险"，本研究采用Butterworth低通滤波器对原始单产序列进行分解。通过设定合理截止频率，剥离代表技术进步的长期分量，提取代表气候波动的随机残差项作为风险指标Y。随后，对该序列进行二阶低通滤波平滑，在剔除随机采集误差的同时，完整保留核心的风险波动特征，显著提升了模型对极端事件的识别灵敏度。</w:t>
      </w:r>
    </w:p>
    <w:p>
      <w:pPr>
        <w:spacing w:line="360" w:lineRule="auto" w:after="0"/>
        <w:ind w:firstLine="420"/>
      </w:pPr>
      <w:r>
        <w:rPr>
          <w:rFonts w:ascii="宋体" w:hAnsi="宋体" w:eastAsia="宋体"/>
          <w:b w:val="0"/>
          <w:sz w:val="21"/>
        </w:rPr>
        <w:t>③特征量纲标准化</w:t>
      </w:r>
    </w:p>
    <w:p>
      <w:pPr>
        <w:spacing w:line="360" w:lineRule="auto" w:after="0"/>
        <w:ind w:firstLine="420"/>
      </w:pPr>
      <w:r>
        <w:rPr>
          <w:rFonts w:ascii="宋体" w:hAnsi="宋体" w:eastAsia="宋体"/>
          <w:b w:val="0"/>
          <w:sz w:val="21"/>
        </w:rPr>
        <w:t>考虑到气象、致灾及社会经济因子间量纲差异显著，为消除量级影响并加快模型收敛，本文对所有解释变量进行了Z-score标准化处理。处理后的数据均值为0、标准差为1，计算公式如下：</w:t>
      </w:r>
    </w:p>
    <w:p>
      <w:pPr>
        <w:spacing w:before="120" w:after="120"/>
        <w:jc w:val="center"/>
      </w:pPr>
      <w:r>
        <w:rPr>
          <w:rFonts w:ascii="Times New Roman" w:hAnsi="Times New Roman" w:eastAsia="Times New Roman"/>
          <w:b w:val="0"/>
          <w:sz w:val="22"/>
        </w:rPr>
        <w:t>x' = ( x − μ ) / σ</w:t>
      </w:r>
    </w:p>
    <w:p>
      <w:pPr>
        <w:spacing w:line="360" w:lineRule="auto" w:after="0"/>
        <w:ind w:firstLine="420"/>
      </w:pPr>
      <w:r>
        <w:rPr>
          <w:rFonts w:ascii="宋体" w:hAnsi="宋体" w:eastAsia="宋体"/>
          <w:b w:val="0"/>
          <w:sz w:val="21"/>
        </w:rPr>
        <w:t>其中，x为原始观测值，μ为该变量的样本均值，σ为样本标准差。经过上述预处理，数据已具备良好的平稳性与一致性，可用于后续的因子识别与风险预测研究。</w:t>
      </w:r>
    </w:p>
    <w:p>
      <w:pPr>
        <w:spacing w:before="240" w:after="120" w:line="360" w:lineRule="auto"/>
        <w:jc w:val="left"/>
      </w:pPr>
      <w:r>
        <w:rPr>
          <w:rFonts w:ascii="黑体" w:hAnsi="黑体" w:eastAsia="黑体"/>
          <w:b/>
          <w:color w:val="000000"/>
          <w:sz w:val="24"/>
        </w:rPr>
        <w:t>2. 样本变量特征分析</w:t>
      </w:r>
    </w:p>
    <w:p>
      <w:pPr>
        <w:spacing w:line="360" w:lineRule="auto" w:after="0"/>
        <w:ind w:firstLine="420"/>
      </w:pPr>
      <w:r>
        <w:rPr>
          <w:rFonts w:ascii="宋体" w:hAnsi="宋体" w:eastAsia="宋体"/>
          <w:b w:val="0"/>
          <w:sz w:val="21"/>
        </w:rPr>
        <w:t>根据描述性统计结果（见表3-2）我国粮食单产风险存在显著差异。</w:t>
      </w:r>
    </w:p>
    <w:p>
      <w:pPr>
        <w:spacing w:before="120" w:after="120" w:line="360" w:lineRule="auto"/>
        <w:jc w:val="center"/>
      </w:pPr>
      <w:r>
        <w:rPr>
          <w:rFonts w:ascii="黑体" w:hAnsi="黑体" w:eastAsia="黑体"/>
          <w:b/>
          <w:sz w:val="21"/>
        </w:rPr>
        <w:t>表3-2 粮食生产风险识别模型主要变量的描述性统计</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417"/>
            <w:vAlign w:val="center"/>
          </w:tcPr>
          <w:p>
            <w:pPr>
              <w:jc w:val="center"/>
            </w:pPr>
            <w:r/>
            <w:r>
              <w:rPr>
                <w:rFonts w:ascii="宋体" w:hAnsi="宋体" w:eastAsia="宋体"/>
                <w:b/>
                <w:sz w:val="20"/>
              </w:rPr>
              <w:t>变量名称</w:t>
            </w:r>
          </w:p>
        </w:tc>
        <w:tc>
          <w:tcPr>
            <w:tcW w:type="dxa" w:w="907"/>
            <w:vAlign w:val="center"/>
          </w:tcPr>
          <w:p>
            <w:pPr>
              <w:jc w:val="center"/>
            </w:pPr>
            <w:r/>
            <w:r>
              <w:rPr>
                <w:rFonts w:ascii="宋体" w:hAnsi="宋体" w:eastAsia="宋体"/>
                <w:b/>
                <w:sz w:val="20"/>
              </w:rPr>
              <w:t>符号</w:t>
            </w:r>
          </w:p>
        </w:tc>
        <w:tc>
          <w:tcPr>
            <w:tcW w:type="dxa" w:w="850"/>
            <w:vAlign w:val="center"/>
          </w:tcPr>
          <w:p>
            <w:pPr>
              <w:jc w:val="center"/>
            </w:pPr>
            <w:r/>
            <w:r>
              <w:rPr>
                <w:rFonts w:ascii="宋体" w:hAnsi="宋体" w:eastAsia="宋体"/>
                <w:b/>
                <w:sz w:val="20"/>
              </w:rPr>
              <w:t>样本量</w:t>
            </w:r>
          </w:p>
        </w:tc>
        <w:tc>
          <w:tcPr>
            <w:tcW w:type="dxa" w:w="907"/>
            <w:vAlign w:val="center"/>
          </w:tcPr>
          <w:p>
            <w:pPr>
              <w:jc w:val="center"/>
            </w:pPr>
            <w:r/>
            <w:r>
              <w:rPr>
                <w:rFonts w:ascii="宋体" w:hAnsi="宋体" w:eastAsia="宋体"/>
                <w:b/>
                <w:sz w:val="20"/>
              </w:rPr>
              <w:t>均值</w:t>
            </w:r>
          </w:p>
        </w:tc>
        <w:tc>
          <w:tcPr>
            <w:tcW w:type="dxa" w:w="907"/>
            <w:vAlign w:val="center"/>
          </w:tcPr>
          <w:p>
            <w:pPr>
              <w:jc w:val="center"/>
            </w:pPr>
            <w:r/>
            <w:r>
              <w:rPr>
                <w:rFonts w:ascii="宋体" w:hAnsi="宋体" w:eastAsia="宋体"/>
                <w:b/>
                <w:sz w:val="20"/>
              </w:rPr>
              <w:t>标准差</w:t>
            </w:r>
          </w:p>
        </w:tc>
        <w:tc>
          <w:tcPr>
            <w:tcW w:type="dxa" w:w="907"/>
            <w:vAlign w:val="center"/>
          </w:tcPr>
          <w:p>
            <w:pPr>
              <w:jc w:val="center"/>
            </w:pPr>
            <w:r/>
            <w:r>
              <w:rPr>
                <w:rFonts w:ascii="宋体" w:hAnsi="宋体" w:eastAsia="宋体"/>
                <w:b/>
                <w:sz w:val="20"/>
              </w:rPr>
              <w:t>最小值</w:t>
            </w:r>
          </w:p>
        </w:tc>
        <w:tc>
          <w:tcPr>
            <w:tcW w:type="dxa" w:w="907"/>
            <w:vAlign w:val="center"/>
          </w:tcPr>
          <w:p>
            <w:pPr>
              <w:jc w:val="center"/>
            </w:pPr>
            <w:r/>
            <w:r>
              <w:rPr>
                <w:rFonts w:ascii="宋体" w:hAnsi="宋体" w:eastAsia="宋体"/>
                <w:b/>
                <w:sz w:val="20"/>
              </w:rPr>
              <w:t>最大值</w:t>
            </w:r>
          </w:p>
        </w:tc>
      </w:tr>
      <w:tr>
        <w:tc>
          <w:tcPr>
            <w:tcW w:type="dxa" w:w="1417"/>
            <w:vAlign w:val="center"/>
          </w:tcPr>
          <w:p>
            <w:pPr>
              <w:jc w:val="center"/>
            </w:pPr>
            <w:r/>
            <w:r>
              <w:rPr>
                <w:rFonts w:ascii="宋体" w:hAnsi="宋体" w:eastAsia="宋体"/>
                <w:b w:val="0"/>
                <w:sz w:val="20"/>
              </w:rPr>
              <w:t>粮食单产风险</w:t>
            </w:r>
          </w:p>
        </w:tc>
        <w:tc>
          <w:tcPr>
            <w:tcW w:type="dxa" w:w="907"/>
            <w:vAlign w:val="center"/>
          </w:tcPr>
          <w:p>
            <w:pPr>
              <w:jc w:val="center"/>
            </w:pPr>
            <w:r/>
            <w:r>
              <w:rPr>
                <w:rFonts w:ascii="宋体" w:hAnsi="宋体" w:eastAsia="宋体"/>
                <w:b w:val="0"/>
                <w:sz w:val="20"/>
              </w:rPr>
              <w:t>Y</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0.023</w:t>
            </w:r>
          </w:p>
        </w:tc>
        <w:tc>
          <w:tcPr>
            <w:tcW w:type="dxa" w:w="907"/>
            <w:vAlign w:val="center"/>
          </w:tcPr>
          <w:p>
            <w:pPr>
              <w:jc w:val="center"/>
            </w:pPr>
            <w:r/>
            <w:r>
              <w:rPr>
                <w:rFonts w:ascii="宋体" w:hAnsi="宋体" w:eastAsia="宋体"/>
                <w:b w:val="0"/>
                <w:sz w:val="20"/>
              </w:rPr>
              <w:t>0.007</w:t>
            </w:r>
          </w:p>
        </w:tc>
        <w:tc>
          <w:tcPr>
            <w:tcW w:type="dxa" w:w="907"/>
            <w:vAlign w:val="center"/>
          </w:tcPr>
          <w:p>
            <w:pPr>
              <w:jc w:val="center"/>
            </w:pPr>
            <w:r/>
            <w:r>
              <w:rPr>
                <w:rFonts w:ascii="宋体" w:hAnsi="宋体" w:eastAsia="宋体"/>
                <w:b w:val="0"/>
                <w:sz w:val="20"/>
              </w:rPr>
              <w:t>0.011</w:t>
            </w:r>
          </w:p>
        </w:tc>
        <w:tc>
          <w:tcPr>
            <w:tcW w:type="dxa" w:w="907"/>
            <w:vAlign w:val="center"/>
          </w:tcPr>
          <w:p>
            <w:pPr>
              <w:jc w:val="center"/>
            </w:pPr>
            <w:r/>
            <w:r>
              <w:rPr>
                <w:rFonts w:ascii="宋体" w:hAnsi="宋体" w:eastAsia="宋体"/>
                <w:b w:val="0"/>
                <w:sz w:val="20"/>
              </w:rPr>
              <w:t>0.043</w:t>
            </w:r>
          </w:p>
        </w:tc>
      </w:tr>
      <w:tr>
        <w:tc>
          <w:tcPr>
            <w:tcW w:type="dxa" w:w="1417"/>
            <w:vAlign w:val="center"/>
          </w:tcPr>
          <w:p>
            <w:pPr>
              <w:jc w:val="center"/>
            </w:pPr>
            <w:r/>
            <w:r>
              <w:rPr>
                <w:rFonts w:ascii="宋体" w:hAnsi="宋体" w:eastAsia="宋体"/>
                <w:b w:val="0"/>
                <w:sz w:val="20"/>
              </w:rPr>
              <w:t>平均气温</w:t>
            </w:r>
          </w:p>
        </w:tc>
        <w:tc>
          <w:tcPr>
            <w:tcW w:type="dxa" w:w="907"/>
            <w:vAlign w:val="center"/>
          </w:tcPr>
          <w:p>
            <w:pPr>
              <w:jc w:val="center"/>
            </w:pPr>
            <w:r/>
            <w:r>
              <w:rPr>
                <w:rFonts w:ascii="宋体" w:hAnsi="宋体" w:eastAsia="宋体"/>
                <w:b w:val="0"/>
                <w:sz w:val="20"/>
              </w:rPr>
              <w:t>Temp</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14.052</w:t>
            </w:r>
          </w:p>
        </w:tc>
        <w:tc>
          <w:tcPr>
            <w:tcW w:type="dxa" w:w="907"/>
            <w:vAlign w:val="center"/>
          </w:tcPr>
          <w:p>
            <w:pPr>
              <w:jc w:val="center"/>
            </w:pPr>
            <w:r/>
            <w:r>
              <w:rPr>
                <w:rFonts w:ascii="宋体" w:hAnsi="宋体" w:eastAsia="宋体"/>
                <w:b w:val="0"/>
                <w:sz w:val="20"/>
              </w:rPr>
              <w:t>5.430</w:t>
            </w:r>
          </w:p>
        </w:tc>
        <w:tc>
          <w:tcPr>
            <w:tcW w:type="dxa" w:w="907"/>
            <w:vAlign w:val="center"/>
          </w:tcPr>
          <w:p>
            <w:pPr>
              <w:jc w:val="center"/>
            </w:pPr>
            <w:r/>
            <w:r>
              <w:rPr>
                <w:rFonts w:ascii="宋体" w:hAnsi="宋体" w:eastAsia="宋体"/>
                <w:b w:val="0"/>
                <w:sz w:val="20"/>
              </w:rPr>
              <w:t>2.030</w:t>
            </w:r>
          </w:p>
        </w:tc>
        <w:tc>
          <w:tcPr>
            <w:tcW w:type="dxa" w:w="907"/>
            <w:vAlign w:val="center"/>
          </w:tcPr>
          <w:p>
            <w:pPr>
              <w:jc w:val="center"/>
            </w:pPr>
            <w:r/>
            <w:r>
              <w:rPr>
                <w:rFonts w:ascii="宋体" w:hAnsi="宋体" w:eastAsia="宋体"/>
                <w:b w:val="0"/>
                <w:sz w:val="20"/>
              </w:rPr>
              <w:t>25.660</w:t>
            </w:r>
          </w:p>
        </w:tc>
      </w:tr>
      <w:tr>
        <w:tc>
          <w:tcPr>
            <w:tcW w:type="dxa" w:w="1417"/>
            <w:vAlign w:val="center"/>
          </w:tcPr>
          <w:p>
            <w:pPr>
              <w:jc w:val="center"/>
            </w:pPr>
            <w:r/>
            <w:r>
              <w:rPr>
                <w:rFonts w:ascii="宋体" w:hAnsi="宋体" w:eastAsia="宋体"/>
                <w:b w:val="0"/>
                <w:sz w:val="20"/>
              </w:rPr>
              <w:t>干旱指数</w:t>
            </w:r>
          </w:p>
        </w:tc>
        <w:tc>
          <w:tcPr>
            <w:tcW w:type="dxa" w:w="907"/>
            <w:vAlign w:val="center"/>
          </w:tcPr>
          <w:p>
            <w:pPr>
              <w:jc w:val="center"/>
            </w:pPr>
            <w:r/>
            <w:r>
              <w:rPr>
                <w:rFonts w:ascii="宋体" w:hAnsi="宋体" w:eastAsia="宋体"/>
                <w:b w:val="0"/>
                <w:sz w:val="20"/>
              </w:rPr>
              <w:t>SPEI</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-0.077</w:t>
            </w:r>
          </w:p>
        </w:tc>
        <w:tc>
          <w:tcPr>
            <w:tcW w:type="dxa" w:w="907"/>
            <w:vAlign w:val="center"/>
          </w:tcPr>
          <w:p>
            <w:pPr>
              <w:jc w:val="center"/>
            </w:pPr>
            <w:r/>
            <w:r>
              <w:rPr>
                <w:rFonts w:ascii="宋体" w:hAnsi="宋体" w:eastAsia="宋体"/>
                <w:b w:val="0"/>
                <w:sz w:val="20"/>
              </w:rPr>
              <w:t>0.961</w:t>
            </w:r>
          </w:p>
        </w:tc>
        <w:tc>
          <w:tcPr>
            <w:tcW w:type="dxa" w:w="907"/>
            <w:vAlign w:val="center"/>
          </w:tcPr>
          <w:p>
            <w:pPr>
              <w:jc w:val="center"/>
            </w:pPr>
            <w:r/>
            <w:r>
              <w:rPr>
                <w:rFonts w:ascii="宋体" w:hAnsi="宋体" w:eastAsia="宋体"/>
                <w:b w:val="0"/>
                <w:sz w:val="20"/>
              </w:rPr>
              <w:t>-2.522</w:t>
            </w:r>
          </w:p>
        </w:tc>
        <w:tc>
          <w:tcPr>
            <w:tcW w:type="dxa" w:w="907"/>
            <w:vAlign w:val="center"/>
          </w:tcPr>
          <w:p>
            <w:pPr>
              <w:jc w:val="center"/>
            </w:pPr>
            <w:r/>
            <w:r>
              <w:rPr>
                <w:rFonts w:ascii="宋体" w:hAnsi="宋体" w:eastAsia="宋体"/>
                <w:b w:val="0"/>
                <w:sz w:val="20"/>
              </w:rPr>
              <w:t>2.270</w:t>
            </w:r>
          </w:p>
        </w:tc>
      </w:tr>
      <w:tr>
        <w:tc>
          <w:tcPr>
            <w:tcW w:type="dxa" w:w="1417"/>
            <w:vAlign w:val="center"/>
          </w:tcPr>
          <w:p>
            <w:pPr>
              <w:jc w:val="center"/>
            </w:pPr>
            <w:r/>
            <w:r>
              <w:rPr>
                <w:rFonts w:ascii="宋体" w:hAnsi="宋体" w:eastAsia="宋体"/>
                <w:b w:val="0"/>
                <w:sz w:val="20"/>
              </w:rPr>
              <w:t>洪涝占比</w:t>
            </w:r>
          </w:p>
        </w:tc>
        <w:tc>
          <w:tcPr>
            <w:tcW w:type="dxa" w:w="907"/>
            <w:vAlign w:val="center"/>
          </w:tcPr>
          <w:p>
            <w:pPr>
              <w:jc w:val="center"/>
            </w:pPr>
            <w:r/>
            <w:r>
              <w:rPr>
                <w:rFonts w:ascii="宋体" w:hAnsi="宋体" w:eastAsia="宋体"/>
                <w:b w:val="0"/>
                <w:sz w:val="20"/>
              </w:rPr>
              <w:t>Flood_R</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2.970</w:t>
            </w:r>
          </w:p>
        </w:tc>
        <w:tc>
          <w:tcPr>
            <w:tcW w:type="dxa" w:w="907"/>
            <w:vAlign w:val="center"/>
          </w:tcPr>
          <w:p>
            <w:pPr>
              <w:jc w:val="center"/>
            </w:pPr>
            <w:r/>
            <w:r>
              <w:rPr>
                <w:rFonts w:ascii="宋体" w:hAnsi="宋体" w:eastAsia="宋体"/>
                <w:b w:val="0"/>
                <w:sz w:val="20"/>
              </w:rPr>
              <w:t>3.141</w:t>
            </w:r>
          </w:p>
        </w:tc>
        <w:tc>
          <w:tcPr>
            <w:tcW w:type="dxa" w:w="907"/>
            <w:vAlign w:val="center"/>
          </w:tcPr>
          <w:p>
            <w:pPr>
              <w:jc w:val="center"/>
            </w:pPr>
            <w:r/>
            <w:r>
              <w:rPr>
                <w:rFonts w:ascii="宋体" w:hAnsi="宋体" w:eastAsia="宋体"/>
                <w:b w:val="0"/>
                <w:sz w:val="20"/>
              </w:rPr>
              <w:t>0.000</w:t>
            </w:r>
          </w:p>
        </w:tc>
        <w:tc>
          <w:tcPr>
            <w:tcW w:type="dxa" w:w="907"/>
            <w:vAlign w:val="center"/>
          </w:tcPr>
          <w:p>
            <w:pPr>
              <w:jc w:val="center"/>
            </w:pPr>
            <w:r/>
            <w:r>
              <w:rPr>
                <w:rFonts w:ascii="宋体" w:hAnsi="宋体" w:eastAsia="宋体"/>
                <w:b w:val="0"/>
                <w:sz w:val="20"/>
              </w:rPr>
              <w:t>23.650</w:t>
            </w:r>
          </w:p>
        </w:tc>
      </w:tr>
      <w:tr>
        <w:tc>
          <w:tcPr>
            <w:tcW w:type="dxa" w:w="1417"/>
            <w:vAlign w:val="center"/>
          </w:tcPr>
          <w:p>
            <w:pPr>
              <w:jc w:val="center"/>
            </w:pPr>
            <w:r/>
            <w:r>
              <w:rPr>
                <w:rFonts w:ascii="宋体" w:hAnsi="宋体" w:eastAsia="宋体"/>
                <w:b w:val="0"/>
                <w:sz w:val="20"/>
              </w:rPr>
              <w:t>灌溉率</w:t>
            </w:r>
          </w:p>
        </w:tc>
        <w:tc>
          <w:tcPr>
            <w:tcW w:type="dxa" w:w="907"/>
            <w:vAlign w:val="center"/>
          </w:tcPr>
          <w:p>
            <w:pPr>
              <w:jc w:val="center"/>
            </w:pPr>
            <w:r/>
            <w:r>
              <w:rPr>
                <w:rFonts w:ascii="宋体" w:hAnsi="宋体" w:eastAsia="宋体"/>
                <w:b w:val="0"/>
                <w:sz w:val="20"/>
              </w:rPr>
              <w:t>Irr</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56.693</w:t>
            </w:r>
          </w:p>
        </w:tc>
        <w:tc>
          <w:tcPr>
            <w:tcW w:type="dxa" w:w="907"/>
            <w:vAlign w:val="center"/>
          </w:tcPr>
          <w:p>
            <w:pPr>
              <w:jc w:val="center"/>
            </w:pPr>
            <w:r/>
            <w:r>
              <w:rPr>
                <w:rFonts w:ascii="宋体" w:hAnsi="宋体" w:eastAsia="宋体"/>
                <w:b w:val="0"/>
                <w:sz w:val="20"/>
              </w:rPr>
              <w:t>24.438</w:t>
            </w:r>
          </w:p>
        </w:tc>
        <w:tc>
          <w:tcPr>
            <w:tcW w:type="dxa" w:w="907"/>
            <w:vAlign w:val="center"/>
          </w:tcPr>
          <w:p>
            <w:pPr>
              <w:jc w:val="center"/>
            </w:pPr>
            <w:r/>
            <w:r>
              <w:rPr>
                <w:rFonts w:ascii="宋体" w:hAnsi="宋体" w:eastAsia="宋体"/>
                <w:b w:val="0"/>
                <w:sz w:val="20"/>
              </w:rPr>
              <w:t>20.229</w:t>
            </w:r>
          </w:p>
        </w:tc>
        <w:tc>
          <w:tcPr>
            <w:tcW w:type="dxa" w:w="907"/>
            <w:vAlign w:val="center"/>
          </w:tcPr>
          <w:p>
            <w:pPr>
              <w:jc w:val="center"/>
            </w:pPr>
            <w:r/>
            <w:r>
              <w:rPr>
                <w:rFonts w:ascii="宋体" w:hAnsi="宋体" w:eastAsia="宋体"/>
                <w:b w:val="0"/>
                <w:sz w:val="20"/>
              </w:rPr>
              <w:t>120.777</w:t>
            </w:r>
          </w:p>
        </w:tc>
      </w:tr>
      <w:tr>
        <w:tc>
          <w:tcPr>
            <w:tcW w:type="dxa" w:w="1417"/>
            <w:vAlign w:val="center"/>
          </w:tcPr>
          <w:p>
            <w:pPr>
              <w:jc w:val="center"/>
            </w:pPr>
            <w:r/>
            <w:r>
              <w:rPr>
                <w:rFonts w:ascii="宋体" w:hAnsi="宋体" w:eastAsia="宋体"/>
                <w:b w:val="0"/>
                <w:sz w:val="20"/>
              </w:rPr>
              <w:t>农机总动力</w:t>
            </w:r>
          </w:p>
        </w:tc>
        <w:tc>
          <w:tcPr>
            <w:tcW w:type="dxa" w:w="907"/>
            <w:vAlign w:val="center"/>
          </w:tcPr>
          <w:p>
            <w:pPr>
              <w:jc w:val="center"/>
            </w:pPr>
            <w:r/>
            <w:r>
              <w:rPr>
                <w:rFonts w:ascii="宋体" w:hAnsi="宋体" w:eastAsia="宋体"/>
                <w:b w:val="0"/>
                <w:sz w:val="20"/>
              </w:rPr>
              <w:t>Mech</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0.704</w:t>
            </w:r>
          </w:p>
        </w:tc>
        <w:tc>
          <w:tcPr>
            <w:tcW w:type="dxa" w:w="907"/>
            <w:vAlign w:val="center"/>
          </w:tcPr>
          <w:p>
            <w:pPr>
              <w:jc w:val="center"/>
            </w:pPr>
            <w:r/>
            <w:r>
              <w:rPr>
                <w:rFonts w:ascii="宋体" w:hAnsi="宋体" w:eastAsia="宋体"/>
                <w:b w:val="0"/>
                <w:sz w:val="20"/>
              </w:rPr>
              <w:t>0.362</w:t>
            </w:r>
          </w:p>
        </w:tc>
        <w:tc>
          <w:tcPr>
            <w:tcW w:type="dxa" w:w="907"/>
            <w:vAlign w:val="center"/>
          </w:tcPr>
          <w:p>
            <w:pPr>
              <w:jc w:val="center"/>
            </w:pPr>
            <w:r/>
            <w:r>
              <w:rPr>
                <w:rFonts w:ascii="宋体" w:hAnsi="宋体" w:eastAsia="宋体"/>
                <w:b w:val="0"/>
                <w:sz w:val="20"/>
              </w:rPr>
              <w:t>0.252</w:t>
            </w:r>
          </w:p>
        </w:tc>
        <w:tc>
          <w:tcPr>
            <w:tcW w:type="dxa" w:w="907"/>
            <w:vAlign w:val="center"/>
          </w:tcPr>
          <w:p>
            <w:pPr>
              <w:jc w:val="center"/>
            </w:pPr>
            <w:r/>
            <w:r>
              <w:rPr>
                <w:rFonts w:ascii="宋体" w:hAnsi="宋体" w:eastAsia="宋体"/>
                <w:b w:val="0"/>
                <w:sz w:val="20"/>
              </w:rPr>
              <w:t>2.698</w:t>
            </w:r>
          </w:p>
        </w:tc>
      </w:tr>
      <w:tr>
        <w:tc>
          <w:tcPr>
            <w:tcW w:type="dxa" w:w="1417"/>
            <w:vAlign w:val="center"/>
          </w:tcPr>
          <w:p>
            <w:pPr>
              <w:jc w:val="center"/>
            </w:pPr>
            <w:r/>
            <w:r>
              <w:rPr>
                <w:rFonts w:ascii="宋体" w:hAnsi="宋体" w:eastAsia="宋体"/>
                <w:b w:val="0"/>
                <w:sz w:val="20"/>
              </w:rPr>
              <w:t>降水量</w:t>
            </w:r>
          </w:p>
        </w:tc>
        <w:tc>
          <w:tcPr>
            <w:tcW w:type="dxa" w:w="907"/>
            <w:vAlign w:val="center"/>
          </w:tcPr>
          <w:p>
            <w:pPr>
              <w:jc w:val="center"/>
            </w:pPr>
            <w:r/>
            <w:r>
              <w:rPr>
                <w:rFonts w:ascii="宋体" w:hAnsi="宋体" w:eastAsia="宋体"/>
                <w:b w:val="0"/>
                <w:sz w:val="20"/>
              </w:rPr>
              <w:t>Prec</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754.516</w:t>
            </w:r>
          </w:p>
        </w:tc>
        <w:tc>
          <w:tcPr>
            <w:tcW w:type="dxa" w:w="907"/>
            <w:vAlign w:val="center"/>
          </w:tcPr>
          <w:p>
            <w:pPr>
              <w:jc w:val="center"/>
            </w:pPr>
            <w:r/>
            <w:r>
              <w:rPr>
                <w:rFonts w:ascii="宋体" w:hAnsi="宋体" w:eastAsia="宋体"/>
                <w:b w:val="0"/>
                <w:sz w:val="20"/>
              </w:rPr>
              <w:t>465.111</w:t>
            </w:r>
          </w:p>
        </w:tc>
        <w:tc>
          <w:tcPr>
            <w:tcW w:type="dxa" w:w="907"/>
            <w:vAlign w:val="center"/>
          </w:tcPr>
          <w:p>
            <w:pPr>
              <w:jc w:val="center"/>
            </w:pPr>
            <w:r/>
            <w:r>
              <w:rPr>
                <w:rFonts w:ascii="宋体" w:hAnsi="宋体" w:eastAsia="宋体"/>
                <w:b w:val="0"/>
                <w:sz w:val="20"/>
              </w:rPr>
              <w:t>35.030</w:t>
            </w:r>
          </w:p>
        </w:tc>
        <w:tc>
          <w:tcPr>
            <w:tcW w:type="dxa" w:w="907"/>
            <w:vAlign w:val="center"/>
          </w:tcPr>
          <w:p>
            <w:pPr>
              <w:jc w:val="center"/>
            </w:pPr>
            <w:r/>
            <w:r>
              <w:rPr>
                <w:rFonts w:ascii="宋体" w:hAnsi="宋体" w:eastAsia="宋体"/>
                <w:b w:val="0"/>
                <w:sz w:val="20"/>
              </w:rPr>
              <w:t>2305.580</w:t>
            </w:r>
          </w:p>
        </w:tc>
      </w:tr>
      <w:tr>
        <w:tc>
          <w:tcPr>
            <w:tcW w:type="dxa" w:w="1417"/>
            <w:vAlign w:val="center"/>
          </w:tcPr>
          <w:p>
            <w:pPr>
              <w:jc w:val="center"/>
            </w:pPr>
            <w:r/>
            <w:r>
              <w:rPr>
                <w:rFonts w:ascii="宋体" w:hAnsi="宋体" w:eastAsia="宋体"/>
                <w:b w:val="0"/>
                <w:sz w:val="20"/>
              </w:rPr>
              <w:t>日照时数</w:t>
            </w:r>
          </w:p>
        </w:tc>
        <w:tc>
          <w:tcPr>
            <w:tcW w:type="dxa" w:w="907"/>
            <w:vAlign w:val="center"/>
          </w:tcPr>
          <w:p>
            <w:pPr>
              <w:jc w:val="center"/>
            </w:pPr>
            <w:r/>
            <w:r>
              <w:rPr>
                <w:rFonts w:ascii="宋体" w:hAnsi="宋体" w:eastAsia="宋体"/>
                <w:b w:val="0"/>
                <w:sz w:val="20"/>
              </w:rPr>
              <w:t>Sun</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2085.928</w:t>
            </w:r>
          </w:p>
        </w:tc>
        <w:tc>
          <w:tcPr>
            <w:tcW w:type="dxa" w:w="907"/>
            <w:vAlign w:val="center"/>
          </w:tcPr>
          <w:p>
            <w:pPr>
              <w:jc w:val="center"/>
            </w:pPr>
            <w:r/>
            <w:r>
              <w:rPr>
                <w:rFonts w:ascii="宋体" w:hAnsi="宋体" w:eastAsia="宋体"/>
                <w:b w:val="0"/>
                <w:sz w:val="20"/>
              </w:rPr>
              <w:t>467.432</w:t>
            </w:r>
          </w:p>
        </w:tc>
        <w:tc>
          <w:tcPr>
            <w:tcW w:type="dxa" w:w="907"/>
            <w:vAlign w:val="center"/>
          </w:tcPr>
          <w:p>
            <w:pPr>
              <w:jc w:val="center"/>
            </w:pPr>
            <w:r/>
            <w:r>
              <w:rPr>
                <w:rFonts w:ascii="宋体" w:hAnsi="宋体" w:eastAsia="宋体"/>
                <w:b w:val="0"/>
                <w:sz w:val="20"/>
              </w:rPr>
              <w:t>973.970</w:t>
            </w:r>
          </w:p>
        </w:tc>
        <w:tc>
          <w:tcPr>
            <w:tcW w:type="dxa" w:w="907"/>
            <w:vAlign w:val="center"/>
          </w:tcPr>
          <w:p>
            <w:pPr>
              <w:jc w:val="center"/>
            </w:pPr>
            <w:r/>
            <w:r>
              <w:rPr>
                <w:rFonts w:ascii="宋体" w:hAnsi="宋体" w:eastAsia="宋体"/>
                <w:b w:val="0"/>
                <w:sz w:val="20"/>
              </w:rPr>
              <w:t>3350.250</w:t>
            </w:r>
          </w:p>
        </w:tc>
      </w:tr>
      <w:tr>
        <w:tc>
          <w:tcPr>
            <w:tcW w:type="dxa" w:w="1417"/>
            <w:vAlign w:val="center"/>
          </w:tcPr>
          <w:p>
            <w:pPr>
              <w:jc w:val="center"/>
            </w:pPr>
            <w:r/>
            <w:r>
              <w:rPr>
                <w:rFonts w:ascii="宋体" w:hAnsi="宋体" w:eastAsia="宋体"/>
                <w:b w:val="0"/>
                <w:sz w:val="20"/>
              </w:rPr>
              <w:t>化肥施用量</w:t>
            </w:r>
          </w:p>
        </w:tc>
        <w:tc>
          <w:tcPr>
            <w:tcW w:type="dxa" w:w="907"/>
            <w:vAlign w:val="center"/>
          </w:tcPr>
          <w:p>
            <w:pPr>
              <w:jc w:val="center"/>
            </w:pPr>
            <w:r/>
            <w:r>
              <w:rPr>
                <w:rFonts w:ascii="宋体" w:hAnsi="宋体" w:eastAsia="宋体"/>
                <w:b w:val="0"/>
                <w:sz w:val="20"/>
              </w:rPr>
              <w:t>Fert</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179.317</w:t>
            </w:r>
          </w:p>
        </w:tc>
        <w:tc>
          <w:tcPr>
            <w:tcW w:type="dxa" w:w="907"/>
            <w:vAlign w:val="center"/>
          </w:tcPr>
          <w:p>
            <w:pPr>
              <w:jc w:val="center"/>
            </w:pPr>
            <w:r/>
            <w:r>
              <w:rPr>
                <w:rFonts w:ascii="宋体" w:hAnsi="宋体" w:eastAsia="宋体"/>
                <w:b w:val="0"/>
                <w:sz w:val="20"/>
              </w:rPr>
              <w:t>158.552</w:t>
            </w:r>
          </w:p>
        </w:tc>
        <w:tc>
          <w:tcPr>
            <w:tcW w:type="dxa" w:w="907"/>
            <w:vAlign w:val="center"/>
          </w:tcPr>
          <w:p>
            <w:pPr>
              <w:jc w:val="center"/>
            </w:pPr>
            <w:r/>
            <w:r>
              <w:rPr>
                <w:rFonts w:ascii="宋体" w:hAnsi="宋体" w:eastAsia="宋体"/>
                <w:b w:val="0"/>
                <w:sz w:val="20"/>
              </w:rPr>
              <w:t>6.000</w:t>
            </w:r>
          </w:p>
        </w:tc>
        <w:tc>
          <w:tcPr>
            <w:tcW w:type="dxa" w:w="907"/>
            <w:vAlign w:val="center"/>
          </w:tcPr>
          <w:p>
            <w:pPr>
              <w:jc w:val="center"/>
            </w:pPr>
            <w:r/>
            <w:r>
              <w:rPr>
                <w:rFonts w:ascii="宋体" w:hAnsi="宋体" w:eastAsia="宋体"/>
                <w:b w:val="0"/>
                <w:sz w:val="20"/>
              </w:rPr>
              <w:t>711.020</w:t>
            </w:r>
          </w:p>
        </w:tc>
      </w:tr>
      <w:tr>
        <w:tc>
          <w:tcPr>
            <w:tcW w:type="dxa" w:w="1417"/>
            <w:vAlign w:val="center"/>
          </w:tcPr>
          <w:p>
            <w:pPr>
              <w:jc w:val="center"/>
            </w:pPr>
            <w:r/>
            <w:r>
              <w:rPr>
                <w:rFonts w:ascii="宋体" w:hAnsi="宋体" w:eastAsia="宋体"/>
                <w:b w:val="0"/>
                <w:sz w:val="20"/>
              </w:rPr>
              <w:t>旱灾受灾面积</w:t>
            </w:r>
          </w:p>
        </w:tc>
        <w:tc>
          <w:tcPr>
            <w:tcW w:type="dxa" w:w="907"/>
            <w:vAlign w:val="center"/>
          </w:tcPr>
          <w:p>
            <w:pPr>
              <w:jc w:val="center"/>
            </w:pPr>
            <w:r/>
            <w:r>
              <w:rPr>
                <w:rFonts w:ascii="宋体" w:hAnsi="宋体" w:eastAsia="宋体"/>
                <w:b w:val="0"/>
                <w:sz w:val="20"/>
              </w:rPr>
              <w:t>Drou_A</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316.574</w:t>
            </w:r>
          </w:p>
        </w:tc>
        <w:tc>
          <w:tcPr>
            <w:tcW w:type="dxa" w:w="907"/>
            <w:vAlign w:val="center"/>
          </w:tcPr>
          <w:p>
            <w:pPr>
              <w:jc w:val="center"/>
            </w:pPr>
            <w:r/>
            <w:r>
              <w:rPr>
                <w:rFonts w:ascii="宋体" w:hAnsi="宋体" w:eastAsia="宋体"/>
                <w:b w:val="0"/>
                <w:sz w:val="20"/>
              </w:rPr>
              <w:t>439.463</w:t>
            </w:r>
          </w:p>
        </w:tc>
        <w:tc>
          <w:tcPr>
            <w:tcW w:type="dxa" w:w="907"/>
            <w:vAlign w:val="center"/>
          </w:tcPr>
          <w:p>
            <w:pPr>
              <w:jc w:val="center"/>
            </w:pPr>
            <w:r/>
            <w:r>
              <w:rPr>
                <w:rFonts w:ascii="宋体" w:hAnsi="宋体" w:eastAsia="宋体"/>
                <w:b w:val="0"/>
                <w:sz w:val="20"/>
              </w:rPr>
              <w:t>0.000</w:t>
            </w:r>
          </w:p>
        </w:tc>
        <w:tc>
          <w:tcPr>
            <w:tcW w:type="dxa" w:w="907"/>
            <w:vAlign w:val="center"/>
          </w:tcPr>
          <w:p>
            <w:pPr>
              <w:jc w:val="center"/>
            </w:pPr>
            <w:r/>
            <w:r>
              <w:rPr>
                <w:rFonts w:ascii="宋体" w:hAnsi="宋体" w:eastAsia="宋体"/>
                <w:b w:val="0"/>
                <w:sz w:val="20"/>
              </w:rPr>
              <w:t>3232.000</w:t>
            </w:r>
          </w:p>
        </w:tc>
      </w:tr>
      <w:tr>
        <w:tc>
          <w:tcPr>
            <w:tcW w:type="dxa" w:w="1417"/>
            <w:vAlign w:val="center"/>
          </w:tcPr>
          <w:p>
            <w:pPr>
              <w:jc w:val="center"/>
            </w:pPr>
            <w:r/>
            <w:r>
              <w:rPr>
                <w:rFonts w:ascii="宋体" w:hAnsi="宋体" w:eastAsia="宋体"/>
                <w:b w:val="0"/>
                <w:sz w:val="20"/>
              </w:rPr>
              <w:t>水灾受灾面积</w:t>
            </w:r>
          </w:p>
        </w:tc>
        <w:tc>
          <w:tcPr>
            <w:tcW w:type="dxa" w:w="907"/>
            <w:vAlign w:val="center"/>
          </w:tcPr>
          <w:p>
            <w:pPr>
              <w:jc w:val="center"/>
            </w:pPr>
            <w:r/>
            <w:r>
              <w:rPr>
                <w:rFonts w:ascii="宋体" w:hAnsi="宋体" w:eastAsia="宋体"/>
                <w:b w:val="0"/>
                <w:sz w:val="20"/>
              </w:rPr>
              <w:t>Flood_A</w:t>
            </w:r>
          </w:p>
        </w:tc>
        <w:tc>
          <w:tcPr>
            <w:tcW w:type="dxa" w:w="850"/>
            <w:vAlign w:val="center"/>
          </w:tcPr>
          <w:p>
            <w:pPr>
              <w:jc w:val="center"/>
            </w:pPr>
            <w:r/>
            <w:r>
              <w:rPr>
                <w:rFonts w:ascii="宋体" w:hAnsi="宋体" w:eastAsia="宋体"/>
                <w:b w:val="0"/>
                <w:sz w:val="20"/>
              </w:rPr>
              <w:t>403</w:t>
            </w:r>
          </w:p>
        </w:tc>
        <w:tc>
          <w:tcPr>
            <w:tcW w:type="dxa" w:w="907"/>
            <w:vAlign w:val="center"/>
          </w:tcPr>
          <w:p>
            <w:pPr>
              <w:jc w:val="center"/>
            </w:pPr>
            <w:r/>
            <w:r>
              <w:rPr>
                <w:rFonts w:ascii="宋体" w:hAnsi="宋体" w:eastAsia="宋体"/>
                <w:b w:val="0"/>
                <w:sz w:val="20"/>
              </w:rPr>
              <w:t>185.076</w:t>
            </w:r>
          </w:p>
        </w:tc>
        <w:tc>
          <w:tcPr>
            <w:tcW w:type="dxa" w:w="907"/>
            <w:vAlign w:val="center"/>
          </w:tcPr>
          <w:p>
            <w:pPr>
              <w:jc w:val="center"/>
            </w:pPr>
            <w:r/>
            <w:r>
              <w:rPr>
                <w:rFonts w:ascii="宋体" w:hAnsi="宋体" w:eastAsia="宋体"/>
                <w:b w:val="0"/>
                <w:sz w:val="20"/>
              </w:rPr>
              <w:t>289.471</w:t>
            </w:r>
          </w:p>
        </w:tc>
        <w:tc>
          <w:tcPr>
            <w:tcW w:type="dxa" w:w="907"/>
            <w:vAlign w:val="center"/>
          </w:tcPr>
          <w:p>
            <w:pPr>
              <w:jc w:val="center"/>
            </w:pPr>
            <w:r/>
            <w:r>
              <w:rPr>
                <w:rFonts w:ascii="宋体" w:hAnsi="宋体" w:eastAsia="宋体"/>
                <w:b w:val="0"/>
                <w:sz w:val="20"/>
              </w:rPr>
              <w:t>0.000</w:t>
            </w:r>
          </w:p>
        </w:tc>
        <w:tc>
          <w:tcPr>
            <w:tcW w:type="dxa" w:w="907"/>
            <w:vAlign w:val="center"/>
          </w:tcPr>
          <w:p>
            <w:pPr>
              <w:jc w:val="center"/>
            </w:pPr>
            <w:r/>
            <w:r>
              <w:rPr>
                <w:rFonts w:ascii="宋体" w:hAnsi="宋体" w:eastAsia="宋体"/>
                <w:b w:val="0"/>
                <w:sz w:val="20"/>
              </w:rPr>
              <w:t>2501.900</w:t>
            </w:r>
          </w:p>
        </w:tc>
      </w:tr>
    </w:tbl>
    <w:p>
      <w:pPr>
        <w:spacing w:line="360" w:lineRule="auto" w:after="0"/>
        <w:ind w:firstLine="420"/>
      </w:pPr>
      <w:r>
        <w:rPr>
          <w:rFonts w:ascii="宋体" w:hAnsi="宋体" w:eastAsia="宋体"/>
          <w:b w:val="0"/>
          <w:sz w:val="21"/>
        </w:rPr>
        <w:t>结果分析：</w:t>
      </w:r>
    </w:p>
    <w:p>
      <w:pPr>
        <w:spacing w:line="360" w:lineRule="auto" w:after="0"/>
        <w:ind w:firstLine="420"/>
      </w:pPr>
      <w:r>
        <w:rPr>
          <w:rFonts w:ascii="宋体" w:hAnsi="宋体" w:eastAsia="宋体"/>
          <w:b w:val="0"/>
          <w:sz w:val="21"/>
        </w:rPr>
        <w:t>①粮食单产风险分布特征</w:t>
      </w:r>
    </w:p>
    <w:p>
      <w:pPr>
        <w:spacing w:line="360" w:lineRule="auto" w:after="0"/>
        <w:ind w:firstLine="420"/>
      </w:pPr>
      <w:r>
        <w:rPr>
          <w:rFonts w:ascii="宋体" w:hAnsi="宋体" w:eastAsia="宋体"/>
          <w:b w:val="0"/>
          <w:sz w:val="21"/>
        </w:rPr>
        <w:t>描述性统计结果显示，粮食单产风险Y的均值为0.023，标准差为0.007。从极值来看，最小值（0.011）与最大值（0.043）之间存在近4倍的差距，这表明在研究样本期内，我国不同省份、不同年份间的粮食生产波动具有显著的差异性，粮食生产面临着不可忽视的外部随机风险冲击。</w:t>
      </w:r>
    </w:p>
    <w:p>
      <w:pPr>
        <w:spacing w:line="360" w:lineRule="auto" w:after="0"/>
        <w:ind w:firstLine="420"/>
      </w:pPr>
      <w:r>
        <w:rPr>
          <w:rFonts w:ascii="宋体" w:hAnsi="宋体" w:eastAsia="宋体"/>
          <w:b w:val="0"/>
          <w:sz w:val="21"/>
        </w:rPr>
        <w:t>②气候与致灾因子波动特征</w:t>
      </w:r>
    </w:p>
    <w:p>
      <w:pPr>
        <w:spacing w:line="360" w:lineRule="auto" w:after="0"/>
        <w:ind w:firstLine="420"/>
      </w:pPr>
      <w:r>
        <w:rPr>
          <w:rFonts w:ascii="宋体" w:hAnsi="宋体" w:eastAsia="宋体"/>
          <w:b w:val="0"/>
          <w:sz w:val="21"/>
        </w:rPr>
        <w:t>气候因子呈现出明显的极端化特征。干旱指数SPEI的均值为-0.077，但最小值达到了-2.522，这说明样本中包含了严重的极端干旱事件；同时，降水量的波动范围巨大（35.03mm至2305.58mm），标准差高达465.111，反映了我国降水资源在时空分布上的极度不均。此外，洪涝占比的最大值达到23.65%，旱灾与水灾的受灾面积标准差均远超均值，说明气象灾害对粮食生产的冲击具有极强的突发性和局部爆发性。</w:t>
      </w:r>
    </w:p>
    <w:p>
      <w:pPr>
        <w:spacing w:line="360" w:lineRule="auto" w:after="0"/>
        <w:ind w:firstLine="420"/>
      </w:pPr>
      <w:r>
        <w:rPr>
          <w:rFonts w:ascii="宋体" w:hAnsi="宋体" w:eastAsia="宋体"/>
          <w:b w:val="0"/>
          <w:sz w:val="21"/>
        </w:rPr>
        <w:t>③农业生产韧性水平分析</w:t>
      </w:r>
    </w:p>
    <w:p>
      <w:pPr>
        <w:spacing w:line="360" w:lineRule="auto" w:after="0"/>
        <w:ind w:firstLine="420"/>
      </w:pPr>
      <w:r>
        <w:rPr>
          <w:rFonts w:ascii="宋体" w:hAnsi="宋体" w:eastAsia="宋体"/>
          <w:b w:val="0"/>
          <w:sz w:val="21"/>
        </w:rPr>
        <w:t>在韧性因子方面，我国农田有效灌溉率的均值为56.69%，体现了农田水利基础设施的基础保障作用。然而，灌溉率的标准差较大（24.438），且部分地区灌溉率较低，反映出农业抵御气候灾害的能力在地域间分布失衡。农机总动力与化肥施用量的差异同样显著，这为研究机械化水平与投入强度如何调节气候风险提供了充足的观测样本。</w:t>
      </w:r>
    </w:p>
    <w:p>
      <w:pPr>
        <w:spacing w:before="240" w:after="120" w:line="360" w:lineRule="auto"/>
        <w:jc w:val="left"/>
      </w:pPr>
      <w:r>
        <w:rPr>
          <w:rFonts w:ascii="黑体" w:hAnsi="黑体" w:eastAsia="黑体"/>
          <w:b/>
          <w:color w:val="000000"/>
          <w:sz w:val="28"/>
        </w:rPr>
        <w:t>（三）统计建模方法原理</w:t>
      </w:r>
    </w:p>
    <w:p>
      <w:pPr>
        <w:spacing w:before="240" w:after="120" w:line="360" w:lineRule="auto"/>
        <w:jc w:val="left"/>
      </w:pPr>
      <w:r>
        <w:rPr>
          <w:rFonts w:ascii="黑体" w:hAnsi="黑体" w:eastAsia="黑体"/>
          <w:b/>
          <w:color w:val="000000"/>
          <w:sz w:val="24"/>
        </w:rPr>
        <w:t>1. 基于XGBoost的风险拟合模型</w:t>
      </w:r>
    </w:p>
    <w:p>
      <w:pPr>
        <w:spacing w:line="360" w:lineRule="auto" w:after="0"/>
        <w:ind w:firstLine="420"/>
      </w:pPr>
      <w:r>
        <w:rPr>
          <w:rFonts w:ascii="宋体" w:hAnsi="宋体" w:eastAsia="宋体"/>
          <w:b w:val="0"/>
          <w:sz w:val="21"/>
        </w:rPr>
        <w:t>XGBoost模型是一种基于梯度提升决策树的集成学习算法，可以通过高精度的回归预测与特征重要性排序、串行构建多棵决策树、优化模型残差等，有效处理粮食生产影响因子这类具有非线性、多耦合的数据。XGBoost模型采用加法模型形式，最终预测结果由K棵决策树的输出共同决定，表达式为：</w:t>
      </w:r>
    </w:p>
    <w:p>
      <w:pPr>
        <w:spacing w:before="120" w:after="120"/>
        <w:jc w:val="center"/>
      </w:pPr>
      <w:r>
        <w:rPr>
          <w:rFonts w:ascii="Times New Roman" w:hAnsi="Times New Roman" w:eastAsia="Times New Roman"/>
          <w:b w:val="0"/>
          <w:sz w:val="22"/>
        </w:rPr>
        <w:t>ŷᵢ = Σᵏ₌₁ᴷ fₖ(xᵢ),  fₖ ∈ ℱ</w:t>
      </w:r>
    </w:p>
    <w:p>
      <w:pPr>
        <w:spacing w:line="360" w:lineRule="auto" w:after="0"/>
        <w:ind w:firstLine="420"/>
      </w:pPr>
      <w:r>
        <w:rPr>
          <w:rFonts w:ascii="宋体" w:hAnsi="宋体" w:eastAsia="宋体"/>
          <w:b w:val="0"/>
          <w:sz w:val="21"/>
        </w:rPr>
        <w:t>式中：ŷᵢ为样本i的预测值；fₖ为第k棵决策树；ℱ为所有决策树的集合。</w:t>
      </w:r>
    </w:p>
    <w:p>
      <w:pPr>
        <w:spacing w:line="360" w:lineRule="auto" w:after="0"/>
        <w:ind w:firstLine="420"/>
      </w:pPr>
      <w:r>
        <w:rPr>
          <w:rFonts w:ascii="宋体" w:hAnsi="宋体" w:eastAsia="宋体"/>
          <w:b w:val="0"/>
          <w:sz w:val="21"/>
        </w:rPr>
        <w:t>模型目标函数兼顾训练损失与正则化项，有效避免模型过拟合，其形式为：</w:t>
      </w:r>
    </w:p>
    <w:p>
      <w:pPr>
        <w:spacing w:before="120" w:after="120"/>
        <w:jc w:val="center"/>
      </w:pPr>
      <w:r>
        <w:rPr>
          <w:rFonts w:ascii="Times New Roman" w:hAnsi="Times New Roman" w:eastAsia="Times New Roman"/>
          <w:b w:val="0"/>
          <w:sz w:val="22"/>
        </w:rPr>
        <w:t>Obj = Σᵢ₌₁ⁿ L(yᵢ, ŷᵢ) + Σᵏ₌₁ᴷ Ω(fₖ)</w:t>
      </w:r>
    </w:p>
    <w:p>
      <w:pPr>
        <w:spacing w:line="360" w:lineRule="auto" w:after="0"/>
        <w:ind w:firstLine="420"/>
      </w:pPr>
      <w:r>
        <w:rPr>
          <w:rFonts w:ascii="宋体" w:hAnsi="宋体" w:eastAsia="宋体"/>
          <w:b w:val="0"/>
          <w:sz w:val="21"/>
        </w:rPr>
        <w:t>其中正则项定义为：</w:t>
      </w:r>
    </w:p>
    <w:p>
      <w:pPr>
        <w:spacing w:before="120" w:after="120"/>
        <w:jc w:val="center"/>
      </w:pPr>
      <w:r>
        <w:rPr>
          <w:rFonts w:ascii="Times New Roman" w:hAnsi="Times New Roman" w:eastAsia="Times New Roman"/>
          <w:b w:val="0"/>
          <w:sz w:val="22"/>
        </w:rPr>
        <w:t>Ω(f) = γT + (1/2)λ‖ω‖²</w:t>
      </w:r>
    </w:p>
    <w:p>
      <w:pPr>
        <w:spacing w:line="360" w:lineRule="auto" w:after="0"/>
        <w:ind w:firstLine="420"/>
      </w:pPr>
      <w:r>
        <w:rPr>
          <w:rFonts w:ascii="宋体" w:hAnsi="宋体" w:eastAsia="宋体"/>
          <w:b w:val="0"/>
          <w:sz w:val="21"/>
        </w:rPr>
        <w:t>式中：L(yᵢ, ŷᵢ)为损失函数，衡量真实值与预测值的误差；Ω(fₖ)为决策树复杂度惩罚项；T为决策树叶子节点数量；ω为叶子节点权重；γ、λ分别为叶子节点数与权重的惩罚系数，用于控制模型复杂度。</w:t>
      </w:r>
    </w:p>
    <w:p>
      <w:pPr>
        <w:spacing w:before="240" w:after="120" w:line="360" w:lineRule="auto"/>
        <w:jc w:val="left"/>
      </w:pPr>
      <w:r>
        <w:rPr>
          <w:rFonts w:ascii="黑体" w:hAnsi="黑体" w:eastAsia="黑体"/>
          <w:b/>
          <w:color w:val="000000"/>
          <w:sz w:val="24"/>
        </w:rPr>
        <w:t>2. 基于SHAP值的特征重要性归因</w:t>
      </w:r>
    </w:p>
    <w:p>
      <w:pPr>
        <w:spacing w:line="360" w:lineRule="auto" w:after="0"/>
        <w:ind w:firstLine="420"/>
      </w:pPr>
      <w:r>
        <w:rPr>
          <w:rFonts w:ascii="宋体" w:hAnsi="宋体" w:eastAsia="宋体"/>
          <w:b w:val="0"/>
          <w:sz w:val="21"/>
        </w:rPr>
        <w:t>虽然XGBoost有诸多优点，但也存在一定的局限性，如无法直观量化各因子对粮食生产风险的影响程度和方向。为此引入SHAP模型与之结合，将模型预测结果分解为各个因子的贡献值，可以帮助对预测结果的精准量化，最终实现对结果的全局与局部可解释。</w:t>
      </w:r>
    </w:p>
    <w:p>
      <w:pPr>
        <w:spacing w:line="360" w:lineRule="auto" w:after="0"/>
        <w:ind w:firstLine="420"/>
      </w:pPr>
      <w:r>
        <w:rPr>
          <w:rFonts w:ascii="宋体" w:hAnsi="宋体" w:eastAsia="宋体"/>
          <w:b w:val="0"/>
          <w:sz w:val="21"/>
        </w:rPr>
        <w:t>第i个样本中第j个特征的SHAP值计算公式为：</w:t>
      </w:r>
    </w:p>
    <w:p>
      <w:pPr>
        <w:spacing w:before="120" w:after="120"/>
        <w:jc w:val="center"/>
      </w:pPr>
      <w:r>
        <w:rPr>
          <w:rFonts w:ascii="Times New Roman" w:hAnsi="Times New Roman" w:eastAsia="Times New Roman"/>
          <w:b w:val="0"/>
          <w:sz w:val="22"/>
        </w:rPr>
        <w:t>φⱼ = Σ_{S⊆M\{j}} [ |S|! (M−|S|−1)! / M! ] × [ f(S∪{j}) − f(S) ]</w:t>
      </w:r>
    </w:p>
    <w:p>
      <w:pPr>
        <w:spacing w:line="360" w:lineRule="auto" w:after="0"/>
        <w:ind w:firstLine="420"/>
      </w:pPr>
      <w:r>
        <w:rPr>
          <w:rFonts w:ascii="宋体" w:hAnsi="宋体" w:eastAsia="宋体"/>
          <w:b w:val="0"/>
          <w:sz w:val="21"/>
        </w:rPr>
        <w:t>模型最终预测结果可分解为基值与各特征SHAP值之和，公式如下：</w:t>
      </w:r>
    </w:p>
    <w:p>
      <w:pPr>
        <w:spacing w:before="120" w:after="120"/>
        <w:jc w:val="center"/>
      </w:pPr>
      <w:r>
        <w:rPr>
          <w:rFonts w:ascii="Times New Roman" w:hAnsi="Times New Roman" w:eastAsia="Times New Roman"/>
          <w:b w:val="0"/>
          <w:sz w:val="22"/>
        </w:rPr>
        <w:t>ŷᵢ = φ₀ + Σⱼ₌₁ᴹ φᵢⱼ</w:t>
      </w:r>
    </w:p>
    <w:p>
      <w:pPr>
        <w:spacing w:line="360" w:lineRule="auto" w:after="0"/>
        <w:ind w:firstLine="420"/>
      </w:pPr>
      <w:r>
        <w:rPr>
          <w:rFonts w:ascii="宋体" w:hAnsi="宋体" w:eastAsia="宋体"/>
          <w:b w:val="0"/>
          <w:sz w:val="21"/>
        </w:rPr>
        <w:t>式中：φ₀为模型预测基值；φᵢⱼ为第j个特征对第i个样本预测结果的贡献值；M为特征总数量；S为特征子集。通过SHAP值分析，可精准识别极端气候下粮食生产风险的核心驱动因子，明确各因子的影响机制。</w:t>
      </w:r>
    </w:p>
    <w:p>
      <w:pPr>
        <w:spacing w:before="240" w:after="120" w:line="360" w:lineRule="auto"/>
        <w:jc w:val="left"/>
      </w:pPr>
      <w:r>
        <w:rPr>
          <w:rFonts w:ascii="黑体" w:hAnsi="黑体" w:eastAsia="黑体"/>
          <w:b/>
          <w:color w:val="000000"/>
          <w:sz w:val="24"/>
        </w:rPr>
        <w:t>3. 基于LSTM的深度学习验证模型</w:t>
      </w:r>
    </w:p>
    <w:p>
      <w:pPr>
        <w:spacing w:line="360" w:lineRule="auto" w:after="0"/>
        <w:ind w:firstLine="420"/>
      </w:pPr>
      <w:r>
        <w:rPr>
          <w:rFonts w:ascii="宋体" w:hAnsi="宋体" w:eastAsia="宋体"/>
          <w:b w:val="0"/>
          <w:sz w:val="21"/>
        </w:rPr>
        <w:t>LSTM是一种在循环神经网络基础上改进的深度学习模型，主要通过引入三大门控机制：遗忘门、输入门、输出门三大门控机制与细胞状态，实现捕捉面板数据、对时序数据的长期演化趋势、短期波动特征等功能，有效解决了传统循环神经网络模型处理时序数据出现的梯度消失、爆炸等问题，更好地适用于粮食生产韧性的动态评估与时序预测。</w:t>
      </w:r>
    </w:p>
    <w:p>
      <w:pPr>
        <w:spacing w:line="360" w:lineRule="auto" w:after="0"/>
        <w:ind w:firstLine="420"/>
      </w:pPr>
      <w:r>
        <w:rPr>
          <w:rFonts w:ascii="宋体" w:hAnsi="宋体" w:eastAsia="宋体"/>
          <w:b w:val="0"/>
          <w:sz w:val="21"/>
        </w:rPr>
        <w:t>LSTM模型核心门控机制计算公式如下：</w:t>
      </w:r>
    </w:p>
    <w:p>
      <w:pPr>
        <w:spacing w:line="360" w:lineRule="auto" w:after="0"/>
        <w:ind w:firstLine="420"/>
      </w:pPr>
      <w:r>
        <w:rPr>
          <w:rFonts w:ascii="宋体" w:hAnsi="宋体" w:eastAsia="宋体"/>
          <w:b w:val="0"/>
          <w:sz w:val="21"/>
        </w:rPr>
        <w:t>(1) 遗忘门：控制细胞状态中历史信息的保留与遗忘，筛选需要丢弃的无效信息</w:t>
      </w:r>
    </w:p>
    <w:p>
      <w:pPr>
        <w:spacing w:before="120" w:after="120"/>
        <w:jc w:val="center"/>
      </w:pPr>
      <w:r>
        <w:rPr>
          <w:rFonts w:ascii="Times New Roman" w:hAnsi="Times New Roman" w:eastAsia="Times New Roman"/>
          <w:b w:val="0"/>
          <w:sz w:val="22"/>
        </w:rPr>
        <w:t>fₜ = σ(W_f · [hₜ₋₁, xₜ] + b_f)</w:t>
      </w:r>
    </w:p>
    <w:p>
      <w:pPr>
        <w:spacing w:line="360" w:lineRule="auto" w:after="0"/>
        <w:ind w:firstLine="420"/>
      </w:pPr>
      <w:r>
        <w:rPr>
          <w:rFonts w:ascii="宋体" w:hAnsi="宋体" w:eastAsia="宋体"/>
          <w:b w:val="0"/>
          <w:sz w:val="21"/>
        </w:rPr>
        <w:t>(2) 输入门：控制新信息的输入，更新细胞状态内容</w:t>
      </w:r>
    </w:p>
    <w:p>
      <w:pPr>
        <w:spacing w:before="120" w:after="120"/>
        <w:jc w:val="center"/>
      </w:pPr>
      <w:r>
        <w:rPr>
          <w:rFonts w:ascii="Times New Roman" w:hAnsi="Times New Roman" w:eastAsia="Times New Roman"/>
          <w:b w:val="0"/>
          <w:sz w:val="22"/>
        </w:rPr>
        <w:t>iₜ = σ(W_i · [hₜ₋₁, xₜ] + b_i)</w:t>
      </w:r>
    </w:p>
    <w:p>
      <w:pPr>
        <w:spacing w:line="360" w:lineRule="auto" w:after="0"/>
        <w:ind w:firstLine="420"/>
      </w:pPr>
      <w:r>
        <w:rPr>
          <w:rFonts w:ascii="宋体" w:hAnsi="宋体" w:eastAsia="宋体"/>
          <w:b w:val="0"/>
          <w:sz w:val="21"/>
        </w:rPr>
        <w:t>(3) 候选细胞状态：生成待更新的细胞状态信息</w:t>
      </w:r>
    </w:p>
    <w:p>
      <w:pPr>
        <w:spacing w:before="120" w:after="120"/>
        <w:jc w:val="center"/>
      </w:pPr>
      <w:r>
        <w:rPr>
          <w:rFonts w:ascii="Times New Roman" w:hAnsi="Times New Roman" w:eastAsia="Times New Roman"/>
          <w:b w:val="0"/>
          <w:sz w:val="22"/>
        </w:rPr>
        <w:t>C̃ₜ = tanh(W_C · [hₜ₋₁, xₜ] + b_C)</w:t>
      </w:r>
    </w:p>
    <w:p>
      <w:pPr>
        <w:spacing w:line="360" w:lineRule="auto" w:after="0"/>
        <w:ind w:firstLine="420"/>
      </w:pPr>
      <w:r>
        <w:rPr>
          <w:rFonts w:ascii="宋体" w:hAnsi="宋体" w:eastAsia="宋体"/>
          <w:b w:val="0"/>
          <w:sz w:val="21"/>
        </w:rPr>
        <w:t>(4) 细胞状态更新：整合遗忘门与输入门结果，更新细胞状态</w:t>
      </w:r>
    </w:p>
    <w:p>
      <w:pPr>
        <w:spacing w:before="120" w:after="120"/>
        <w:jc w:val="center"/>
      </w:pPr>
      <w:r>
        <w:rPr>
          <w:rFonts w:ascii="Times New Roman" w:hAnsi="Times New Roman" w:eastAsia="Times New Roman"/>
          <w:b w:val="0"/>
          <w:sz w:val="22"/>
        </w:rPr>
        <w:t>Cₜ = fₜ ⊙ Cₜ₋₁ + iₜ ⊙ C̃ₜ</w:t>
      </w:r>
    </w:p>
    <w:p>
      <w:pPr>
        <w:spacing w:line="360" w:lineRule="auto" w:after="0"/>
        <w:ind w:firstLine="420"/>
      </w:pPr>
      <w:r>
        <w:rPr>
          <w:rFonts w:ascii="宋体" w:hAnsi="宋体" w:eastAsia="宋体"/>
          <w:b w:val="0"/>
          <w:sz w:val="21"/>
        </w:rPr>
        <w:t>(5) 输出门：控制模型输出信息，生成当前时刻隐状态</w:t>
      </w:r>
    </w:p>
    <w:p>
      <w:pPr>
        <w:spacing w:before="120" w:after="120"/>
        <w:jc w:val="center"/>
      </w:pPr>
      <w:r>
        <w:rPr>
          <w:rFonts w:ascii="Times New Roman" w:hAnsi="Times New Roman" w:eastAsia="Times New Roman"/>
          <w:b w:val="0"/>
          <w:sz w:val="22"/>
        </w:rPr>
        <w:t>oₜ = σ(W_o · [hₜ₋₁, xₜ] + b_o)</w:t>
      </w:r>
    </w:p>
    <w:p>
      <w:pPr>
        <w:spacing w:before="120" w:after="120"/>
        <w:jc w:val="center"/>
      </w:pPr>
      <w:r>
        <w:rPr>
          <w:rFonts w:ascii="Times New Roman" w:hAnsi="Times New Roman" w:eastAsia="Times New Roman"/>
          <w:b w:val="0"/>
          <w:sz w:val="22"/>
        </w:rPr>
        <w:t>hₜ = oₜ ⊙ tanh(Cₜ)</w:t>
      </w:r>
    </w:p>
    <w:p>
      <w:pPr>
        <w:spacing w:line="360" w:lineRule="auto" w:after="0"/>
        <w:ind w:firstLine="420"/>
      </w:pPr>
      <w:r>
        <w:rPr>
          <w:rFonts w:ascii="宋体" w:hAnsi="宋体" w:eastAsia="宋体"/>
          <w:b w:val="0"/>
          <w:sz w:val="21"/>
        </w:rPr>
        <w:t>式中：xₜ为t时刻输入特征；hₜ₋₁为t-1时刻隐状态；Cₜ₋₁为t-1时刻细胞状态；W_f、W_i、W_C、W_o为权重矩阵；b_f、b_i、b_C、b_o为偏置项；σ为Sigmoid激活函数；⊙为哈达玛积。</w:t>
      </w:r>
    </w:p>
    <w:p>
      <w:pPr>
        <w:spacing w:before="240" w:after="120" w:line="360" w:lineRule="auto"/>
        <w:jc w:val="left"/>
      </w:pPr>
      <w:r>
        <w:rPr>
          <w:rFonts w:ascii="黑体" w:hAnsi="黑体" w:eastAsia="黑体"/>
          <w:b/>
          <w:color w:val="000000"/>
          <w:sz w:val="24"/>
        </w:rPr>
        <w:t>4. 模型输出与双重验证逻辑</w:t>
      </w:r>
    </w:p>
    <w:p>
      <w:pPr>
        <w:spacing w:line="360" w:lineRule="auto" w:after="0"/>
        <w:ind w:firstLine="420"/>
      </w:pPr>
      <w:r>
        <w:rPr>
          <w:rFonts w:ascii="宋体" w:hAnsi="宋体" w:eastAsia="宋体"/>
          <w:b w:val="0"/>
          <w:sz w:val="21"/>
        </w:rPr>
        <w:t>LSTM模型最终预测输出公式为：</w:t>
      </w:r>
    </w:p>
    <w:p>
      <w:pPr>
        <w:spacing w:before="120" w:after="120"/>
        <w:jc w:val="center"/>
      </w:pPr>
      <w:r>
        <w:rPr>
          <w:rFonts w:ascii="Times New Roman" w:hAnsi="Times New Roman" w:eastAsia="Times New Roman"/>
          <w:b w:val="0"/>
          <w:sz w:val="22"/>
        </w:rPr>
        <w:t>ŷₜ = W · hₜ + b</w:t>
      </w:r>
    </w:p>
    <w:p>
      <w:pPr>
        <w:spacing w:line="360" w:lineRule="auto" w:after="0"/>
        <w:ind w:firstLine="420"/>
      </w:pPr>
      <w:r>
        <w:rPr>
          <w:rFonts w:ascii="宋体" w:hAnsi="宋体" w:eastAsia="宋体"/>
          <w:b w:val="0"/>
          <w:sz w:val="21"/>
        </w:rPr>
        <w:t>式中：ŷₜ为t时刻模型预测值；W、b分别为输出层权重与偏置项。</w:t>
      </w:r>
    </w:p>
    <w:p>
      <w:pPr>
        <w:spacing w:line="360" w:lineRule="auto" w:after="0"/>
        <w:ind w:firstLine="420"/>
      </w:pPr>
      <w:r>
        <w:rPr>
          <w:rFonts w:ascii="宋体" w:hAnsi="宋体" w:eastAsia="宋体"/>
          <w:b w:val="0"/>
          <w:sz w:val="21"/>
        </w:rPr>
        <w:t>两类模型互为补充、互为验证，提升了研究的准确性、可靠性、科学性。</w:t>
      </w:r>
    </w:p>
    <w:p>
      <w:pPr>
        <w:spacing w:before="240" w:after="120" w:line="360" w:lineRule="auto"/>
        <w:jc w:val="left"/>
      </w:pPr>
      <w:r>
        <w:rPr>
          <w:rFonts w:ascii="黑体" w:hAnsi="黑体" w:eastAsia="黑体"/>
          <w:b/>
          <w:color w:val="000000"/>
          <w:sz w:val="28"/>
        </w:rPr>
        <w:t>（四）模型评价指标</w:t>
      </w:r>
    </w:p>
    <w:p>
      <w:pPr>
        <w:spacing w:line="360" w:lineRule="auto" w:after="0"/>
        <w:ind w:firstLine="420"/>
      </w:pPr>
      <w:r>
        <w:rPr>
          <w:rFonts w:ascii="宋体" w:hAnsi="宋体" w:eastAsia="宋体"/>
          <w:b w:val="0"/>
          <w:sz w:val="21"/>
        </w:rPr>
        <w:t>为了更科学地检验XGBoost-SHAP模型与LSTM模型的预测准确性和拟合效果，本文选取了两大指标评价模型的拟合效果与离散程度两大方面，各指标计算公式如下：</w:t>
      </w:r>
    </w:p>
    <w:p>
      <w:pPr>
        <w:spacing w:before="240" w:after="120" w:line="360" w:lineRule="auto"/>
        <w:jc w:val="left"/>
      </w:pPr>
      <w:r>
        <w:rPr>
          <w:rFonts w:ascii="黑体" w:hAnsi="黑体" w:eastAsia="黑体"/>
          <w:b/>
          <w:color w:val="000000"/>
          <w:sz w:val="24"/>
        </w:rPr>
        <w:t>1. 决定系数 R²</w:t>
      </w:r>
    </w:p>
    <w:p>
      <w:pPr>
        <w:spacing w:line="360" w:lineRule="auto" w:after="0"/>
        <w:ind w:firstLine="420"/>
      </w:pPr>
      <w:r>
        <w:rPr>
          <w:rFonts w:ascii="宋体" w:hAnsi="宋体" w:eastAsia="宋体"/>
          <w:b w:val="0"/>
          <w:sz w:val="21"/>
        </w:rPr>
        <w:t>反映模型对因变量变异的解释程度，取值范围为[0,1]，数值越接近1，模型拟合效果越好：</w:t>
      </w:r>
    </w:p>
    <w:p>
      <w:pPr>
        <w:spacing w:before="120" w:after="120"/>
        <w:jc w:val="center"/>
      </w:pPr>
      <w:r>
        <w:rPr>
          <w:rFonts w:ascii="Times New Roman" w:hAnsi="Times New Roman" w:eastAsia="Times New Roman"/>
          <w:b w:val="0"/>
          <w:sz w:val="22"/>
        </w:rPr>
        <w:t>R² = 1 − Σᵢ₌₁ⁿ(yᵢ − ŷᵢ)² / Σᵢ₌₁ⁿ(yᵢ − ȳ)²</w:t>
      </w:r>
    </w:p>
    <w:p>
      <w:pPr>
        <w:spacing w:line="360" w:lineRule="auto" w:after="0"/>
        <w:ind w:firstLine="420"/>
      </w:pPr>
      <w:r>
        <w:rPr>
          <w:rFonts w:ascii="宋体" w:hAnsi="宋体" w:eastAsia="宋体"/>
          <w:b w:val="0"/>
          <w:sz w:val="21"/>
        </w:rPr>
        <w:t>其中，yᵢ为真实值，ŷᵢ为模型预测值，ȳ为真实值平均值，n为样本总量。</w:t>
      </w:r>
    </w:p>
    <w:p>
      <w:pPr>
        <w:spacing w:before="240" w:after="120" w:line="360" w:lineRule="auto"/>
        <w:jc w:val="left"/>
      </w:pPr>
      <w:r>
        <w:rPr>
          <w:rFonts w:ascii="黑体" w:hAnsi="黑体" w:eastAsia="黑体"/>
          <w:b/>
          <w:color w:val="000000"/>
          <w:sz w:val="24"/>
        </w:rPr>
        <w:t>2. 均方根误差 RMSE</w:t>
      </w:r>
    </w:p>
    <w:p>
      <w:pPr>
        <w:spacing w:line="360" w:lineRule="auto" w:after="0"/>
        <w:ind w:firstLine="420"/>
      </w:pPr>
      <w:r>
        <w:rPr>
          <w:rFonts w:ascii="宋体" w:hAnsi="宋体" w:eastAsia="宋体"/>
          <w:b w:val="0"/>
          <w:sz w:val="21"/>
        </w:rPr>
        <w:t>衡量模型预测值与真实值的离散程度，数值越小，模型预测精度越高：</w:t>
      </w:r>
    </w:p>
    <w:p>
      <w:pPr>
        <w:spacing w:before="120" w:after="120"/>
        <w:jc w:val="center"/>
      </w:pPr>
      <w:r>
        <w:rPr>
          <w:rFonts w:ascii="Times New Roman" w:hAnsi="Times New Roman" w:eastAsia="Times New Roman"/>
          <w:b w:val="0"/>
          <w:sz w:val="22"/>
        </w:rPr>
        <w:t>RMSE = √[ (1/n) · Σᵢ₌₁ⁿ(yᵢ − ŷᵢ)² ]</w:t>
      </w:r>
    </w:p>
    <w:p>
      <w:pPr>
        <w:spacing w:line="360" w:lineRule="auto" w:after="0"/>
        <w:ind w:firstLine="420"/>
      </w:pPr>
      <w:r>
        <w:rPr>
          <w:rFonts w:ascii="宋体" w:hAnsi="宋体" w:eastAsia="宋体"/>
          <w:b w:val="0"/>
          <w:sz w:val="21"/>
        </w:rPr>
        <w:t>其中，yᵢ为真实值，ŷᵢ为模型预测值，n为样本总量。</w:t>
      </w:r>
    </w:p>
    <w:p>
      <w:pPr>
        <w:spacing w:before="240" w:after="120" w:line="360" w:lineRule="auto"/>
        <w:jc w:val="center"/>
      </w:pPr>
      <w:r>
        <w:rPr>
          <w:rFonts w:ascii="黑体" w:hAnsi="黑体" w:eastAsia="黑体"/>
          <w:b/>
          <w:color w:val="000000"/>
          <w:sz w:val="32"/>
        </w:rPr>
        <w:t>四、基于XGBoost-SHAP的粮食生产风险核心因子识别</w:t>
      </w:r>
    </w:p>
    <w:p>
      <w:pPr>
        <w:spacing w:before="240" w:after="120" w:line="360" w:lineRule="auto"/>
        <w:jc w:val="left"/>
      </w:pPr>
      <w:r>
        <w:rPr>
          <w:rFonts w:ascii="黑体" w:hAnsi="黑体" w:eastAsia="黑体"/>
          <w:b/>
          <w:color w:val="000000"/>
          <w:sz w:val="28"/>
        </w:rPr>
        <w:t>（一）探索性数据分析与拟合性能评估</w:t>
      </w:r>
    </w:p>
    <w:p>
      <w:pPr>
        <w:spacing w:before="240" w:after="120" w:line="360" w:lineRule="auto"/>
        <w:jc w:val="left"/>
      </w:pPr>
      <w:r>
        <w:rPr>
          <w:rFonts w:ascii="黑体" w:hAnsi="黑体" w:eastAsia="黑体"/>
          <w:b/>
          <w:color w:val="000000"/>
          <w:sz w:val="24"/>
        </w:rPr>
        <w:t>1. 变量相关性分析</w:t>
      </w:r>
    </w:p>
    <w:p>
      <w:pPr>
        <w:spacing w:line="360" w:lineRule="auto" w:after="0"/>
        <w:ind w:firstLine="420"/>
      </w:pPr>
      <w:r>
        <w:rPr>
          <w:rFonts w:ascii="宋体" w:hAnsi="宋体" w:eastAsia="宋体"/>
          <w:b w:val="0"/>
          <w:sz w:val="21"/>
        </w:rPr>
        <w:t>为确保各气候因子与农业特征变量间是否存在多重共线性问题，确保模型输入的准确、合理性，在构建预测模型前，本研究首先利用Pearson相关系数对解释变量与目标变量（粮食单产风险）的相关性进行了探索性分析，结果如图4-1所示。</w:t>
      </w:r>
    </w:p>
    <w:p>
      <w:pPr>
        <w:spacing w:before="120" w:after="120" w:line="360" w:lineRule="auto"/>
        <w:jc w:val="center"/>
      </w:pPr>
      <w:r>
        <w:rPr>
          <w:rFonts w:ascii="黑体" w:hAnsi="黑体" w:eastAsia="黑体"/>
          <w:b/>
          <w:sz w:val="21"/>
        </w:rPr>
        <w:t>图4-1 粮食生产风险影响因子相关性热力图</w:t>
      </w:r>
    </w:p>
    <w:p>
      <w:pPr>
        <w:spacing w:line="360" w:lineRule="auto" w:after="0"/>
        <w:ind w:firstLine="420"/>
      </w:pPr>
      <w:r>
        <w:rPr>
          <w:rFonts w:ascii="宋体" w:hAnsi="宋体" w:eastAsia="宋体"/>
          <w:b w:val="0"/>
          <w:sz w:val="21"/>
        </w:rPr>
        <w:t>由热力图可知，本研究所选取的灌溉率、平均气温、降水量以及日照时数等核心指标与粮食单产风险Y之间整体相关性水平较低。同时，各解释变量之间的相关系数矩阵显示，变量间不存在高度共线性问题。这从数据统计维度证实了指标体系选取的科学性与合理性，符合后续建模的前提。</w:t>
      </w:r>
    </w:p>
    <w:p>
      <w:pPr>
        <w:spacing w:before="240" w:after="120" w:line="360" w:lineRule="auto"/>
        <w:jc w:val="left"/>
      </w:pPr>
      <w:r>
        <w:rPr>
          <w:rFonts w:ascii="黑体" w:hAnsi="黑体" w:eastAsia="黑体"/>
          <w:b/>
          <w:color w:val="000000"/>
          <w:sz w:val="24"/>
        </w:rPr>
        <w:t>2. 模型构建与拟合精度评估</w:t>
      </w:r>
    </w:p>
    <w:p>
      <w:pPr>
        <w:spacing w:line="360" w:lineRule="auto" w:after="0"/>
        <w:ind w:firstLine="420"/>
      </w:pPr>
      <w:r>
        <w:rPr>
          <w:rFonts w:ascii="宋体" w:hAnsi="宋体" w:eastAsia="宋体"/>
          <w:b w:val="0"/>
          <w:sz w:val="21"/>
        </w:rPr>
        <w:t>在完成数据探索后，本研究构建了基于XGBoost算法的粮食生产风险识别模型。将预处理后的数据集按8:2的比例随机划分为训练集与测试集。通过网格搜索（Grid Search）对模型超参数进行优化，最终确定学习率为0.1，最大深度为6，迭代次数为150次。</w:t>
      </w:r>
    </w:p>
    <w:p>
      <w:pPr>
        <w:spacing w:line="360" w:lineRule="auto" w:after="0"/>
        <w:ind w:firstLine="420"/>
      </w:pPr>
      <w:r>
        <w:rPr>
          <w:rFonts w:ascii="宋体" w:hAnsi="宋体" w:eastAsia="宋体"/>
          <w:b w:val="0"/>
          <w:sz w:val="21"/>
        </w:rPr>
        <w:t>从预测效果来看，模型在测试集上的表现优异。图4-2展示了模型预测值与观测真实值之间的分布关系。</w:t>
      </w:r>
    </w:p>
    <w:p>
      <w:pPr>
        <w:spacing w:before="120" w:after="120" w:line="360" w:lineRule="auto"/>
        <w:jc w:val="center"/>
      </w:pPr>
      <w:r>
        <w:rPr>
          <w:rFonts w:ascii="黑体" w:hAnsi="黑体" w:eastAsia="黑体"/>
          <w:b/>
          <w:sz w:val="21"/>
        </w:rPr>
        <w:t>图4-2 XGBoost模型粮食生产风险预测值与真实值拟合散点图</w:t>
      </w:r>
    </w:p>
    <w:p>
      <w:pPr>
        <w:spacing w:line="360" w:lineRule="auto" w:after="0"/>
        <w:ind w:firstLine="420"/>
      </w:pPr>
      <w:r>
        <w:rPr>
          <w:rFonts w:ascii="宋体" w:hAnsi="宋体" w:eastAsia="宋体"/>
          <w:b w:val="0"/>
          <w:sz w:val="21"/>
        </w:rPr>
        <w:t>经过模型训练与参数调优，XGBoost模型在测试集上的表现优异。其决定系数R²达到了0.6293，表明模型可以解释62.93%的单产风险波动；均方根误差RMSE为0.0051，处于较低水平。这证明了基于XGBoost-SHAP的因子识别结果具有极高的可信度。</w:t>
      </w:r>
    </w:p>
    <w:p>
      <w:pPr>
        <w:spacing w:before="240" w:after="120" w:line="360" w:lineRule="auto"/>
        <w:jc w:val="left"/>
      </w:pPr>
      <w:r>
        <w:rPr>
          <w:rFonts w:ascii="黑体" w:hAnsi="黑体" w:eastAsia="黑体"/>
          <w:b/>
          <w:color w:val="000000"/>
          <w:sz w:val="28"/>
        </w:rPr>
        <w:t>（二）特征重要性的全局分析</w:t>
      </w:r>
    </w:p>
    <w:p>
      <w:pPr>
        <w:spacing w:line="360" w:lineRule="auto" w:after="0"/>
        <w:ind w:firstLine="420"/>
      </w:pPr>
      <w:r>
        <w:rPr>
          <w:rFonts w:ascii="宋体" w:hAnsi="宋体" w:eastAsia="宋体"/>
          <w:b w:val="0"/>
          <w:sz w:val="21"/>
        </w:rPr>
        <w:t>为了从宏观层面识别影响我国粮食生产风险的主导因子，本研究利用SHAP均值绝对值（Mean |SHAP value|）对特征影响力进行了全局排序。排序结果展示了各解释变量对模型输出结果的平均贡献程度。</w:t>
      </w:r>
    </w:p>
    <w:p>
      <w:pPr>
        <w:spacing w:before="120" w:after="120" w:line="360" w:lineRule="auto"/>
        <w:jc w:val="center"/>
      </w:pPr>
      <w:r>
        <w:rPr>
          <w:rFonts w:ascii="黑体" w:hAnsi="黑体" w:eastAsia="黑体"/>
          <w:b/>
          <w:sz w:val="21"/>
        </w:rPr>
        <w:t>图4-3 基于SHAP全局重要性的特征排序图</w:t>
      </w:r>
    </w:p>
    <w:p>
      <w:pPr>
        <w:spacing w:line="360" w:lineRule="auto" w:after="0"/>
        <w:ind w:firstLine="420"/>
      </w:pPr>
      <w:r>
        <w:rPr>
          <w:rFonts w:ascii="宋体" w:hAnsi="宋体" w:eastAsia="宋体"/>
          <w:b w:val="0"/>
          <w:sz w:val="21"/>
        </w:rPr>
        <w:t>由图4-3可知，灌溉率、洪涝占比和日照时数位列影响力前三位。这表明，在极端气候频发的背景下，以灌溉为代表的人为调节能力与以旱涝为代表的气候冲击是决定粮食单产风险波动的核心力量。</w:t>
      </w:r>
    </w:p>
    <w:p>
      <w:pPr>
        <w:spacing w:before="240" w:after="120" w:line="360" w:lineRule="auto"/>
        <w:jc w:val="left"/>
      </w:pPr>
      <w:r>
        <w:rPr>
          <w:rFonts w:ascii="黑体" w:hAnsi="黑体" w:eastAsia="黑体"/>
          <w:b/>
          <w:color w:val="000000"/>
          <w:sz w:val="28"/>
        </w:rPr>
        <w:t>（三）基于SHAP蜂群图的核心因子解释</w:t>
      </w:r>
    </w:p>
    <w:p>
      <w:pPr>
        <w:spacing w:line="360" w:lineRule="auto" w:after="0"/>
        <w:ind w:firstLine="420"/>
      </w:pPr>
      <w:r>
        <w:rPr>
          <w:rFonts w:ascii="宋体" w:hAnsi="宋体" w:eastAsia="宋体"/>
          <w:b w:val="0"/>
          <w:sz w:val="21"/>
        </w:rPr>
        <w:t>为了进一步揭示各特征对粮食生产风险的正负影响方向及作用强度，本研究绘制了SHAP Summary Plot（蜂群图）。图中横坐标代表SHAP值（正值代表增加风险，负值代表降低风险），点的颜色代表特征数值的高低（红色为高，蓝色为低）。</w:t>
      </w:r>
    </w:p>
    <w:p>
      <w:pPr>
        <w:spacing w:before="120" w:after="120" w:line="360" w:lineRule="auto"/>
        <w:jc w:val="center"/>
      </w:pPr>
      <w:r>
        <w:rPr>
          <w:rFonts w:ascii="黑体" w:hAnsi="黑体" w:eastAsia="黑体"/>
          <w:b/>
          <w:sz w:val="21"/>
        </w:rPr>
        <w:t>图4-4 特征影响力SHAP蜂群总结图</w:t>
      </w:r>
    </w:p>
    <w:p>
      <w:pPr>
        <w:spacing w:line="360" w:lineRule="auto" w:after="0"/>
        <w:ind w:firstLine="420"/>
      </w:pPr>
      <w:r>
        <w:rPr>
          <w:rFonts w:ascii="宋体" w:hAnsi="宋体" w:eastAsia="宋体"/>
          <w:b w:val="0"/>
          <w:sz w:val="21"/>
        </w:rPr>
        <w:t>通过分析图4-4可以得出以下结论：</w:t>
      </w:r>
    </w:p>
    <w:p>
      <w:pPr>
        <w:spacing w:line="360" w:lineRule="auto" w:after="0"/>
        <w:ind w:firstLine="420"/>
      </w:pPr>
      <w:r>
        <w:rPr>
          <w:rFonts w:ascii="宋体" w:hAnsi="宋体" w:eastAsia="宋体"/>
          <w:b w:val="0"/>
          <w:sz w:val="21"/>
        </w:rPr>
        <w:t>韧性因子：灌溉率与日照时数的红色点（高值）显著集中在0轴左侧，表明提升水利覆盖与日照时长能有效负向拉动风险值，即起到明显的"减损"作用。</w:t>
      </w:r>
    </w:p>
    <w:p>
      <w:pPr>
        <w:spacing w:line="360" w:lineRule="auto" w:after="0"/>
        <w:ind w:firstLine="420"/>
      </w:pPr>
      <w:r>
        <w:rPr>
          <w:rFonts w:ascii="宋体" w:hAnsi="宋体" w:eastAsia="宋体"/>
          <w:b w:val="0"/>
          <w:sz w:val="21"/>
        </w:rPr>
        <w:t>致灾因子：洪涝占比与降水量的红色点主要分布在右侧，意味着强降水冲击直接推高了单产风险；干旱指数（SPEI）的蓝色点（代表干旱）对应的SHAP值为正，揭示了缺水对产量的剧烈破坏。</w:t>
      </w:r>
    </w:p>
    <w:p>
      <w:pPr>
        <w:spacing w:before="240" w:after="120" w:line="360" w:lineRule="auto"/>
        <w:jc w:val="left"/>
      </w:pPr>
      <w:r>
        <w:rPr>
          <w:rFonts w:ascii="黑体" w:hAnsi="黑体" w:eastAsia="黑体"/>
          <w:b/>
          <w:color w:val="000000"/>
          <w:sz w:val="28"/>
        </w:rPr>
        <w:t>（四）关键因子的交互效应研究</w:t>
      </w:r>
    </w:p>
    <w:p>
      <w:pPr>
        <w:spacing w:line="360" w:lineRule="auto" w:after="0"/>
        <w:ind w:firstLine="420"/>
      </w:pPr>
      <w:r>
        <w:rPr>
          <w:rFonts w:ascii="宋体" w:hAnsi="宋体" w:eastAsia="宋体"/>
          <w:b w:val="0"/>
          <w:sz w:val="21"/>
        </w:rPr>
        <w:t>为了挖掘极端气候与农业韧性因子的交互响应机制，本研究绘制了灌溉率与平均气温的SHAP交互依赖图（见图4-5）。</w:t>
      </w:r>
    </w:p>
    <w:p>
      <w:pPr>
        <w:spacing w:before="120" w:after="120" w:line="360" w:lineRule="auto"/>
        <w:jc w:val="center"/>
      </w:pPr>
      <w:r>
        <w:rPr>
          <w:rFonts w:ascii="黑体" w:hAnsi="黑体" w:eastAsia="黑体"/>
          <w:b/>
          <w:sz w:val="21"/>
        </w:rPr>
        <w:t>图4-5 灌溉率与平均气温的交互效应图</w:t>
      </w:r>
    </w:p>
    <w:p>
      <w:pPr>
        <w:spacing w:line="360" w:lineRule="auto" w:after="0"/>
        <w:ind w:firstLine="420"/>
      </w:pPr>
      <w:r>
        <w:rPr>
          <w:rFonts w:ascii="宋体" w:hAnsi="宋体" w:eastAsia="宋体"/>
          <w:b w:val="0"/>
          <w:sz w:val="21"/>
        </w:rPr>
        <w:t>结果分析：</w:t>
      </w:r>
    </w:p>
    <w:p>
      <w:pPr>
        <w:spacing w:line="360" w:lineRule="auto" w:after="0"/>
        <w:ind w:firstLine="420"/>
      </w:pPr>
      <w:r>
        <w:rPr>
          <w:rFonts w:ascii="宋体" w:hAnsi="宋体" w:eastAsia="宋体"/>
          <w:b w:val="0"/>
          <w:sz w:val="21"/>
        </w:rPr>
        <w:t>主效应分析：横轴显示，随着灌溉率的提升，其对风险的贡献值（SHAP value）整体呈现下降趋势。这定量化证明了提高灌溉覆盖率是降低极端气候风险的核心手段。</w:t>
      </w:r>
    </w:p>
    <w:p>
      <w:pPr>
        <w:spacing w:line="360" w:lineRule="auto" w:after="0"/>
        <w:ind w:firstLine="420"/>
      </w:pPr>
      <w:r>
        <w:rPr>
          <w:rFonts w:ascii="宋体" w:hAnsi="宋体" w:eastAsia="宋体"/>
          <w:b w:val="0"/>
          <w:sz w:val="21"/>
        </w:rPr>
        <w:t>交互效应识别：观察点的颜色分布发现，在相同的灌溉水平下，红色样本点（代表平均气温较高）对应的SHAP值普遍高于蓝色样本点（代表气温较低）。这表明：高温环境会部分抵消灌溉的减损效果，增加生产风险。</w:t>
      </w:r>
    </w:p>
    <w:p>
      <w:pPr>
        <w:spacing w:line="360" w:lineRule="auto" w:after="0"/>
        <w:ind w:firstLine="420"/>
      </w:pPr>
      <w:r>
        <w:rPr>
          <w:rFonts w:ascii="宋体" w:hAnsi="宋体" w:eastAsia="宋体"/>
          <w:b w:val="0"/>
          <w:sz w:val="21"/>
        </w:rPr>
        <w:t>结论总结：这种交互特征说明，在未来应对气候变化时，仅靠提升灌溉率是不够的，还需要结合温度调节等综合措施，才能更有效地增强农业生产系统的韧性。</w:t>
      </w:r>
    </w:p>
    <w:p>
      <w:pPr>
        <w:spacing w:before="240" w:after="120" w:line="360" w:lineRule="auto"/>
        <w:jc w:val="center"/>
      </w:pPr>
      <w:r>
        <w:rPr>
          <w:rFonts w:ascii="黑体" w:hAnsi="黑体" w:eastAsia="黑体"/>
          <w:b/>
          <w:color w:val="000000"/>
          <w:sz w:val="32"/>
        </w:rPr>
        <w:t>五、基于LSTM的粮食生产风险预测与双重验证</w:t>
      </w:r>
    </w:p>
    <w:p>
      <w:pPr>
        <w:spacing w:before="240" w:after="120" w:line="360" w:lineRule="auto"/>
        <w:jc w:val="left"/>
      </w:pPr>
      <w:r>
        <w:rPr>
          <w:rFonts w:ascii="黑体" w:hAnsi="黑体" w:eastAsia="黑体"/>
          <w:b/>
          <w:color w:val="000000"/>
          <w:sz w:val="28"/>
        </w:rPr>
        <w:t>（一）验证模型选择与参数设定</w:t>
      </w:r>
    </w:p>
    <w:p>
      <w:pPr>
        <w:spacing w:line="360" w:lineRule="auto" w:after="0"/>
        <w:ind w:firstLine="420"/>
      </w:pPr>
      <w:r>
        <w:rPr>
          <w:rFonts w:ascii="宋体" w:hAnsi="宋体" w:eastAsia="宋体"/>
          <w:b w:val="0"/>
          <w:sz w:val="21"/>
        </w:rPr>
        <w:t>为了进一步验证第四章基于XGBoost-SHAP所识别核心因子的稳健性与可靠性，本章引入深度学习领域中的长短期记忆网络（Long Short-Term Memory, LSTM）作为双重验证模型。LSTM凭借其特有的门控结构，能够有效捕获农业生产面板数据中隐含的非线性时序依赖特征。</w:t>
      </w:r>
    </w:p>
    <w:p>
      <w:pPr>
        <w:spacing w:line="360" w:lineRule="auto" w:after="0"/>
        <w:ind w:firstLine="420"/>
      </w:pPr>
      <w:r>
        <w:rPr>
          <w:rFonts w:ascii="宋体" w:hAnsi="宋体" w:eastAsia="宋体"/>
          <w:b w:val="0"/>
          <w:sz w:val="21"/>
        </w:rPr>
        <w:t>在模型构建方面，本研究设计的网络包含输入层、两层LSTM隐藏层及全连接输出层。模型采用Adam优化器执行参数权重更新，利用其自适应学习率机制确保在复杂特征空间内快速收敛。损失函数设定为均方误差（MSE），并通过引入Dropout层有效抑制模型在小样本集上的过拟合风险。</w:t>
      </w:r>
    </w:p>
    <w:p>
      <w:pPr>
        <w:spacing w:before="240" w:after="120" w:line="360" w:lineRule="auto"/>
        <w:jc w:val="left"/>
      </w:pPr>
      <w:r>
        <w:rPr>
          <w:rFonts w:ascii="黑体" w:hAnsi="黑体" w:eastAsia="黑体"/>
          <w:b/>
          <w:color w:val="000000"/>
          <w:sz w:val="28"/>
        </w:rPr>
        <w:t>（二）模型训练收敛性分析</w:t>
      </w:r>
    </w:p>
    <w:p>
      <w:pPr>
        <w:spacing w:line="360" w:lineRule="auto" w:after="0"/>
        <w:ind w:firstLine="420"/>
      </w:pPr>
      <w:r>
        <w:rPr>
          <w:rFonts w:ascii="宋体" w:hAnsi="宋体" w:eastAsia="宋体"/>
          <w:b w:val="0"/>
          <w:sz w:val="21"/>
        </w:rPr>
        <w:t>模型训练过程中的损失函数演化情况是判断网络拟合状态的关键指标。</w:t>
      </w:r>
    </w:p>
    <w:p>
      <w:pPr>
        <w:spacing w:before="120" w:after="120" w:line="360" w:lineRule="auto"/>
        <w:jc w:val="center"/>
      </w:pPr>
      <w:r>
        <w:rPr>
          <w:rFonts w:ascii="黑体" w:hAnsi="黑体" w:eastAsia="黑体"/>
          <w:b/>
          <w:sz w:val="21"/>
        </w:rPr>
        <w:t>图5-1 LSTM模型训练损失函数（Loss）收敛曲线</w:t>
      </w:r>
    </w:p>
    <w:p>
      <w:pPr>
        <w:spacing w:line="360" w:lineRule="auto" w:after="0"/>
        <w:ind w:firstLine="420"/>
      </w:pPr>
      <w:r>
        <w:rPr>
          <w:rFonts w:ascii="宋体" w:hAnsi="宋体" w:eastAsia="宋体"/>
          <w:b w:val="0"/>
          <w:sz w:val="21"/>
        </w:rPr>
        <w:t>如图5-1所示，随着迭代周期（Epoch）的推进，训练集与验证集的损失值均呈现显著的负指数型下降，并最终在高精度区间趋于平稳。两条曲线在收敛过程中保持了高度的同步性，未出现明显的震荡或泛化偏差，表明模型参数已达到最优搜索区间，训练效果符合预期。</w:t>
      </w:r>
    </w:p>
    <w:p>
      <w:pPr>
        <w:spacing w:before="240" w:after="120" w:line="360" w:lineRule="auto"/>
        <w:jc w:val="left"/>
      </w:pPr>
      <w:r>
        <w:rPr>
          <w:rFonts w:ascii="黑体" w:hAnsi="黑体" w:eastAsia="黑体"/>
          <w:b/>
          <w:color w:val="000000"/>
          <w:sz w:val="28"/>
        </w:rPr>
        <w:t>（三）预测精度评估与跨模型对比</w:t>
      </w:r>
    </w:p>
    <w:p>
      <w:pPr>
        <w:spacing w:line="360" w:lineRule="auto" w:after="0"/>
        <w:ind w:firstLine="420"/>
      </w:pPr>
      <w:r>
        <w:rPr>
          <w:rFonts w:ascii="宋体" w:hAnsi="宋体" w:eastAsia="宋体"/>
          <w:b w:val="0"/>
          <w:sz w:val="21"/>
        </w:rPr>
        <w:t>为客观定量地评价验证模型的性能，本章选取决定系数（R²）与均方根误差（RMSE）作为评价指标，并将结果与第四章集成学习模型进行横向对比。</w:t>
      </w:r>
    </w:p>
    <w:p>
      <w:pPr>
        <w:spacing w:before="120" w:after="120" w:line="360" w:lineRule="auto"/>
        <w:jc w:val="center"/>
      </w:pPr>
      <w:r>
        <w:rPr>
          <w:rFonts w:ascii="黑体" w:hAnsi="黑体" w:eastAsia="黑体"/>
          <w:b/>
          <w:sz w:val="21"/>
        </w:rPr>
        <w:t>图5-2 LSTM模型预测值与真实值拟合散点图</w:t>
      </w:r>
    </w:p>
    <w:p>
      <w:pPr>
        <w:spacing w:before="120" w:after="120" w:line="360" w:lineRule="auto"/>
        <w:jc w:val="center"/>
      </w:pPr>
      <w:r>
        <w:rPr>
          <w:rFonts w:ascii="黑体" w:hAnsi="黑体" w:eastAsia="黑体"/>
          <w:b/>
          <w:sz w:val="21"/>
        </w:rPr>
        <w:t>表5-1 不同模型预测性能对比表</w:t>
      </w:r>
    </w:p>
    <w:tbl>
      <w:tblPr>
        <w:tblStyle w:val="TableGrid"/>
        <w:tblW w:type="auto" w:w="0"/>
        <w:jc w:val="center"/>
        <w:tblLook w:firstColumn="1" w:firstRow="1" w:lastColumn="0" w:lastRow="0" w:noHBand="0" w:noVBand="1" w:val="04A0"/>
      </w:tblPr>
      <w:tblGrid>
        <w:gridCol w:w="2882"/>
        <w:gridCol w:w="2882"/>
        <w:gridCol w:w="2882"/>
      </w:tblGrid>
      <w:tr>
        <w:tc>
          <w:tcPr>
            <w:tcW w:type="dxa" w:w="2835"/>
            <w:vAlign w:val="center"/>
          </w:tcPr>
          <w:p>
            <w:pPr>
              <w:jc w:val="center"/>
            </w:pPr>
            <w:r/>
            <w:r>
              <w:rPr>
                <w:rFonts w:ascii="宋体" w:hAnsi="宋体" w:eastAsia="宋体"/>
                <w:b/>
                <w:sz w:val="20"/>
              </w:rPr>
              <w:t>评估指标</w:t>
            </w:r>
          </w:p>
        </w:tc>
        <w:tc>
          <w:tcPr>
            <w:tcW w:type="dxa" w:w="2835"/>
            <w:vAlign w:val="center"/>
          </w:tcPr>
          <w:p>
            <w:pPr>
              <w:jc w:val="center"/>
            </w:pPr>
            <w:r/>
            <w:r>
              <w:rPr>
                <w:rFonts w:ascii="宋体" w:hAnsi="宋体" w:eastAsia="宋体"/>
                <w:b/>
                <w:sz w:val="20"/>
              </w:rPr>
              <w:t>XGBoost模型</w:t>
            </w:r>
          </w:p>
        </w:tc>
        <w:tc>
          <w:tcPr>
            <w:tcW w:type="dxa" w:w="2835"/>
            <w:vAlign w:val="center"/>
          </w:tcPr>
          <w:p>
            <w:pPr>
              <w:jc w:val="center"/>
            </w:pPr>
            <w:r/>
            <w:r>
              <w:rPr>
                <w:rFonts w:ascii="宋体" w:hAnsi="宋体" w:eastAsia="宋体"/>
                <w:b/>
                <w:sz w:val="20"/>
              </w:rPr>
              <w:t>LSTM验证模型</w:t>
            </w:r>
          </w:p>
        </w:tc>
      </w:tr>
      <w:tr>
        <w:tc>
          <w:tcPr>
            <w:tcW w:type="dxa" w:w="2835"/>
            <w:vAlign w:val="center"/>
          </w:tcPr>
          <w:p>
            <w:pPr>
              <w:jc w:val="center"/>
            </w:pPr>
            <w:r/>
            <w:r>
              <w:rPr>
                <w:rFonts w:ascii="宋体" w:hAnsi="宋体" w:eastAsia="宋体"/>
                <w:b w:val="0"/>
                <w:sz w:val="20"/>
              </w:rPr>
              <w:t>决定系数 R²</w:t>
            </w:r>
          </w:p>
        </w:tc>
        <w:tc>
          <w:tcPr>
            <w:tcW w:type="dxa" w:w="2835"/>
            <w:vAlign w:val="center"/>
          </w:tcPr>
          <w:p>
            <w:pPr>
              <w:jc w:val="center"/>
            </w:pPr>
            <w:r/>
            <w:r>
              <w:rPr>
                <w:rFonts w:ascii="宋体" w:hAnsi="宋体" w:eastAsia="宋体"/>
                <w:b w:val="0"/>
                <w:sz w:val="20"/>
              </w:rPr>
              <w:t>0.6293</w:t>
            </w:r>
          </w:p>
        </w:tc>
        <w:tc>
          <w:tcPr>
            <w:tcW w:type="dxa" w:w="2835"/>
            <w:vAlign w:val="center"/>
          </w:tcPr>
          <w:p>
            <w:pPr>
              <w:jc w:val="center"/>
            </w:pPr>
            <w:r/>
            <w:r>
              <w:rPr>
                <w:rFonts w:ascii="宋体" w:hAnsi="宋体" w:eastAsia="宋体"/>
                <w:b w:val="0"/>
                <w:sz w:val="20"/>
              </w:rPr>
              <w:t>0.6619</w:t>
            </w:r>
          </w:p>
        </w:tc>
      </w:tr>
      <w:tr>
        <w:tc>
          <w:tcPr>
            <w:tcW w:type="dxa" w:w="2835"/>
            <w:vAlign w:val="center"/>
          </w:tcPr>
          <w:p>
            <w:pPr>
              <w:jc w:val="center"/>
            </w:pPr>
            <w:r/>
            <w:r>
              <w:rPr>
                <w:rFonts w:ascii="宋体" w:hAnsi="宋体" w:eastAsia="宋体"/>
                <w:b w:val="0"/>
                <w:sz w:val="20"/>
              </w:rPr>
              <w:t>均方根误差 RMSE</w:t>
            </w:r>
          </w:p>
        </w:tc>
        <w:tc>
          <w:tcPr>
            <w:tcW w:type="dxa" w:w="2835"/>
            <w:vAlign w:val="center"/>
          </w:tcPr>
          <w:p>
            <w:pPr>
              <w:jc w:val="center"/>
            </w:pPr>
            <w:r/>
            <w:r>
              <w:rPr>
                <w:rFonts w:ascii="宋体" w:hAnsi="宋体" w:eastAsia="宋体"/>
                <w:b w:val="0"/>
                <w:sz w:val="20"/>
              </w:rPr>
              <w:t>0.0051</w:t>
            </w:r>
          </w:p>
        </w:tc>
        <w:tc>
          <w:tcPr>
            <w:tcW w:type="dxa" w:w="2835"/>
            <w:vAlign w:val="center"/>
          </w:tcPr>
          <w:p>
            <w:pPr>
              <w:jc w:val="center"/>
            </w:pPr>
            <w:r/>
            <w:r>
              <w:rPr>
                <w:rFonts w:ascii="宋体" w:hAnsi="宋体" w:eastAsia="宋体"/>
                <w:b w:val="0"/>
                <w:sz w:val="20"/>
              </w:rPr>
              <w:t>0.0046</w:t>
            </w:r>
          </w:p>
        </w:tc>
      </w:tr>
    </w:tbl>
    <w:p>
      <w:pPr>
        <w:spacing w:line="360" w:lineRule="auto" w:after="0"/>
        <w:ind w:firstLine="420"/>
      </w:pPr>
      <w:r>
        <w:rPr>
          <w:rFonts w:ascii="宋体" w:hAnsi="宋体" w:eastAsia="宋体"/>
          <w:b w:val="0"/>
          <w:sz w:val="21"/>
        </w:rPr>
        <w:t>结合图5-2与表5-1的实验数据发现，LSTM验证模型表现出卓越的拟合性能。在同等实验条件下，深度学习模型的R²指标较集成学习模型略有优化，同时RMSE进一步收缩。这证明了本文构建的风险识别体系在不同算法架构下均具备极高的预测精度，验证了前文结果的客观性。</w:t>
      </w:r>
    </w:p>
    <w:p>
      <w:pPr>
        <w:spacing w:before="240" w:after="120" w:line="360" w:lineRule="auto"/>
        <w:jc w:val="left"/>
      </w:pPr>
      <w:r>
        <w:rPr>
          <w:rFonts w:ascii="黑体" w:hAnsi="黑体" w:eastAsia="黑体"/>
          <w:b/>
          <w:color w:val="000000"/>
          <w:sz w:val="28"/>
        </w:rPr>
        <w:t>（四）风险演化趋势一致性验证</w:t>
      </w:r>
    </w:p>
    <w:p>
      <w:pPr>
        <w:spacing w:line="360" w:lineRule="auto" w:after="0"/>
        <w:ind w:firstLine="420"/>
      </w:pPr>
      <w:r>
        <w:rPr>
          <w:rFonts w:ascii="宋体" w:hAnsi="宋体" w:eastAsia="宋体"/>
          <w:b w:val="0"/>
          <w:sz w:val="21"/>
        </w:rPr>
        <w:t>为进一步考察模型在时间维度上的表现，本研究绘制了测试集样本的风险值时序对比图。</w:t>
      </w:r>
    </w:p>
    <w:p>
      <w:pPr>
        <w:spacing w:before="120" w:after="120" w:line="360" w:lineRule="auto"/>
        <w:jc w:val="center"/>
      </w:pPr>
      <w:r>
        <w:rPr>
          <w:rFonts w:ascii="黑体" w:hAnsi="黑体" w:eastAsia="黑体"/>
          <w:b/>
          <w:sz w:val="21"/>
        </w:rPr>
        <w:t>图5-3 粮食单产风险时序预测趋势对比图</w:t>
      </w:r>
    </w:p>
    <w:p>
      <w:pPr>
        <w:spacing w:line="360" w:lineRule="auto" w:after="0"/>
        <w:ind w:firstLine="420"/>
      </w:pPr>
      <w:r>
        <w:rPr>
          <w:rFonts w:ascii="宋体" w:hAnsi="宋体" w:eastAsia="宋体"/>
          <w:b w:val="0"/>
          <w:sz w:val="21"/>
        </w:rPr>
        <w:t>结果分析：如图5-3所示，LSTM模型预测的风险演化轨迹（Predict）与实际观察值（Real）展现了高度的拟合一致性，成功捕捉到了粮食单产风险随环境因子波动的内在规律，证明了模型对时间序列动态变化的强大刻画能力。</w:t>
      </w:r>
    </w:p>
    <w:p>
      <w:pPr>
        <w:spacing w:before="240" w:after="120" w:line="360" w:lineRule="auto"/>
        <w:jc w:val="left"/>
      </w:pPr>
      <w:r>
        <w:rPr>
          <w:rFonts w:ascii="黑体" w:hAnsi="黑体" w:eastAsia="黑体"/>
          <w:b/>
          <w:color w:val="000000"/>
          <w:sz w:val="28"/>
        </w:rPr>
        <w:t>（五）结果稳健性讨论</w:t>
      </w:r>
    </w:p>
    <w:p>
      <w:pPr>
        <w:spacing w:line="360" w:lineRule="auto" w:after="0"/>
        <w:ind w:firstLine="420"/>
      </w:pPr>
      <w:r>
        <w:rPr>
          <w:rFonts w:ascii="宋体" w:hAnsi="宋体" w:eastAsia="宋体"/>
          <w:b w:val="0"/>
          <w:sz w:val="21"/>
        </w:rPr>
        <w:t>为进一步验证前文实证分析结论的可靠性，排除模型算法选择对研究结果可能产生的偶然性干扰，本章引入深度学习领域中处理时序面板数据具有显著优势的长短期记忆网络（LSTM）作为验证模型。通过对相同样本数据进行训练，并结合SHAP归因分析框架，得到特征贡献度分布情况（见图5-4）。</w:t>
      </w:r>
    </w:p>
    <w:p>
      <w:pPr>
        <w:spacing w:before="120" w:after="120" w:line="360" w:lineRule="auto"/>
        <w:jc w:val="center"/>
      </w:pPr>
      <w:r>
        <w:rPr>
          <w:rFonts w:ascii="黑体" w:hAnsi="黑体" w:eastAsia="黑体"/>
          <w:b/>
          <w:sz w:val="21"/>
        </w:rPr>
        <w:t>图5-4 基于LSTM验证模型的各特征影响力分布（SHAP）</w:t>
      </w:r>
    </w:p>
    <w:p>
      <w:pPr>
        <w:spacing w:line="360" w:lineRule="auto" w:after="0"/>
        <w:ind w:firstLine="420"/>
      </w:pPr>
      <w:r>
        <w:rPr>
          <w:rFonts w:ascii="宋体" w:hAnsi="宋体" w:eastAsia="宋体"/>
          <w:b w:val="0"/>
          <w:sz w:val="21"/>
        </w:rPr>
        <w:t>从图5-4的分布结果来看，验证模型不仅在拟合精度上表现良好，其核心逻辑亦展现出极强的稳健性：</w:t>
      </w:r>
    </w:p>
    <w:p>
      <w:pPr>
        <w:spacing w:line="360" w:lineRule="auto" w:after="0"/>
        <w:ind w:firstLine="420"/>
      </w:pPr>
      <w:r>
        <w:rPr>
          <w:rFonts w:ascii="宋体" w:hAnsi="宋体" w:eastAsia="宋体"/>
          <w:b w:val="0"/>
          <w:sz w:val="21"/>
        </w:rPr>
        <w:t>①核心驱动因子高度一致：在LSTM模型架构下，灌溉率、洪涝占比以及日照时数依然是对粮食单产风险解释力度最强的三个变量。这证明了前文基于XGBoost模型识别出的关键致灾因子与环境因子具有跨算法的普适性。</w:t>
      </w:r>
    </w:p>
    <w:p>
      <w:pPr>
        <w:spacing w:line="360" w:lineRule="auto" w:after="0"/>
        <w:ind w:firstLine="420"/>
      </w:pPr>
      <w:r>
        <w:rPr>
          <w:rFonts w:ascii="宋体" w:hAnsi="宋体" w:eastAsia="宋体"/>
          <w:b w:val="0"/>
          <w:sz w:val="21"/>
        </w:rPr>
        <w:t>②作用方向逻辑自洽：图中红蓝散点的分布规律清晰地反映了各因子的边际影响方向。其中，灌溉率的高值（红色点）显著集中于负半轴，再次佐证了完善的灌溉基础设施能够有效抑制单产风险；而洪涝占比的高值则集中分布于正半轴，证实了其风险推高效应。</w:t>
      </w:r>
    </w:p>
    <w:p>
      <w:pPr>
        <w:spacing w:line="360" w:lineRule="auto" w:after="0"/>
        <w:ind w:firstLine="420"/>
      </w:pPr>
      <w:r>
        <w:rPr>
          <w:rFonts w:ascii="宋体" w:hAnsi="宋体" w:eastAsia="宋体"/>
          <w:b w:val="0"/>
          <w:sz w:val="21"/>
        </w:rPr>
        <w:t>③特征梯度分布自然：图中特征贡献度从上至下呈现出合理的梯度递减趋势，除核心因子外，其余辅助因子如农机化程度、化肥施用量等亦表现出符合预期的微弱调节作用。</w:t>
      </w:r>
    </w:p>
    <w:p>
      <w:pPr>
        <w:spacing w:line="360" w:lineRule="auto" w:after="0"/>
        <w:ind w:firstLine="420"/>
      </w:pPr>
      <w:r>
        <w:rPr>
          <w:rFonts w:ascii="宋体" w:hAnsi="宋体" w:eastAsia="宋体"/>
          <w:b w:val="0"/>
          <w:sz w:val="21"/>
        </w:rPr>
        <w:t>综上所述，本文所构建的粮食单产风险评价体系在机器学习与深度学习双重架构下均通过了逻辑验证。实证研究结论具有极高的稳健性（Robustness），不仅能够准确反映历史数据的内在规律，也为后文提出的风险防范政策提供了坚实的科学支撑。</w:t>
      </w:r>
    </w:p>
    <w:p>
      <w:pPr>
        <w:spacing w:before="240" w:after="120" w:line="360" w:lineRule="auto"/>
        <w:jc w:val="center"/>
      </w:pPr>
      <w:r>
        <w:rPr>
          <w:rFonts w:ascii="黑体" w:hAnsi="黑体" w:eastAsia="黑体"/>
          <w:b/>
          <w:color w:val="000000"/>
          <w:sz w:val="32"/>
        </w:rPr>
        <w:t>六、生产韧性提升</w:t>
      </w:r>
    </w:p>
    <w:p>
      <w:pPr>
        <w:spacing w:before="240" w:after="120" w:line="360" w:lineRule="auto"/>
        <w:jc w:val="left"/>
      </w:pPr>
      <w:r>
        <w:rPr>
          <w:rFonts w:ascii="黑体" w:hAnsi="黑体" w:eastAsia="黑体"/>
          <w:b/>
          <w:color w:val="000000"/>
          <w:sz w:val="28"/>
        </w:rPr>
        <w:t>（一）风险特征分析</w:t>
      </w:r>
    </w:p>
    <w:p>
      <w:pPr>
        <w:spacing w:line="360" w:lineRule="auto" w:after="0"/>
        <w:ind w:firstLine="420"/>
      </w:pPr>
      <w:r>
        <w:rPr>
          <w:rFonts w:ascii="宋体" w:hAnsi="宋体" w:eastAsia="宋体"/>
          <w:b w:val="0"/>
          <w:sz w:val="21"/>
        </w:rPr>
        <w:t>本节通过对前文影响因子的分析和对我国粮食生产风险的量化识别，下面将从自然气候风险、生产要素风险、系统传导风险三个主要维度，深度剖析极端气候背景下我国粮食生产风险呈现的核心特征，同时进一步为后续韧性提升策略提供靶向依据。</w:t>
      </w:r>
    </w:p>
    <w:p>
      <w:pPr>
        <w:spacing w:before="240" w:after="120" w:line="360" w:lineRule="auto"/>
        <w:jc w:val="left"/>
      </w:pPr>
      <w:r>
        <w:rPr>
          <w:rFonts w:ascii="黑体" w:hAnsi="黑体" w:eastAsia="黑体"/>
          <w:b/>
          <w:color w:val="000000"/>
          <w:sz w:val="24"/>
        </w:rPr>
        <w:t>1. 粮食生产多维风险</w:t>
      </w:r>
    </w:p>
    <w:p>
      <w:pPr>
        <w:spacing w:line="360" w:lineRule="auto" w:after="0"/>
        <w:ind w:firstLine="420"/>
      </w:pPr>
      <w:r>
        <w:rPr>
          <w:rFonts w:ascii="宋体" w:hAnsi="宋体" w:eastAsia="宋体"/>
          <w:b w:val="0"/>
          <w:sz w:val="21"/>
        </w:rPr>
        <w:t>①自然气候风险：随着全球变暖，我国极端事件频发，如持续性高温、台风、持续性洪涝与干旱、强降水等天气直接对我国粮食主产区造成产量上的极大冲击，使农民朋友苦不堪言。其中，我国北方黄淮海、东北平原等地区的干旱程度逐渐上升，而长江中下游流域发生高温热害与洪涝灾害的次数也越来越多，在西南喀斯特地区，干旱与石漠化双重叠加，给作物生长带来了极大考验。总体来看，我国呈现出"北旱南涝，东西分化"的异质性特征。</w:t>
      </w:r>
    </w:p>
    <w:p>
      <w:pPr>
        <w:spacing w:line="360" w:lineRule="auto" w:after="0"/>
        <w:ind w:firstLine="420"/>
      </w:pPr>
      <w:r>
        <w:rPr>
          <w:rFonts w:ascii="宋体" w:hAnsi="宋体" w:eastAsia="宋体"/>
          <w:b w:val="0"/>
          <w:sz w:val="21"/>
        </w:rPr>
        <w:t>气候变暖不仅直接影响作物，而且通过导致病虫害越冬基数增加、繁殖期缩短，间接使作物受到损害，因此形成了"气候异常-病虫害爆发-粮食减产"的链式传导路径，进一步放大了极端气候对作物影响的程度。</w:t>
      </w:r>
    </w:p>
    <w:p>
      <w:pPr>
        <w:spacing w:line="360" w:lineRule="auto" w:after="0"/>
        <w:ind w:firstLine="420"/>
      </w:pPr>
      <w:r>
        <w:rPr>
          <w:rFonts w:ascii="宋体" w:hAnsi="宋体" w:eastAsia="宋体"/>
          <w:b w:val="0"/>
          <w:sz w:val="21"/>
        </w:rPr>
        <w:t>虽然粮食系统有一定限度的自我修复能力，但短期的极端天气的冲击与长期的水资源短缺与土地荒漠化程度加深等问题相结合，最终达到的累积效应，削弱了粮食系统的自我修复能力，使之在面对复杂天气时应对能力下降。</w:t>
      </w:r>
    </w:p>
    <w:p>
      <w:pPr>
        <w:spacing w:line="360" w:lineRule="auto" w:after="0"/>
        <w:ind w:firstLine="420"/>
      </w:pPr>
      <w:r>
        <w:rPr>
          <w:rFonts w:ascii="宋体" w:hAnsi="宋体" w:eastAsia="宋体"/>
          <w:b w:val="0"/>
          <w:sz w:val="21"/>
        </w:rPr>
        <w:t>②生产要素风险：由于现阶段我国降水时空分布不均匀，所以前文提到的重要生产要素之一灌溉就显得尤为重要。我国北方地区降水较为不足，所以主产区灌溉用水的需求扩大，而南方部分地区洪涝灾害发生频率增加，并且农业用水效率不高，节水灌溉技术普及度不高，造成了大量水资源的浪费。</w:t>
      </w:r>
    </w:p>
    <w:p>
      <w:pPr>
        <w:spacing w:line="360" w:lineRule="auto" w:after="0"/>
        <w:ind w:firstLine="420"/>
      </w:pPr>
      <w:r>
        <w:rPr>
          <w:rFonts w:ascii="宋体" w:hAnsi="宋体" w:eastAsia="宋体"/>
          <w:b w:val="0"/>
          <w:sz w:val="21"/>
        </w:rPr>
        <w:t>前文提到的其余重要生产要素如化肥、农机等农资产品的价格容易受到国际市场波动的影响，直接导致了种植成本的持续性增加，另外，农村青壮年劳动力持续外流，生产组织化程度降低，也使得粮食抗冲击能力进一步弱化。</w:t>
      </w:r>
    </w:p>
    <w:p>
      <w:pPr>
        <w:spacing w:line="360" w:lineRule="auto" w:after="0"/>
        <w:ind w:firstLine="420"/>
      </w:pPr>
      <w:r>
        <w:rPr>
          <w:rFonts w:ascii="宋体" w:hAnsi="宋体" w:eastAsia="宋体"/>
          <w:b w:val="0"/>
          <w:sz w:val="21"/>
        </w:rPr>
        <w:t>③系统传导风险：现阶段的极端气候特征与生产适应性匹配度不高，在农业相关支持政策、保障措施等方面不完善，难以有效应对来自自然与市场的双重冲击，进一步削弱了生产系统的整体韧性。</w:t>
      </w:r>
    </w:p>
    <w:p>
      <w:pPr>
        <w:spacing w:line="360" w:lineRule="auto" w:after="0"/>
        <w:ind w:firstLine="420"/>
      </w:pPr>
      <w:r>
        <w:rPr>
          <w:rFonts w:ascii="宋体" w:hAnsi="宋体" w:eastAsia="宋体"/>
          <w:b w:val="0"/>
          <w:sz w:val="21"/>
        </w:rPr>
        <w:t>产业链每一部分都受到上下游的影响，而极端气候不仅直接影响粮食种植环节，还间接影响到其他上下游产业链，如：农资供应、物流运输、加工流通等环节，导致风险放大，影响粮食供给稳定性。</w:t>
      </w:r>
    </w:p>
    <w:p>
      <w:pPr>
        <w:spacing w:line="360" w:lineRule="auto" w:after="0"/>
        <w:ind w:firstLine="420"/>
      </w:pPr>
      <w:r>
        <w:rPr>
          <w:rFonts w:ascii="宋体" w:hAnsi="宋体" w:eastAsia="宋体"/>
          <w:b w:val="0"/>
          <w:sz w:val="21"/>
        </w:rPr>
        <w:t>一些粮食主产区的生产风险会通过运输、调配等环节流向销售区，当主产区面临较大风险时，依赖型销售区随之导致粮食短缺，粮价波动，加剧市场不稳定性。</w:t>
      </w:r>
    </w:p>
    <w:p>
      <w:pPr>
        <w:spacing w:before="240" w:after="120" w:line="360" w:lineRule="auto"/>
        <w:jc w:val="left"/>
      </w:pPr>
      <w:r>
        <w:rPr>
          <w:rFonts w:ascii="黑体" w:hAnsi="黑体" w:eastAsia="黑体"/>
          <w:b/>
          <w:color w:val="000000"/>
          <w:sz w:val="28"/>
        </w:rPr>
        <w:t>（二）针对性提升对策与建议</w:t>
      </w:r>
    </w:p>
    <w:p>
      <w:pPr>
        <w:spacing w:line="360" w:lineRule="auto" w:after="0"/>
        <w:ind w:firstLine="420"/>
      </w:pPr>
      <w:r>
        <w:rPr>
          <w:rFonts w:ascii="宋体" w:hAnsi="宋体" w:eastAsia="宋体"/>
          <w:b w:val="0"/>
          <w:sz w:val="21"/>
        </w:rPr>
        <w:t>针对上文对风险特征与核心影响因子的分析，并结合模型结果与当前我国粮食生产的现实基础，本节将从三大维度给出建议，包括技术赋能、设施建设、制度保障，从而构建起"事前预防—事中应对—事后恢复"的全链条提升体系。</w:t>
      </w:r>
    </w:p>
    <w:p>
      <w:pPr>
        <w:spacing w:before="240" w:after="120" w:line="360" w:lineRule="auto"/>
        <w:jc w:val="left"/>
      </w:pPr>
      <w:r>
        <w:rPr>
          <w:rFonts w:ascii="黑体" w:hAnsi="黑体" w:eastAsia="黑体"/>
          <w:b/>
          <w:color w:val="000000"/>
          <w:sz w:val="24"/>
        </w:rPr>
        <w:t>1. 综合应对对策</w:t>
      </w:r>
    </w:p>
    <w:p>
      <w:pPr>
        <w:spacing w:line="360" w:lineRule="auto" w:after="0"/>
        <w:ind w:firstLine="420"/>
      </w:pPr>
      <w:r>
        <w:rPr>
          <w:rFonts w:ascii="宋体" w:hAnsi="宋体" w:eastAsia="宋体"/>
          <w:b w:val="0"/>
          <w:sz w:val="21"/>
        </w:rPr>
        <w:t>①强化科技赋能：加快抗极端天气等抗逆性作物品种的研发与投入，建立主产区适应性品种的筛选与推广模式，从不同区域的风险特征出发，定向培育与其适配的品种，不断从源头提升作物的自然风险抵御能力。</w:t>
      </w:r>
    </w:p>
    <w:p>
      <w:pPr>
        <w:spacing w:line="360" w:lineRule="auto" w:after="0"/>
        <w:ind w:firstLine="420"/>
      </w:pPr>
      <w:r>
        <w:rPr>
          <w:rFonts w:ascii="宋体" w:hAnsi="宋体" w:eastAsia="宋体"/>
          <w:b w:val="0"/>
          <w:sz w:val="21"/>
        </w:rPr>
        <w:t>建设基于物联网、大数据等的农田环境监测系统，对风险因子实时监控与预警，利用模型、AI等技术构建预测模型，提前做好相应保障措施。此外，推进智能化设备的应用，如无人机植保、精准灌溉等技术，减少极端气候对作物影响。组建专业化技术人员队伍，针对农田有效指导，提升生产主体技术应用能力。</w:t>
      </w:r>
    </w:p>
    <w:p>
      <w:pPr>
        <w:spacing w:line="360" w:lineRule="auto" w:after="0"/>
        <w:ind w:firstLine="420"/>
      </w:pPr>
      <w:r>
        <w:rPr>
          <w:rFonts w:ascii="宋体" w:hAnsi="宋体" w:eastAsia="宋体"/>
          <w:b w:val="0"/>
          <w:sz w:val="21"/>
        </w:rPr>
        <w:t>②完善基础设施：在粮食主产区建立化肥、农机等物资储备库，保障灾后生产恢复需求。在台风、强对流天气高发区域，加固农业设施大棚等，减少极端天气造成损失。持续推进高标准农田建设，完善灌溉配套措施，针对不同区域新建、改建一批中小型水利设施，以此来缓解水资源时空分布不均带来的风险。</w:t>
      </w:r>
    </w:p>
    <w:p>
      <w:pPr>
        <w:spacing w:line="360" w:lineRule="auto" w:after="0"/>
        <w:ind w:firstLine="420"/>
      </w:pPr>
      <w:r>
        <w:rPr>
          <w:rFonts w:ascii="宋体" w:hAnsi="宋体" w:eastAsia="宋体"/>
          <w:b w:val="0"/>
          <w:sz w:val="21"/>
        </w:rPr>
        <w:t>③健全制度保障：提高农业保障水平，扩大农业保险覆盖面，对受灾用户迅速、直接给予受灾补贴，并对种粮大户及优秀示范户给予奖励。建立政府、农业、气象等多相关部门协同的粮食生产风险防控机制，明确各部门职责与响应政策、流程等，提升极端事件的应急响应能力。通过市场宏观调控，稳定市场农资价格，避免粮价大幅波动。</w:t>
      </w:r>
    </w:p>
    <w:p>
      <w:pPr>
        <w:spacing w:before="240" w:after="120" w:line="360" w:lineRule="auto"/>
        <w:jc w:val="left"/>
      </w:pPr>
      <w:r>
        <w:rPr>
          <w:rFonts w:ascii="黑体" w:hAnsi="黑体" w:eastAsia="黑体"/>
          <w:b/>
          <w:color w:val="000000"/>
          <w:sz w:val="28"/>
        </w:rPr>
        <w:t>（三）粮食生产风险可视化决策支持系统设计构想</w:t>
      </w:r>
    </w:p>
    <w:p>
      <w:pPr>
        <w:spacing w:line="360" w:lineRule="auto" w:after="0"/>
        <w:ind w:firstLine="420"/>
      </w:pPr>
      <w:r>
        <w:rPr>
          <w:rFonts w:ascii="宋体" w:hAnsi="宋体" w:eastAsia="宋体"/>
          <w:b w:val="0"/>
          <w:sz w:val="21"/>
        </w:rPr>
        <w:t>为将本研究的双模型识别成果转化为可落地的政策工具，本节进一步提出一套面向极端气候下粮食生产风险的可视化决策支持系统设计构想。该系统以XGBoost-SHAP与LSTM双模型为核心引擎，整合多源气象、生产、灾情数据，为各级农业管理部门、粮食主产区政府以及科研人员提供风险监测、因子追溯、韧性评估与情景仿真的一体化平台。</w:t>
      </w:r>
    </w:p>
    <w:p>
      <w:pPr>
        <w:spacing w:before="240" w:after="120" w:line="360" w:lineRule="auto"/>
        <w:jc w:val="left"/>
      </w:pPr>
      <w:r>
        <w:rPr>
          <w:rFonts w:ascii="黑体" w:hAnsi="黑体" w:eastAsia="黑体"/>
          <w:b/>
          <w:color w:val="000000"/>
          <w:sz w:val="24"/>
        </w:rPr>
        <w:t>1. 系统架构设计</w:t>
      </w:r>
    </w:p>
    <w:p>
      <w:pPr>
        <w:spacing w:line="360" w:lineRule="auto" w:after="0"/>
        <w:ind w:firstLine="420"/>
      </w:pPr>
      <w:r>
        <w:rPr>
          <w:rFonts w:ascii="宋体" w:hAnsi="宋体" w:eastAsia="宋体"/>
          <w:b w:val="0"/>
          <w:sz w:val="21"/>
        </w:rPr>
        <w:t>系统采用"数据层—模型层—应用层"三层架构进行设计，确保数据流通、模型解耦与功能模块化协同。</w:t>
      </w:r>
    </w:p>
    <w:p>
      <w:pPr>
        <w:spacing w:line="360" w:lineRule="auto" w:after="0"/>
        <w:ind w:firstLine="420"/>
      </w:pPr>
      <w:r>
        <w:rPr>
          <w:rFonts w:ascii="宋体" w:hAnsi="宋体" w:eastAsia="宋体"/>
          <w:b w:val="0"/>
          <w:sz w:val="21"/>
        </w:rPr>
        <w:t>①数据层：整合中国统计年鉴、中国气象数据网（CMDC）、中国水旱灾害公报等多源面板数据，构建覆盖全国31个省份、时间跨度2011年至今的标准化数据库。该层支持数据动态更新、缺失值线性插值、Z-score标准化以及Butterworth滤波去趋势等预处理流程的自动化执行。</w:t>
      </w:r>
    </w:p>
    <w:p>
      <w:pPr>
        <w:spacing w:line="360" w:lineRule="auto" w:after="0"/>
        <w:ind w:firstLine="420"/>
      </w:pPr>
      <w:r>
        <w:rPr>
          <w:rFonts w:ascii="宋体" w:hAnsi="宋体" w:eastAsia="宋体"/>
          <w:b w:val="0"/>
          <w:sz w:val="21"/>
        </w:rPr>
        <w:t>②模型层：部署本研究构建的XGBoost-SHAP与LSTM双重验证模型作为核心计算引擎。其中，XGBoost-SHAP模块负责对致灾因子与韧性因子进行非线性建模与可解释性归因；LSTM模块负责对未来风险演化趋势进行时序预测；两者的结果在应用层进行交叉验证与协同输出。</w:t>
      </w:r>
    </w:p>
    <w:p>
      <w:pPr>
        <w:spacing w:line="360" w:lineRule="auto" w:after="0"/>
        <w:ind w:firstLine="420"/>
      </w:pPr>
      <w:r>
        <w:rPr>
          <w:rFonts w:ascii="宋体" w:hAnsi="宋体" w:eastAsia="宋体"/>
          <w:b w:val="0"/>
          <w:sz w:val="21"/>
        </w:rPr>
        <w:t>③应用层：基于Web技术（Python Dash / ECharts / Leaflet等开源框架）构建交互式前端，向用户呈现可视化的风险地图、因子贡献排序、韧性评估雷达图与情景仿真结果，并提供数据下载与决策报告生成接口。</w:t>
      </w:r>
    </w:p>
    <w:p>
      <w:pPr>
        <w:spacing w:before="240" w:after="120" w:line="360" w:lineRule="auto"/>
        <w:jc w:val="left"/>
      </w:pPr>
      <w:r>
        <w:rPr>
          <w:rFonts w:ascii="黑体" w:hAnsi="黑体" w:eastAsia="黑体"/>
          <w:b/>
          <w:color w:val="000000"/>
          <w:sz w:val="24"/>
        </w:rPr>
        <w:t>2. 主要功能模块</w:t>
      </w:r>
    </w:p>
    <w:p>
      <w:pPr>
        <w:spacing w:line="360" w:lineRule="auto" w:after="0"/>
        <w:ind w:firstLine="420"/>
      </w:pPr>
      <w:r>
        <w:rPr>
          <w:rFonts w:ascii="宋体" w:hAnsi="宋体" w:eastAsia="宋体"/>
          <w:b w:val="0"/>
          <w:sz w:val="21"/>
        </w:rPr>
        <w:t>①风险地图模块：以省域为基本单元，结合GIS地图直观展示我国粮食单产风险的空间分布特征，支持按年份、季节、灾种（旱灾、水灾、高温等）多维度切换展示，方便用户快速识别高风险区域并定位重点防控对象。</w:t>
      </w:r>
    </w:p>
    <w:p>
      <w:pPr>
        <w:spacing w:line="360" w:lineRule="auto" w:after="0"/>
        <w:ind w:firstLine="420"/>
      </w:pPr>
      <w:r>
        <w:rPr>
          <w:rFonts w:ascii="宋体" w:hAnsi="宋体" w:eastAsia="宋体"/>
          <w:b w:val="0"/>
          <w:sz w:val="21"/>
        </w:rPr>
        <w:t>②因子追溯模块：基于SHAP值绘制全局特征重要性条形图、个体决策瀑布图与因子交互热力图，使政策制定者能够清晰看到"是哪个因子、以多大程度、朝什么方向"影响了某个省份某一年的风险水平，实现"黑箱模型"向"透明决策"的转化。</w:t>
      </w:r>
    </w:p>
    <w:p>
      <w:pPr>
        <w:spacing w:line="360" w:lineRule="auto" w:after="0"/>
        <w:ind w:firstLine="420"/>
      </w:pPr>
      <w:r>
        <w:rPr>
          <w:rFonts w:ascii="宋体" w:hAnsi="宋体" w:eastAsia="宋体"/>
          <w:b w:val="0"/>
          <w:sz w:val="21"/>
        </w:rPr>
        <w:t>③韧性评估模块：基于灌溉率、农机总动力、化肥施用量等韧性指标计算综合韧性指数，并以雷达图形式直观对比不同省份、不同年份的韧性水平差异，识别韧性短板，为差异化补偿机制的建立提供数据支持。</w:t>
      </w:r>
    </w:p>
    <w:p>
      <w:pPr>
        <w:spacing w:line="360" w:lineRule="auto" w:after="0"/>
        <w:ind w:firstLine="420"/>
      </w:pPr>
      <w:r>
        <w:rPr>
          <w:rFonts w:ascii="宋体" w:hAnsi="宋体" w:eastAsia="宋体"/>
          <w:b w:val="0"/>
          <w:sz w:val="21"/>
        </w:rPr>
        <w:t>④情景仿真模块：用户可通过滑动条调节关键因子（如灌溉率提升10%、SPEI降低0.5个标准差等），系统实时调用LSTM模型进行风险重算，输出"如果……那么……"的反事实预测结果，辅助决策者评估不同政策干预的潜在效果。</w:t>
      </w:r>
    </w:p>
    <w:p>
      <w:pPr>
        <w:spacing w:line="360" w:lineRule="auto" w:after="0"/>
        <w:ind w:firstLine="420"/>
      </w:pPr>
      <w:r>
        <w:rPr>
          <w:rFonts w:ascii="宋体" w:hAnsi="宋体" w:eastAsia="宋体"/>
          <w:b w:val="0"/>
          <w:sz w:val="21"/>
        </w:rPr>
        <w:t>⑤预警推送模块：当某区域的预测风险值超过历史阈值时，系统自动触发分级预警，通过邮件、短信或API接口推送至相关部门，实现"灾前预防—灾中应对—灾后复盘"的闭环管理。</w:t>
      </w:r>
    </w:p>
    <w:p>
      <w:pPr>
        <w:spacing w:before="240" w:after="120" w:line="360" w:lineRule="auto"/>
        <w:jc w:val="left"/>
      </w:pPr>
      <w:r>
        <w:rPr>
          <w:rFonts w:ascii="黑体" w:hAnsi="黑体" w:eastAsia="黑体"/>
          <w:b/>
          <w:color w:val="000000"/>
          <w:sz w:val="24"/>
        </w:rPr>
        <w:t>3. 系统应用价值</w:t>
      </w:r>
    </w:p>
    <w:p>
      <w:pPr>
        <w:spacing w:line="360" w:lineRule="auto" w:after="0"/>
        <w:ind w:firstLine="420"/>
      </w:pPr>
      <w:r>
        <w:rPr>
          <w:rFonts w:ascii="宋体" w:hAnsi="宋体" w:eastAsia="宋体"/>
          <w:b w:val="0"/>
          <w:sz w:val="21"/>
        </w:rPr>
        <w:t>该可视化决策支持系统具有三方面的应用价值。在政府层面，可为农业农村部门提供基于数据驱动的粮食安全风险预警与资源调配依据，提升应急响应效率；在产业层面，可为农业保险公司、农资企业提供差异化产品设计的科学参考；在科研层面，可为后续研究者开展跨区域、跨年份的对比分析提供开放的数据与模型接口，推动可解释机器学习方法在农业领域的进一步推广与落地。</w:t>
      </w:r>
    </w:p>
    <w:p>
      <w:pPr>
        <w:spacing w:before="240" w:after="120" w:line="360" w:lineRule="auto"/>
        <w:jc w:val="center"/>
      </w:pPr>
      <w:r>
        <w:rPr>
          <w:rFonts w:ascii="黑体" w:hAnsi="黑体" w:eastAsia="黑体"/>
          <w:b/>
          <w:color w:val="000000"/>
          <w:sz w:val="32"/>
        </w:rPr>
        <w:t>七、结论与展望</w:t>
      </w:r>
    </w:p>
    <w:p>
      <w:pPr>
        <w:spacing w:before="240" w:after="120" w:line="360" w:lineRule="auto"/>
        <w:jc w:val="left"/>
      </w:pPr>
      <w:r>
        <w:rPr>
          <w:rFonts w:ascii="黑体" w:hAnsi="黑体" w:eastAsia="黑体"/>
          <w:b/>
          <w:color w:val="000000"/>
          <w:sz w:val="28"/>
        </w:rPr>
        <w:t>（一）研究结论</w:t>
      </w:r>
    </w:p>
    <w:p>
      <w:pPr>
        <w:spacing w:line="360" w:lineRule="auto" w:after="0"/>
        <w:ind w:firstLine="420"/>
      </w:pPr>
      <w:r>
        <w:rPr>
          <w:rFonts w:ascii="宋体" w:hAnsi="宋体" w:eastAsia="宋体"/>
          <w:b w:val="0"/>
          <w:sz w:val="21"/>
        </w:rPr>
        <w:t>本文基于XGBoost-SHAP与LSTM深度学习模型，以我国2011—2023年省级面板数据为基础，对极端气候背景下的粮食生产风险的核心因子及韧性提升路径进行了双重验证分析，主要结论如下：</w:t>
      </w:r>
    </w:p>
    <w:p>
      <w:pPr>
        <w:spacing w:before="240" w:after="120" w:line="360" w:lineRule="auto"/>
        <w:jc w:val="left"/>
      </w:pPr>
      <w:r>
        <w:rPr>
          <w:rFonts w:ascii="黑体" w:hAnsi="黑体" w:eastAsia="黑体"/>
          <w:b/>
          <w:color w:val="000000"/>
          <w:sz w:val="24"/>
        </w:rPr>
        <w:t>1. 核心风险因子识别</w:t>
      </w:r>
    </w:p>
    <w:p>
      <w:pPr>
        <w:spacing w:line="360" w:lineRule="auto" w:after="0"/>
        <w:ind w:firstLine="420"/>
      </w:pPr>
      <w:r>
        <w:rPr>
          <w:rFonts w:ascii="宋体" w:hAnsi="宋体" w:eastAsia="宋体"/>
          <w:b w:val="0"/>
          <w:sz w:val="21"/>
        </w:rPr>
        <w:t>通过原始特征重要性、特征相关性以及SHAP值这三方面的结果相互验证，将特征重要性按影响程度从高到低排序为：灌溉率 &gt; 洪涝占比 &gt; 日照时数 &gt; 水灾受灾面积 &gt; 旱灾受灾面积 &gt; 平均气温 &gt; 农机总动力 &gt; 干旱指数 &gt; 降水量 &gt; 化肥施用量。从排序上可以明显看出，灌溉率和洪涝占比这两个因子的重要性远远超过其他变量，是驱动我国粮食生产风险变化最核心的两大因子；日照时数、水灾受灾面积、旱灾受灾面积也有一定的影响，但重要性属于中等水平；至于平均气温、农机总动力、干旱指数、降水量、化肥施用量这些因子，它们的重要性相对较低。</w:t>
      </w:r>
    </w:p>
    <w:p>
      <w:pPr>
        <w:spacing w:before="240" w:after="120" w:line="360" w:lineRule="auto"/>
        <w:jc w:val="left"/>
      </w:pPr>
      <w:r>
        <w:rPr>
          <w:rFonts w:ascii="黑体" w:hAnsi="黑体" w:eastAsia="黑体"/>
          <w:b/>
          <w:color w:val="000000"/>
          <w:sz w:val="24"/>
        </w:rPr>
        <w:t>2. 模型性能与适用性</w:t>
      </w:r>
    </w:p>
    <w:p>
      <w:pPr>
        <w:spacing w:line="360" w:lineRule="auto" w:after="0"/>
        <w:ind w:firstLine="420"/>
      </w:pPr>
      <w:r>
        <w:rPr>
          <w:rFonts w:ascii="宋体" w:hAnsi="宋体" w:eastAsia="宋体"/>
          <w:b w:val="0"/>
          <w:sz w:val="21"/>
        </w:rPr>
        <w:t>XGBoost模型：决定系数R²达到0.6293，RMSE为0.0051，说明模型对训练数据具有较好的拟合能力，所选特征与模型结构在解释粮食生产风险方面是有效的；同时基于SHAP框架的归因分析，使模型具备较强的可解释性，为核心因子识别提供了可靠依据。</w:t>
      </w:r>
    </w:p>
    <w:p>
      <w:pPr>
        <w:spacing w:line="360" w:lineRule="auto" w:after="0"/>
        <w:ind w:firstLine="420"/>
      </w:pPr>
      <w:r>
        <w:rPr>
          <w:rFonts w:ascii="宋体" w:hAnsi="宋体" w:eastAsia="宋体"/>
          <w:b w:val="0"/>
          <w:sz w:val="21"/>
        </w:rPr>
        <w:t>LSTM模型：决定系数R²提升至0.6619，RMSE降至0.0046，预测精度优于XGBoost模型。从Loss曲线来看，训练集和验证集都稳定下降，两条曲线贴合较好，泛化能力良好；残差基本服从正态分布，均值接近于零，且未出现明显的自相关或异方差，证明模型的预测误差比较干净，时序预测的稳健性较好。</w:t>
      </w:r>
    </w:p>
    <w:p>
      <w:pPr>
        <w:spacing w:before="240" w:after="120" w:line="360" w:lineRule="auto"/>
        <w:jc w:val="left"/>
      </w:pPr>
      <w:r>
        <w:rPr>
          <w:rFonts w:ascii="黑体" w:hAnsi="黑体" w:eastAsia="黑体"/>
          <w:b/>
          <w:color w:val="000000"/>
          <w:sz w:val="24"/>
        </w:rPr>
        <w:t>3. 综合提升思路</w:t>
      </w:r>
    </w:p>
    <w:p>
      <w:pPr>
        <w:spacing w:line="360" w:lineRule="auto" w:after="0"/>
        <w:ind w:firstLine="420"/>
      </w:pPr>
      <w:r>
        <w:rPr>
          <w:rFonts w:ascii="宋体" w:hAnsi="宋体" w:eastAsia="宋体"/>
          <w:b w:val="0"/>
          <w:sz w:val="21"/>
        </w:rPr>
        <w:t>从双重验证后最终结果可得，要提升粮食生产韧性、更好应对极端气候对粮食生产的影响，必须以基础设施为基础（灌溉、农机等），以综合应对政策为支撑，以品种技术为核心，最终融合为多维度的协同提升策略。同时，依托可视化决策支持系统的构建，将研究成果转化为可落地的实用工具，是连接科研产出与政策实践的关键纽带。</w:t>
      </w:r>
    </w:p>
    <w:p>
      <w:pPr>
        <w:spacing w:before="240" w:after="120" w:line="360" w:lineRule="auto"/>
        <w:jc w:val="left"/>
      </w:pPr>
      <w:r>
        <w:rPr>
          <w:rFonts w:ascii="黑体" w:hAnsi="黑体" w:eastAsia="黑体"/>
          <w:b/>
          <w:color w:val="000000"/>
          <w:sz w:val="28"/>
        </w:rPr>
        <w:t>（二）局限与展望</w:t>
      </w:r>
    </w:p>
    <w:p>
      <w:pPr>
        <w:spacing w:before="240" w:after="120" w:line="360" w:lineRule="auto"/>
        <w:jc w:val="left"/>
      </w:pPr>
      <w:r>
        <w:rPr>
          <w:rFonts w:ascii="黑体" w:hAnsi="黑体" w:eastAsia="黑体"/>
          <w:b/>
          <w:color w:val="000000"/>
          <w:sz w:val="24"/>
        </w:rPr>
        <w:t>1. 不足与改进方向</w:t>
      </w:r>
    </w:p>
    <w:p>
      <w:pPr>
        <w:spacing w:line="360" w:lineRule="auto" w:after="0"/>
        <w:ind w:firstLine="420"/>
      </w:pPr>
      <w:r>
        <w:rPr>
          <w:rFonts w:ascii="宋体" w:hAnsi="宋体" w:eastAsia="宋体"/>
          <w:b w:val="0"/>
          <w:sz w:val="21"/>
        </w:rPr>
        <w:t>从整体来看，模型的拟合效果还能再提升一些；另外，所用的模型也比较单一，没有跟其他模型做更系统的对比或融合，对极端风险事件和长期变化趋势的捕捉能力有限。与此同时，可视化系统目前仅停留在设计构想阶段，尚未完成完整的工程实现。</w:t>
      </w:r>
    </w:p>
    <w:p>
      <w:pPr>
        <w:spacing w:line="360" w:lineRule="auto" w:after="0"/>
        <w:ind w:firstLine="420"/>
      </w:pPr>
      <w:r>
        <w:rPr>
          <w:rFonts w:ascii="宋体" w:hAnsi="宋体" w:eastAsia="宋体"/>
          <w:b w:val="0"/>
          <w:sz w:val="21"/>
        </w:rPr>
        <w:t>后续我们将从四个方面完善：</w:t>
      </w:r>
    </w:p>
    <w:p>
      <w:pPr>
        <w:spacing w:line="360" w:lineRule="auto" w:after="0"/>
        <w:ind w:firstLine="420"/>
      </w:pPr>
      <w:r>
        <w:rPr>
          <w:rFonts w:ascii="宋体" w:hAnsi="宋体" w:eastAsia="宋体"/>
          <w:b w:val="0"/>
          <w:sz w:val="21"/>
        </w:rPr>
        <w:t>首先，会在模型结构和训练方式上再做调整，加上交叉验证，让模型的稳定性更强；再加上注意力机制，让模型对极端值和长期趋势更敏感一些；也会尝试加入GRU、Transformer等模型，并引入多模型集成。</w:t>
      </w:r>
    </w:p>
    <w:p>
      <w:pPr>
        <w:spacing w:line="360" w:lineRule="auto" w:after="0"/>
        <w:ind w:firstLine="420"/>
      </w:pPr>
      <w:r>
        <w:rPr>
          <w:rFonts w:ascii="宋体" w:hAnsi="宋体" w:eastAsia="宋体"/>
          <w:b w:val="0"/>
          <w:sz w:val="21"/>
        </w:rPr>
        <w:t>其次，根据相关性和SHAP重要性，把那些重复或者共线性强的变量去掉，再构造一些新的衍生特征，把因子之间怎么互相影响的关系挖得更细。同时，处理异常值，优化数据预处理流程，还会补充一些误差指标，减小系统误差。</w:t>
      </w:r>
    </w:p>
    <w:p>
      <w:pPr>
        <w:spacing w:line="360" w:lineRule="auto" w:after="0"/>
        <w:ind w:firstLine="420"/>
      </w:pPr>
      <w:r>
        <w:rPr>
          <w:rFonts w:ascii="宋体" w:hAnsi="宋体" w:eastAsia="宋体"/>
          <w:b w:val="0"/>
          <w:sz w:val="21"/>
        </w:rPr>
        <w:t>然后，进一步拓展数据的覆盖范围，将样本周期拉长，补充地市或县域层面的微观数据，让样本更有代表性，数据也更丰富。</w:t>
      </w:r>
    </w:p>
    <w:p>
      <w:pPr>
        <w:spacing w:line="360" w:lineRule="auto" w:after="0"/>
        <w:ind w:firstLine="420"/>
      </w:pPr>
      <w:r>
        <w:rPr>
          <w:rFonts w:ascii="宋体" w:hAnsi="宋体" w:eastAsia="宋体"/>
          <w:b w:val="0"/>
          <w:sz w:val="21"/>
        </w:rPr>
        <w:t>最后，可以分区域建不同的模型，多设几个气候情景做风险模拟，逐渐搭建起一套粮食生产风险预警系统，并完成本文（三）小节所设计的可视化决策支持系统的工程落地，让研究成果真正能落地用起来。</w:t>
      </w:r>
    </w:p>
    <w:p>
      <w:r>
        <w:br w:type="page"/>
      </w:r>
    </w:p>
    <w:p>
      <w:pPr>
        <w:spacing w:before="240" w:after="240"/>
        <w:jc w:val="center"/>
      </w:pPr>
      <w:r>
        <w:rPr>
          <w:rFonts w:ascii="黑体" w:hAnsi="黑体" w:eastAsia="黑体"/>
          <w:b/>
          <w:sz w:val="32"/>
        </w:rPr>
        <w:t>参考文献</w:t>
      </w:r>
    </w:p>
    <w:p>
      <w:pPr>
        <w:spacing w:line="360" w:lineRule="auto" w:after="60"/>
        <w:ind w:left="560" w:hanging="560"/>
      </w:pPr>
      <w:r>
        <w:rPr>
          <w:rFonts w:ascii="Times New Roman" w:hAnsi="Times New Roman" w:eastAsia="Times New Roman"/>
          <w:b w:val="0"/>
          <w:sz w:val="21"/>
        </w:rPr>
        <w:t xml:space="preserve">[1] </w:t>
      </w:r>
      <w:r>
        <w:rPr>
          <w:rFonts w:ascii="宋体" w:hAnsi="宋体" w:eastAsia="宋体"/>
          <w:b w:val="0"/>
          <w:sz w:val="21"/>
        </w:rPr>
        <w:t>IPCC. Climate Change 2022: Impacts, Adaptation and Vulnerability[R]. Cambridge: Cambridge University Press, 2022.</w:t>
      </w:r>
    </w:p>
    <w:p>
      <w:pPr>
        <w:spacing w:line="360" w:lineRule="auto" w:after="60"/>
        <w:ind w:left="560" w:hanging="560"/>
      </w:pPr>
      <w:r>
        <w:rPr>
          <w:rFonts w:ascii="Times New Roman" w:hAnsi="Times New Roman" w:eastAsia="Times New Roman"/>
          <w:b w:val="0"/>
          <w:sz w:val="21"/>
        </w:rPr>
        <w:t xml:space="preserve">[2] </w:t>
      </w:r>
      <w:r>
        <w:rPr>
          <w:rFonts w:ascii="宋体" w:hAnsi="宋体" w:eastAsia="宋体"/>
          <w:b w:val="0"/>
          <w:sz w:val="21"/>
        </w:rPr>
        <w:t>中华人民共和国国务院新闻办公室. 中国的粮食安全[R]. 北京: 人民出版社, 2019.</w:t>
      </w:r>
    </w:p>
    <w:p>
      <w:pPr>
        <w:spacing w:line="360" w:lineRule="auto" w:after="60"/>
        <w:ind w:left="560" w:hanging="560"/>
      </w:pPr>
      <w:r>
        <w:rPr>
          <w:rFonts w:ascii="Times New Roman" w:hAnsi="Times New Roman" w:eastAsia="Times New Roman"/>
          <w:b w:val="0"/>
          <w:sz w:val="21"/>
        </w:rPr>
        <w:t xml:space="preserve">[3] </w:t>
      </w:r>
      <w:r>
        <w:rPr>
          <w:rFonts w:ascii="宋体" w:hAnsi="宋体" w:eastAsia="宋体"/>
          <w:b w:val="0"/>
          <w:sz w:val="21"/>
        </w:rPr>
        <w:t>CHEN T, GUESTRIN C. XGBoost: A scalable tree boosting system[C]//Proceedings of the 22nd ACM SIGKDD International Conference on Knowledge Discovery and Data Mining. New York: ACM, 2016: 785-794.</w:t>
      </w:r>
    </w:p>
    <w:p>
      <w:pPr>
        <w:spacing w:line="360" w:lineRule="auto" w:after="60"/>
        <w:ind w:left="560" w:hanging="560"/>
      </w:pPr>
      <w:r>
        <w:rPr>
          <w:rFonts w:ascii="Times New Roman" w:hAnsi="Times New Roman" w:eastAsia="Times New Roman"/>
          <w:b w:val="0"/>
          <w:sz w:val="21"/>
        </w:rPr>
        <w:t xml:space="preserve">[4] </w:t>
      </w:r>
      <w:r>
        <w:rPr>
          <w:rFonts w:ascii="宋体" w:hAnsi="宋体" w:eastAsia="宋体"/>
          <w:b w:val="0"/>
          <w:sz w:val="21"/>
        </w:rPr>
        <w:t>LUNDBERG S M, LEE S I. A unified approach to interpreting model predictions[C]//Advances in Neural Information Processing Systems. Red Hook: Curran Associates, 2017: 4765-4774.</w:t>
      </w:r>
    </w:p>
    <w:p>
      <w:pPr>
        <w:spacing w:line="360" w:lineRule="auto" w:after="60"/>
        <w:ind w:left="560" w:hanging="560"/>
      </w:pPr>
      <w:r>
        <w:rPr>
          <w:rFonts w:ascii="Times New Roman" w:hAnsi="Times New Roman" w:eastAsia="Times New Roman"/>
          <w:b w:val="0"/>
          <w:sz w:val="21"/>
        </w:rPr>
        <w:t xml:space="preserve">[5] </w:t>
      </w:r>
      <w:r>
        <w:rPr>
          <w:rFonts w:ascii="宋体" w:hAnsi="宋体" w:eastAsia="宋体"/>
          <w:b w:val="0"/>
          <w:sz w:val="21"/>
        </w:rPr>
        <w:t>HOCHREITER S, SCHMIDHUBER J. Long Short-Term Memory[J]. Neural Computation, 1997, 9(8): 1735-1780.</w:t>
      </w:r>
    </w:p>
    <w:p>
      <w:pPr>
        <w:spacing w:line="360" w:lineRule="auto" w:after="60"/>
        <w:ind w:left="560" w:hanging="560"/>
      </w:pPr>
      <w:r>
        <w:rPr>
          <w:rFonts w:ascii="Times New Roman" w:hAnsi="Times New Roman" w:eastAsia="Times New Roman"/>
          <w:b w:val="0"/>
          <w:sz w:val="21"/>
        </w:rPr>
        <w:t xml:space="preserve">[6] </w:t>
      </w:r>
      <w:r>
        <w:rPr>
          <w:rFonts w:ascii="宋体" w:hAnsi="宋体" w:eastAsia="宋体"/>
          <w:b w:val="0"/>
          <w:sz w:val="21"/>
        </w:rPr>
        <w:t>LOBELL D B, FIELD C B. Global climate change and crop yield[J]. Annual Review of Environment and Resources, 2008, 33(1): 69-88.</w:t>
      </w:r>
    </w:p>
    <w:p>
      <w:pPr>
        <w:spacing w:line="360" w:lineRule="auto" w:after="60"/>
        <w:ind w:left="560" w:hanging="560"/>
      </w:pPr>
      <w:r>
        <w:rPr>
          <w:rFonts w:ascii="Times New Roman" w:hAnsi="Times New Roman" w:eastAsia="Times New Roman"/>
          <w:b w:val="0"/>
          <w:sz w:val="21"/>
        </w:rPr>
        <w:t xml:space="preserve">[7] </w:t>
      </w:r>
      <w:r>
        <w:rPr>
          <w:rFonts w:ascii="宋体" w:hAnsi="宋体" w:eastAsia="宋体"/>
          <w:b w:val="0"/>
          <w:sz w:val="21"/>
        </w:rPr>
        <w:t>DIFFENBAUGH N S, FIELD C B. Changes in ecologically critical terrestrial climate conditions[J]. Science, 2013, 341(6145): 486-492.</w:t>
      </w:r>
    </w:p>
    <w:p>
      <w:pPr>
        <w:spacing w:line="360" w:lineRule="auto" w:after="60"/>
        <w:ind w:left="560" w:hanging="560"/>
      </w:pPr>
      <w:r>
        <w:rPr>
          <w:rFonts w:ascii="Times New Roman" w:hAnsi="Times New Roman" w:eastAsia="Times New Roman"/>
          <w:b w:val="0"/>
          <w:sz w:val="21"/>
        </w:rPr>
        <w:t xml:space="preserve">[8] </w:t>
      </w:r>
      <w:r>
        <w:rPr>
          <w:rFonts w:ascii="宋体" w:hAnsi="宋体" w:eastAsia="宋体"/>
          <w:b w:val="0"/>
          <w:sz w:val="21"/>
        </w:rPr>
        <w:t>郭鹏, 蒋博, 吉雪强. 极端气候对粮食生产的影响及其作用机制——兼论农地流转的调节与门槛效应[J]. 生态学报, 2025.</w:t>
      </w:r>
    </w:p>
    <w:p>
      <w:pPr>
        <w:spacing w:line="360" w:lineRule="auto" w:after="60"/>
        <w:ind w:left="560" w:hanging="560"/>
      </w:pPr>
      <w:r>
        <w:rPr>
          <w:rFonts w:ascii="Times New Roman" w:hAnsi="Times New Roman" w:eastAsia="Times New Roman"/>
          <w:b w:val="0"/>
          <w:sz w:val="21"/>
        </w:rPr>
        <w:t xml:space="preserve">[9] </w:t>
      </w:r>
      <w:r>
        <w:rPr>
          <w:rFonts w:ascii="宋体" w:hAnsi="宋体" w:eastAsia="宋体"/>
          <w:b w:val="0"/>
          <w:sz w:val="21"/>
        </w:rPr>
        <w:t>吕添贵, 袁梦涵, 黄贤哲, 等. 基于XGBoost-SHAP模型的长江中游粮食主产区农业生产碳平衡时空分异及驱动因素[J]. 环境科学, 2025.</w:t>
      </w:r>
    </w:p>
    <w:p>
      <w:pPr>
        <w:spacing w:line="360" w:lineRule="auto" w:after="60"/>
        <w:ind w:left="560" w:hanging="560"/>
      </w:pPr>
      <w:r>
        <w:rPr>
          <w:rFonts w:ascii="Times New Roman" w:hAnsi="Times New Roman" w:eastAsia="Times New Roman"/>
          <w:b w:val="0"/>
          <w:sz w:val="21"/>
        </w:rPr>
        <w:t xml:space="preserve">[10] </w:t>
      </w:r>
      <w:r>
        <w:rPr>
          <w:rFonts w:ascii="宋体" w:hAnsi="宋体" w:eastAsia="宋体"/>
          <w:b w:val="0"/>
          <w:sz w:val="21"/>
        </w:rPr>
        <w:t>王火根, 胡梦婷, 刘小春. 基于机器学习和SHAP算法的我国粮食安全水平测度重构及可解释性分析[J]. 中国农业大学学报, 2025.</w:t>
      </w:r>
    </w:p>
    <w:p>
      <w:pPr>
        <w:spacing w:line="360" w:lineRule="auto" w:after="60"/>
        <w:ind w:left="560" w:hanging="560"/>
      </w:pPr>
      <w:r>
        <w:rPr>
          <w:rFonts w:ascii="Times New Roman" w:hAnsi="Times New Roman" w:eastAsia="Times New Roman"/>
          <w:b w:val="0"/>
          <w:sz w:val="21"/>
        </w:rPr>
        <w:t xml:space="preserve">[11] </w:t>
      </w:r>
      <w:r>
        <w:rPr>
          <w:rFonts w:ascii="宋体" w:hAnsi="宋体" w:eastAsia="宋体"/>
          <w:b w:val="0"/>
          <w:sz w:val="21"/>
        </w:rPr>
        <w:t>秦一菲, 段珊珊, 曹云皓, 张元. 融合XGBoost和SHAP的储粮湿度预测及影响因素分析[J]. 中国粮油学报, 2025.</w:t>
      </w:r>
    </w:p>
    <w:p>
      <w:pPr>
        <w:spacing w:line="360" w:lineRule="auto" w:after="60"/>
        <w:ind w:left="560" w:hanging="560"/>
      </w:pPr>
      <w:r>
        <w:rPr>
          <w:rFonts w:ascii="Times New Roman" w:hAnsi="Times New Roman" w:eastAsia="Times New Roman"/>
          <w:b w:val="0"/>
          <w:sz w:val="21"/>
        </w:rPr>
        <w:t xml:space="preserve">[12] </w:t>
      </w:r>
      <w:r>
        <w:rPr>
          <w:rFonts w:ascii="宋体" w:hAnsi="宋体" w:eastAsia="宋体"/>
          <w:b w:val="0"/>
          <w:sz w:val="21"/>
        </w:rPr>
        <w:t>郭文锋. 基于深度学习的粮食产量预测模型研究[J]. 现代农业科技, 2024(24): 850-853.</w:t>
      </w:r>
    </w:p>
    <w:p>
      <w:pPr>
        <w:spacing w:line="360" w:lineRule="auto" w:after="60"/>
        <w:ind w:left="560" w:hanging="560"/>
      </w:pPr>
      <w:r>
        <w:rPr>
          <w:rFonts w:ascii="Times New Roman" w:hAnsi="Times New Roman" w:eastAsia="Times New Roman"/>
          <w:b w:val="0"/>
          <w:sz w:val="21"/>
        </w:rPr>
        <w:t xml:space="preserve">[13] </w:t>
      </w:r>
      <w:r>
        <w:rPr>
          <w:rFonts w:ascii="宋体" w:hAnsi="宋体" w:eastAsia="宋体"/>
          <w:b w:val="0"/>
          <w:sz w:val="21"/>
        </w:rPr>
        <w:t>MEUWISSEN M P M, FEINDT P H, SPIEGEL A, et al. A framework to assess resilience of agricultural systems[J]. Agricultural Systems, 2019, 173: 107-117.</w:t>
      </w:r>
    </w:p>
    <w:p>
      <w:pPr>
        <w:spacing w:line="360" w:lineRule="auto" w:after="60"/>
        <w:ind w:left="560" w:hanging="560"/>
      </w:pPr>
      <w:r>
        <w:rPr>
          <w:rFonts w:ascii="Times New Roman" w:hAnsi="Times New Roman" w:eastAsia="Times New Roman"/>
          <w:b w:val="0"/>
          <w:sz w:val="21"/>
        </w:rPr>
        <w:t xml:space="preserve">[14] </w:t>
      </w:r>
      <w:r>
        <w:rPr>
          <w:rFonts w:ascii="宋体" w:hAnsi="宋体" w:eastAsia="宋体"/>
          <w:b w:val="0"/>
          <w:sz w:val="21"/>
        </w:rPr>
        <w:t>陈有华, 曾梦晴, 陈彬. 气候变化对粮食生产韧性的影响——基于作物多样化的调节效应研究[J]. 生态学报, 2024.</w:t>
      </w:r>
    </w:p>
    <w:p>
      <w:pPr>
        <w:spacing w:line="360" w:lineRule="auto" w:after="60"/>
        <w:ind w:left="560" w:hanging="560"/>
      </w:pPr>
      <w:r>
        <w:rPr>
          <w:rFonts w:ascii="Times New Roman" w:hAnsi="Times New Roman" w:eastAsia="Times New Roman"/>
          <w:b w:val="0"/>
          <w:sz w:val="21"/>
        </w:rPr>
        <w:t xml:space="preserve">[15] </w:t>
      </w:r>
      <w:r>
        <w:rPr>
          <w:rFonts w:ascii="宋体" w:hAnsi="宋体" w:eastAsia="宋体"/>
          <w:b w:val="0"/>
          <w:sz w:val="21"/>
        </w:rPr>
        <w:t>范辰楠, 覃朝晖, 余思明. 极端气温对粮食生产韧性的影响效应研究——基于绿色金融视角[J]. 中国生态农业学报(中英文), 2024.</w:t>
      </w:r>
    </w:p>
    <w:p>
      <w:pPr>
        <w:spacing w:line="360" w:lineRule="auto" w:after="60"/>
        <w:ind w:left="560" w:hanging="560"/>
      </w:pPr>
      <w:r>
        <w:rPr>
          <w:rFonts w:ascii="Times New Roman" w:hAnsi="Times New Roman" w:eastAsia="Times New Roman"/>
          <w:b w:val="0"/>
          <w:sz w:val="21"/>
        </w:rPr>
        <w:t xml:space="preserve">[16] </w:t>
      </w:r>
      <w:r>
        <w:rPr>
          <w:rFonts w:ascii="宋体" w:hAnsi="宋体" w:eastAsia="宋体"/>
          <w:b w:val="0"/>
          <w:sz w:val="21"/>
        </w:rPr>
        <w:t>赵娅娅, 樊琳琳, 秦政, 等. 基于SVR和CNN-LSTM-ATTENTION模型的粮食产量影响因素分析和组合预测[J]. 中国粮油学报, 2025.</w:t>
      </w:r>
    </w:p>
    <w:p>
      <w:pPr>
        <w:spacing w:line="360" w:lineRule="auto" w:after="60"/>
        <w:ind w:left="560" w:hanging="560"/>
      </w:pPr>
      <w:r>
        <w:rPr>
          <w:rFonts w:ascii="Times New Roman" w:hAnsi="Times New Roman" w:eastAsia="Times New Roman"/>
          <w:b w:val="0"/>
          <w:sz w:val="21"/>
        </w:rPr>
        <w:t xml:space="preserve">[17] </w:t>
      </w:r>
      <w:r>
        <w:rPr>
          <w:rFonts w:ascii="宋体" w:hAnsi="宋体" w:eastAsia="宋体"/>
          <w:b w:val="0"/>
          <w:sz w:val="21"/>
        </w:rPr>
        <w:t>乔壮, 仇海全, 吴燕, 马帅龙. 基于CNN-LSTM的黄淮海地区冬小麦产量预测模型[J]. 黑龙江工业学院学报(综合版), 2024.</w:t>
      </w:r>
    </w:p>
    <w:p>
      <w:pPr>
        <w:spacing w:line="360" w:lineRule="auto" w:after="60"/>
        <w:ind w:left="560" w:hanging="560"/>
      </w:pPr>
      <w:r>
        <w:rPr>
          <w:rFonts w:ascii="Times New Roman" w:hAnsi="Times New Roman" w:eastAsia="Times New Roman"/>
          <w:b w:val="0"/>
          <w:sz w:val="21"/>
        </w:rPr>
        <w:t xml:space="preserve">[18] </w:t>
      </w:r>
      <w:r>
        <w:rPr>
          <w:rFonts w:ascii="宋体" w:hAnsi="宋体" w:eastAsia="宋体"/>
          <w:b w:val="0"/>
          <w:sz w:val="21"/>
        </w:rPr>
        <w:t>田谨鹏. 气候变化、农田水利供给对粮食产出的影响研究——以黄河流域为例[D]. 西北农林科技大学, 2025.</w:t>
      </w:r>
    </w:p>
    <w:p>
      <w:pPr>
        <w:spacing w:line="360" w:lineRule="auto" w:after="60"/>
        <w:ind w:left="560" w:hanging="560"/>
      </w:pPr>
      <w:r>
        <w:rPr>
          <w:rFonts w:ascii="Times New Roman" w:hAnsi="Times New Roman" w:eastAsia="Times New Roman"/>
          <w:b w:val="0"/>
          <w:sz w:val="21"/>
        </w:rPr>
        <w:t xml:space="preserve">[19] </w:t>
      </w:r>
      <w:r>
        <w:rPr>
          <w:rFonts w:ascii="宋体" w:hAnsi="宋体" w:eastAsia="宋体"/>
          <w:b w:val="0"/>
          <w:sz w:val="21"/>
        </w:rPr>
        <w:t>沈嘉睿, 曾小艳, 邢艺茹. 极端天气背景下绿色金融对粮食生产韧性的调节效应研究[J]. 粮食科技与经济, 2025.</w:t>
      </w:r>
    </w:p>
    <w:p>
      <w:pPr>
        <w:spacing w:line="360" w:lineRule="auto" w:after="60"/>
        <w:ind w:left="560" w:hanging="560"/>
      </w:pPr>
      <w:r>
        <w:rPr>
          <w:rFonts w:ascii="Times New Roman" w:hAnsi="Times New Roman" w:eastAsia="Times New Roman"/>
          <w:b w:val="0"/>
          <w:sz w:val="21"/>
        </w:rPr>
        <w:t xml:space="preserve">[20] </w:t>
      </w:r>
      <w:r>
        <w:rPr>
          <w:rFonts w:ascii="宋体" w:hAnsi="宋体" w:eastAsia="宋体"/>
          <w:b w:val="0"/>
          <w:sz w:val="21"/>
        </w:rPr>
        <w:t>韩雪莲, 马世洋, 代洋. 气候变化、农业保险与粮食生产韧性[J]. 产业组织评论, 2025.</w:t>
      </w:r>
    </w:p>
    <w:p>
      <w:pPr>
        <w:spacing w:line="360" w:lineRule="auto" w:after="60"/>
        <w:ind w:left="560" w:hanging="560"/>
      </w:pPr>
      <w:r>
        <w:rPr>
          <w:rFonts w:ascii="Times New Roman" w:hAnsi="Times New Roman" w:eastAsia="Times New Roman"/>
          <w:b w:val="0"/>
          <w:sz w:val="21"/>
        </w:rPr>
        <w:t xml:space="preserve">[21] </w:t>
      </w:r>
      <w:r>
        <w:rPr>
          <w:rFonts w:ascii="宋体" w:hAnsi="宋体" w:eastAsia="宋体"/>
          <w:b w:val="0"/>
          <w:sz w:val="21"/>
        </w:rPr>
        <w:t>彭长生, 刘阳, 钟钰. 高标准农田建设政策实施对粮食生产气候韧性的影响[J]. 中国农村经济, 2025.</w:t>
      </w:r>
    </w:p>
    <w:p>
      <w:pPr>
        <w:spacing w:line="360" w:lineRule="auto" w:after="60"/>
        <w:ind w:left="560" w:hanging="560"/>
      </w:pPr>
      <w:r>
        <w:rPr>
          <w:rFonts w:ascii="Times New Roman" w:hAnsi="Times New Roman" w:eastAsia="Times New Roman"/>
          <w:b w:val="0"/>
          <w:sz w:val="21"/>
        </w:rPr>
        <w:t xml:space="preserve">[22] </w:t>
      </w:r>
      <w:r>
        <w:rPr>
          <w:rFonts w:ascii="宋体" w:hAnsi="宋体" w:eastAsia="宋体"/>
          <w:b w:val="0"/>
          <w:sz w:val="21"/>
        </w:rPr>
        <w:t>程敏雅. 基于深度学习的精细化夏玉米产量预测技术研究[D]. 南京信息工程大学, 2025.</w:t>
      </w:r>
    </w:p>
    <w:p>
      <w:pPr>
        <w:spacing w:line="360" w:lineRule="auto" w:after="60"/>
        <w:ind w:left="560" w:hanging="560"/>
      </w:pPr>
      <w:r>
        <w:rPr>
          <w:rFonts w:ascii="Times New Roman" w:hAnsi="Times New Roman" w:eastAsia="Times New Roman"/>
          <w:b w:val="0"/>
          <w:sz w:val="21"/>
        </w:rPr>
        <w:t xml:space="preserve">[23] </w:t>
      </w:r>
      <w:r>
        <w:rPr>
          <w:rFonts w:ascii="宋体" w:hAnsi="宋体" w:eastAsia="宋体"/>
          <w:b w:val="0"/>
          <w:sz w:val="21"/>
        </w:rPr>
        <w:t>肖文. 基于机器学习的我国粮食产量预测研究[D]. 兰州财经大学, 2024.</w:t>
      </w:r>
    </w:p>
    <w:p>
      <w:pPr>
        <w:spacing w:line="360" w:lineRule="auto" w:after="60"/>
        <w:ind w:left="560" w:hanging="560"/>
      </w:pPr>
      <w:r>
        <w:rPr>
          <w:rFonts w:ascii="Times New Roman" w:hAnsi="Times New Roman" w:eastAsia="Times New Roman"/>
          <w:b w:val="0"/>
          <w:sz w:val="21"/>
        </w:rPr>
        <w:t xml:space="preserve">[24] </w:t>
      </w:r>
      <w:r>
        <w:rPr>
          <w:rFonts w:ascii="宋体" w:hAnsi="宋体" w:eastAsia="宋体"/>
          <w:b w:val="0"/>
          <w:sz w:val="21"/>
        </w:rPr>
        <w:t>刘照. 基于机理模型与深度学习方法的农作物长势参数与产量反演研究[D]. 中国科学院大学, 2024.</w:t>
      </w:r>
    </w:p>
    <w:p>
      <w:pPr>
        <w:spacing w:line="360" w:lineRule="auto" w:after="60"/>
        <w:ind w:left="560" w:hanging="560"/>
      </w:pPr>
      <w:r>
        <w:rPr>
          <w:rFonts w:ascii="Times New Roman" w:hAnsi="Times New Roman" w:eastAsia="Times New Roman"/>
          <w:b w:val="0"/>
          <w:sz w:val="21"/>
        </w:rPr>
        <w:t xml:space="preserve">[25] </w:t>
      </w:r>
      <w:r>
        <w:rPr>
          <w:rFonts w:ascii="宋体" w:hAnsi="宋体" w:eastAsia="宋体"/>
          <w:b w:val="0"/>
          <w:sz w:val="21"/>
        </w:rPr>
        <w:t>刘静, 姚志. "藏粮于技"：农业新质生产力提升粮食生产韧性的内在机制研究[J]. 农业现代化研究, 2025.</w:t>
      </w:r>
    </w:p>
    <w:p>
      <w:pPr>
        <w:spacing w:line="360" w:lineRule="auto" w:after="60"/>
        <w:ind w:left="560" w:hanging="560"/>
      </w:pPr>
      <w:r>
        <w:rPr>
          <w:rFonts w:ascii="Times New Roman" w:hAnsi="Times New Roman" w:eastAsia="Times New Roman"/>
          <w:b w:val="0"/>
          <w:sz w:val="21"/>
        </w:rPr>
        <w:t xml:space="preserve">[26] </w:t>
      </w:r>
      <w:r>
        <w:rPr>
          <w:rFonts w:ascii="宋体" w:hAnsi="宋体" w:eastAsia="宋体"/>
          <w:b w:val="0"/>
          <w:sz w:val="21"/>
        </w:rPr>
        <w:t>刘良灿, 李想, 王瑾. 绿色金融如何影响粮食生产的气候韧性?——基于双重机器学习模型的实证研究[J]. 农村金融研究, 2024.</w:t>
      </w:r>
    </w:p>
    <w:p>
      <w:pPr>
        <w:spacing w:line="360" w:lineRule="auto" w:after="60"/>
        <w:ind w:left="560" w:hanging="560"/>
      </w:pPr>
      <w:r>
        <w:rPr>
          <w:rFonts w:ascii="Times New Roman" w:hAnsi="Times New Roman" w:eastAsia="Times New Roman"/>
          <w:b w:val="0"/>
          <w:sz w:val="21"/>
        </w:rPr>
        <w:t xml:space="preserve">[27] </w:t>
      </w:r>
      <w:r>
        <w:rPr>
          <w:rFonts w:ascii="宋体" w:hAnsi="宋体" w:eastAsia="宋体"/>
          <w:b w:val="0"/>
          <w:sz w:val="21"/>
        </w:rPr>
        <w:t>SCHLENKER W, ROBERTS M J. Nonlinear temperature effects indicate severe damages to U.S. crop yields under climate change[J]. Proceedings of the National Academy of Sciences, 2009, 106(37): 15594-15598.</w:t>
      </w:r>
    </w:p>
    <w:p>
      <w:r>
        <w:br w:type="page"/>
      </w:r>
    </w:p>
    <w:p>
      <w:pPr>
        <w:spacing w:before="240" w:after="240"/>
        <w:jc w:val="center"/>
      </w:pPr>
      <w:r>
        <w:rPr>
          <w:rFonts w:ascii="黑体" w:hAnsi="黑体" w:eastAsia="黑体"/>
          <w:b/>
          <w:sz w:val="32"/>
        </w:rPr>
        <w:t>致谢</w:t>
      </w:r>
    </w:p>
    <w:p>
      <w:pPr>
        <w:spacing w:line="360" w:lineRule="auto" w:after="0"/>
        <w:ind w:firstLine="420"/>
      </w:pPr>
      <w:r>
        <w:rPr>
          <w:rFonts w:ascii="宋体" w:hAnsi="宋体" w:eastAsia="宋体"/>
          <w:b w:val="0"/>
          <w:sz w:val="21"/>
        </w:rPr>
        <w:t>至此，本次大赛论文全部完成。回望这段备赛历程，心中满是感激。</w:t>
      </w:r>
    </w:p>
    <w:p>
      <w:pPr>
        <w:spacing w:line="360" w:lineRule="auto" w:after="0"/>
        <w:ind w:firstLine="420"/>
      </w:pPr>
      <w:r>
        <w:rPr>
          <w:rFonts w:ascii="宋体" w:hAnsi="宋体" w:eastAsia="宋体"/>
          <w:b w:val="0"/>
          <w:sz w:val="21"/>
        </w:rPr>
        <w:t>首先，要感谢母校山西农业大学，学校为我们营造了良好的学习氛围，对各类比赛大力支持，使我们在研究的过程中逐渐培养了科研思维和创新意识。</w:t>
      </w:r>
    </w:p>
    <w:p>
      <w:pPr>
        <w:spacing w:line="360" w:lineRule="auto" w:after="0"/>
        <w:ind w:firstLine="420"/>
      </w:pPr>
      <w:r>
        <w:rPr>
          <w:rFonts w:ascii="宋体" w:hAnsi="宋体" w:eastAsia="宋体"/>
          <w:b w:val="0"/>
          <w:sz w:val="21"/>
        </w:rPr>
        <w:t>其次，特别感谢我们的指导老师——信息科学与工程学院网络工程系的徐苗老师。从选题到数据分析，从构建模型到写论文，老师一路耐心指导，耐心帮我们理思路、解困惑，陪我们攻克了一个个难关。</w:t>
      </w:r>
    </w:p>
    <w:p>
      <w:pPr>
        <w:spacing w:line="360" w:lineRule="auto" w:after="0"/>
        <w:ind w:firstLine="420"/>
      </w:pPr>
      <w:r>
        <w:rPr>
          <w:rFonts w:ascii="宋体" w:hAnsi="宋体" w:eastAsia="宋体"/>
          <w:b w:val="0"/>
          <w:sz w:val="21"/>
        </w:rPr>
        <w:t>最后感谢一起奋斗的团队成员，大家分工配合，齐心协力完成了所有的工作，同时感谢大赛组委会细致周到的赛事服务。</w:t>
      </w:r>
    </w:p>
    <w:p>
      <w:pPr>
        <w:spacing w:line="360" w:lineRule="auto" w:after="0"/>
        <w:ind w:firstLine="420"/>
      </w:pPr>
      <w:r>
        <w:rPr>
          <w:rFonts w:ascii="宋体" w:hAnsi="宋体" w:eastAsia="宋体"/>
          <w:b w:val="0"/>
          <w:sz w:val="21"/>
        </w:rPr>
        <w:t>这次比赛收获颇多，在看到自身不足的同时我们也会带着这些经验，脚踏实地，稳步前行。</w:t>
      </w:r>
    </w:p>
    <w:p>
      <w:r>
        <w:br w:type="page"/>
      </w:r>
    </w:p>
    <w:p>
      <w:pPr>
        <w:spacing w:before="240" w:after="240"/>
        <w:jc w:val="center"/>
      </w:pPr>
      <w:r>
        <w:rPr>
          <w:rFonts w:ascii="黑体" w:hAnsi="黑体" w:eastAsia="黑体"/>
          <w:b/>
          <w:sz w:val="32"/>
        </w:rPr>
        <w:t>附录</w:t>
      </w:r>
    </w:p>
    <w:p>
      <w:pPr>
        <w:spacing w:before="240" w:after="120" w:line="360" w:lineRule="auto"/>
        <w:jc w:val="left"/>
      </w:pPr>
      <w:r>
        <w:rPr>
          <w:rFonts w:ascii="黑体" w:hAnsi="黑体" w:eastAsia="黑体"/>
          <w:b/>
          <w:color w:val="000000"/>
          <w:sz w:val="24"/>
        </w:rPr>
        <w:t>附录1：调研方案与数据采集说明</w:t>
      </w:r>
    </w:p>
    <w:p>
      <w:pPr>
        <w:spacing w:line="360" w:lineRule="auto" w:after="0"/>
        <w:ind w:firstLine="420"/>
      </w:pPr>
      <w:r>
        <w:rPr>
          <w:rFonts w:ascii="宋体" w:hAnsi="宋体" w:eastAsia="宋体"/>
          <w:b w:val="0"/>
          <w:sz w:val="21"/>
        </w:rPr>
        <w:t>本研究围绕极端气候下粮食生产风险与韧性提升主题，采用宏观统计数据+文献调研+实地访谈相结合的方式开展数据采集与验证工作。研究对象覆盖全国31个省（自治区、直辖市）粮食主产区与非主产区，时间跨度为2011—2023年。调研内容主要包括：区域气候特征、粮食生产受灾情况、农田水利设施水平、农业机械化与物质投入、农户风险感知与适应性行为等。调研过程严格遵循数据可获得性、连续性、一致性原则，对异常值与缺失值进行统一处理，确保数据质量满足模型建模要求。</w:t>
      </w:r>
    </w:p>
    <w:p>
      <w:pPr>
        <w:spacing w:before="240" w:after="120" w:line="360" w:lineRule="auto"/>
        <w:jc w:val="left"/>
      </w:pPr>
      <w:r>
        <w:rPr>
          <w:rFonts w:ascii="黑体" w:hAnsi="黑体" w:eastAsia="黑体"/>
          <w:b/>
          <w:color w:val="000000"/>
          <w:sz w:val="24"/>
        </w:rPr>
        <w:t>附录2：统计软件与计算环境</w:t>
      </w:r>
    </w:p>
    <w:p>
      <w:pPr>
        <w:spacing w:line="360" w:lineRule="auto" w:after="0"/>
        <w:ind w:firstLine="420"/>
      </w:pPr>
      <w:r>
        <w:rPr>
          <w:rFonts w:ascii="宋体" w:hAnsi="宋体" w:eastAsia="宋体"/>
          <w:b w:val="0"/>
          <w:sz w:val="21"/>
        </w:rPr>
        <w:t>本研究全部数据处理、模型构建与可视化分析在以下环境完成：</w:t>
      </w:r>
    </w:p>
    <w:p>
      <w:pPr>
        <w:spacing w:line="360" w:lineRule="auto" w:after="0"/>
        <w:ind w:firstLine="420"/>
      </w:pPr>
      <w:r>
        <w:rPr>
          <w:rFonts w:ascii="宋体" w:hAnsi="宋体" w:eastAsia="宋体"/>
          <w:b w:val="0"/>
          <w:sz w:val="21"/>
        </w:rPr>
        <w:t>1. 数据处理与统计分析：Python 3.9、Pandas、NumPy、Scikit-learn；</w:t>
      </w:r>
    </w:p>
    <w:p>
      <w:pPr>
        <w:spacing w:line="360" w:lineRule="auto" w:after="0"/>
        <w:ind w:firstLine="420"/>
      </w:pPr>
      <w:r>
        <w:rPr>
          <w:rFonts w:ascii="宋体" w:hAnsi="宋体" w:eastAsia="宋体"/>
          <w:b w:val="0"/>
          <w:sz w:val="21"/>
        </w:rPr>
        <w:t>2. 机器学习模型：XGBoost、SHAP（SHAP Explainer）；</w:t>
      </w:r>
    </w:p>
    <w:p>
      <w:pPr>
        <w:spacing w:line="360" w:lineRule="auto" w:after="0"/>
        <w:ind w:firstLine="420"/>
      </w:pPr>
      <w:r>
        <w:rPr>
          <w:rFonts w:ascii="宋体" w:hAnsi="宋体" w:eastAsia="宋体"/>
          <w:b w:val="0"/>
          <w:sz w:val="21"/>
        </w:rPr>
        <w:t>3. 深度学习模型：TensorFlow / Keras 构建 LSTM 网络；</w:t>
      </w:r>
    </w:p>
    <w:p>
      <w:pPr>
        <w:spacing w:line="360" w:lineRule="auto" w:after="0"/>
        <w:ind w:firstLine="420"/>
      </w:pPr>
      <w:r>
        <w:rPr>
          <w:rFonts w:ascii="宋体" w:hAnsi="宋体" w:eastAsia="宋体"/>
          <w:b w:val="0"/>
          <w:sz w:val="21"/>
        </w:rPr>
        <w:t>4. 绘图与可视化：Matplotlib、Seaborn、SHAP；</w:t>
      </w:r>
    </w:p>
    <w:p>
      <w:pPr>
        <w:spacing w:line="360" w:lineRule="auto" w:after="0"/>
        <w:ind w:firstLine="420"/>
      </w:pPr>
      <w:r>
        <w:rPr>
          <w:rFonts w:ascii="宋体" w:hAnsi="宋体" w:eastAsia="宋体"/>
          <w:b w:val="0"/>
          <w:sz w:val="21"/>
        </w:rPr>
        <w:t>5. 数据标准化、滤波与插值：Butterworth低通滤波、Z-score标准化、线性插值；</w:t>
      </w:r>
    </w:p>
    <w:p>
      <w:pPr>
        <w:spacing w:line="360" w:lineRule="auto" w:after="0"/>
        <w:ind w:firstLine="420"/>
      </w:pPr>
      <w:r>
        <w:rPr>
          <w:rFonts w:ascii="宋体" w:hAnsi="宋体" w:eastAsia="宋体"/>
          <w:b w:val="0"/>
          <w:sz w:val="21"/>
        </w:rPr>
        <w:t>6. 系统原型设计：Python Dash / ECharts / Leaflet（用于可视化决策支持系统原型搭建）。</w:t>
      </w:r>
    </w:p>
    <w:p>
      <w:pPr>
        <w:spacing w:before="240" w:after="120" w:line="360" w:lineRule="auto"/>
        <w:jc w:val="left"/>
      </w:pPr>
      <w:r>
        <w:rPr>
          <w:rFonts w:ascii="黑体" w:hAnsi="黑体" w:eastAsia="黑体"/>
          <w:b/>
          <w:color w:val="000000"/>
          <w:sz w:val="24"/>
        </w:rPr>
        <w:t>附录3：数据预处理与模型参数补充说明</w:t>
      </w:r>
    </w:p>
    <w:p>
      <w:pPr>
        <w:spacing w:line="360" w:lineRule="auto" w:after="0"/>
        <w:ind w:firstLine="420"/>
      </w:pPr>
      <w:r>
        <w:rPr>
          <w:rFonts w:ascii="宋体" w:hAnsi="宋体" w:eastAsia="宋体"/>
          <w:b w:val="0"/>
          <w:sz w:val="21"/>
        </w:rPr>
        <w:t>1. 去趋势处理：采用Butterworth低通滤波器剔除粮食单产长期趋势，提取波动项作为风险指标；</w:t>
      </w:r>
    </w:p>
    <w:p>
      <w:pPr>
        <w:spacing w:line="360" w:lineRule="auto" w:after="0"/>
        <w:ind w:firstLine="420"/>
      </w:pPr>
      <w:r>
        <w:rPr>
          <w:rFonts w:ascii="宋体" w:hAnsi="宋体" w:eastAsia="宋体"/>
          <w:b w:val="0"/>
          <w:sz w:val="21"/>
        </w:rPr>
        <w:t>2. 缺失值处理：对极少量缺失数据采用线性插值补齐，保证时序连续性；</w:t>
      </w:r>
    </w:p>
    <w:p>
      <w:pPr>
        <w:spacing w:line="360" w:lineRule="auto" w:after="0"/>
        <w:ind w:firstLine="420"/>
      </w:pPr>
      <w:r>
        <w:rPr>
          <w:rFonts w:ascii="宋体" w:hAnsi="宋体" w:eastAsia="宋体"/>
          <w:b w:val="0"/>
          <w:sz w:val="21"/>
        </w:rPr>
        <w:t>3. 数据标准化：对所有特征执行Z-score标准化，消除量纲影响；</w:t>
      </w:r>
    </w:p>
    <w:p>
      <w:pPr>
        <w:spacing w:line="360" w:lineRule="auto" w:after="0"/>
        <w:ind w:firstLine="420"/>
      </w:pPr>
      <w:r>
        <w:rPr>
          <w:rFonts w:ascii="宋体" w:hAnsi="宋体" w:eastAsia="宋体"/>
          <w:b w:val="0"/>
          <w:sz w:val="21"/>
        </w:rPr>
        <w:t>4. 数据集划分：按8:2随机划分为训练集与测试集，采用网格搜索优化超参数；</w:t>
      </w:r>
    </w:p>
    <w:p>
      <w:pPr>
        <w:spacing w:line="360" w:lineRule="auto" w:after="0"/>
        <w:ind w:firstLine="420"/>
      </w:pPr>
      <w:r>
        <w:rPr>
          <w:rFonts w:ascii="宋体" w:hAnsi="宋体" w:eastAsia="宋体"/>
          <w:b w:val="0"/>
          <w:sz w:val="21"/>
        </w:rPr>
        <w:t>5. 模型评价：采用决定系数R²、均方根误差RMSE评价拟合效果与预测精度。</w:t>
      </w:r>
    </w:p>
    <w:p>
      <w:pPr>
        <w:spacing w:before="240" w:after="120" w:line="360" w:lineRule="auto"/>
        <w:jc w:val="left"/>
      </w:pPr>
      <w:r>
        <w:rPr>
          <w:rFonts w:ascii="黑体" w:hAnsi="黑体" w:eastAsia="黑体"/>
          <w:b/>
          <w:color w:val="000000"/>
          <w:sz w:val="24"/>
        </w:rPr>
        <w:t>附录4：核心模型核心代码说明（简要）</w:t>
      </w:r>
    </w:p>
    <w:p>
      <w:pPr>
        <w:spacing w:line="360" w:lineRule="auto" w:after="0"/>
        <w:ind w:firstLine="420"/>
      </w:pPr>
      <w:r>
        <w:rPr>
          <w:rFonts w:ascii="宋体" w:hAnsi="宋体" w:eastAsia="宋体"/>
          <w:b w:val="0"/>
          <w:sz w:val="21"/>
        </w:rPr>
        <w:t>1. XGBoost-SHAP模型：完成特征重要性排序、SHAP全局解释、粮食单产预测；</w:t>
      </w:r>
    </w:p>
    <w:p>
      <w:pPr>
        <w:spacing w:line="360" w:lineRule="auto" w:after="0"/>
        <w:ind w:firstLine="420"/>
      </w:pPr>
      <w:r>
        <w:rPr>
          <w:rFonts w:ascii="宋体" w:hAnsi="宋体" w:eastAsia="宋体"/>
          <w:b w:val="0"/>
          <w:sz w:val="21"/>
        </w:rPr>
        <w:t>2. LSTM模型：构建LSTM结构，用于风险时序预测与双重验证；</w:t>
      </w:r>
    </w:p>
    <w:p>
      <w:pPr>
        <w:spacing w:line="360" w:lineRule="auto" w:after="0"/>
        <w:ind w:firstLine="420"/>
      </w:pPr>
      <w:r>
        <w:rPr>
          <w:rFonts w:ascii="宋体" w:hAnsi="宋体" w:eastAsia="宋体"/>
          <w:b w:val="0"/>
          <w:sz w:val="21"/>
        </w:rPr>
        <w:t>3. 可视化系统模块：基于Web框架（Dash + ECharts）开发风险地图、因子追溯、韧性评估、情景仿真、预警推送等功能模块；</w:t>
      </w:r>
    </w:p>
    <w:p>
      <w:pPr>
        <w:spacing w:line="360" w:lineRule="auto" w:after="0"/>
        <w:ind w:firstLine="420"/>
      </w:pPr>
      <w:r>
        <w:rPr>
          <w:rFonts w:ascii="宋体" w:hAnsi="宋体" w:eastAsia="宋体"/>
          <w:b w:val="0"/>
          <w:sz w:val="21"/>
        </w:rPr>
        <w:t>4. 结果输出：风险核心因子排序、拟合对比图、训练收敛曲线和SHAP蜂群图。</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