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Body"/>
        <w:jc w:val="both"/>
        <w:spacing w:before="0" w:after="1200" w:line="320" w:lineRule="auto"/>
      </w:pPr>
    </w:p>
    <w:p>
      <w:pPr>
        <w:pStyle w:val="Body"/>
        <w:jc w:val="center"/>
        <w:spacing w:before="0" w:after="400" w:line="320" w:lineRule="auto"/>
      </w:pPr>
      <w:r>
        <w:rPr>
          <w:sz w:val="22"/>
          <w:szCs w:val="22"/>
        </w:rPr>
        <w:t xml:space="preserve">第八届全球校园人工智能算法精英大赛　算法创新赛</w:t>
      </w:r>
    </w:p>
    <w:p>
      <w:pPr>
        <w:pStyle w:val="Title"/>
        <w:jc w:val="center"/>
        <w:spacing w:before="0" w:after="200" w:line="320" w:lineRule="auto"/>
      </w:pPr>
      <w:r>
        <w:rPr>
          <w:b/>
          <w:sz w:val="44"/>
          <w:szCs w:val="44"/>
        </w:rPr>
        <w:t xml:space="preserve">禾衡·粮食生产气候风险归因决策系统</w:t>
      </w:r>
    </w:p>
    <w:p>
      <w:pPr>
        <w:pStyle w:val="Body"/>
        <w:jc w:val="center"/>
        <w:spacing w:before="0" w:after="800" w:line="320" w:lineRule="auto"/>
      </w:pPr>
      <w:r>
        <w:rPr>
          <w:sz w:val="28"/>
          <w:szCs w:val="28"/>
        </w:rPr>
        <w:t xml:space="preserve">技术方案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23"/>
        <w:gridCol w:w="6588"/>
      </w:tblGrid>
      <w:tr>
        <w:tc>
          <w:tcPr>
            <w:tcW w:w="2823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20"/>
                <w:szCs w:val="20"/>
              </w:rPr>
              <w:t xml:space="preserve">作品名称</w:t>
            </w:r>
          </w:p>
        </w:tc>
        <w:tc>
          <w:tcPr>
            <w:tcW w:w="6588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0"/>
                <w:szCs w:val="20"/>
              </w:rPr>
              <w:t xml:space="preserve">禾衡·粮食生产气候风险归因决策系统</w:t>
            </w:r>
          </w:p>
        </w:tc>
      </w:tr>
      <w:tr>
        <w:tc>
          <w:tcPr>
            <w:tcW w:w="2823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20"/>
                <w:szCs w:val="20"/>
              </w:rPr>
              <w:t xml:space="preserve">参赛赛题</w:t>
            </w:r>
          </w:p>
        </w:tc>
        <w:tc>
          <w:tcPr>
            <w:tcW w:w="6588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0"/>
                <w:szCs w:val="20"/>
              </w:rPr>
              <w:t xml:space="preserve">赛题5　AI+学科交叉</w:t>
            </w:r>
          </w:p>
        </w:tc>
      </w:tr>
      <w:tr>
        <w:tc>
          <w:tcPr>
            <w:tcW w:w="2823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20"/>
                <w:szCs w:val="20"/>
              </w:rPr>
              <w:t xml:space="preserve">作品类别</w:t>
            </w:r>
          </w:p>
        </w:tc>
        <w:tc>
          <w:tcPr>
            <w:tcW w:w="6588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0"/>
                <w:szCs w:val="20"/>
              </w:rPr>
              <w:t xml:space="preserve">AI 赋能农学理论研究的跨学科科研分析系统</w:t>
            </w:r>
          </w:p>
        </w:tc>
      </w:tr>
      <w:tr>
        <w:tc>
          <w:tcPr>
            <w:tcW w:w="2823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sz w:val="20"/>
                <w:szCs w:val="20"/>
              </w:rPr>
              <w:t xml:space="preserve">提交日期</w:t>
            </w:r>
          </w:p>
        </w:tc>
        <w:tc>
          <w:tcPr>
            <w:tcW w:w="6588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sz w:val="20"/>
                <w:szCs w:val="20"/>
              </w:rPr>
              <w:t xml:space="preserve">2026 年 10 月</w:t>
            </w:r>
          </w:p>
        </w:tc>
      </w:tr>
    </w:tbl>
    <w:p>
      <w:pPr>
        <w:pStyle w:val="Body"/>
        <w:jc w:val="both"/>
        <w:spacing w:before="0" w:after="600" w:line="320" w:lineRule="auto"/>
      </w:pPr>
    </w:p>
    <w:p>
      <w:pPr>
        <w:pStyle w:val="Body"/>
        <w:jc w:val="center"/>
        <w:spacing w:before="0" w:after="80" w:line="320" w:lineRule="auto"/>
      </w:pPr>
      <w:r>
        <w:rPr>
          <w:sz w:val="18"/>
          <w:szCs w:val="18"/>
        </w:rPr>
        <w:t xml:space="preserve">本方案所涉算法模型、数据集与系统模块均由团队独立研发，拥有完整知识产权</w:t>
      </w:r>
    </w:p>
    <w:p>
      <w:pPr>
        <w:pStyle w:val="Heading1"/>
        <w:pageBreakBefore/>
        <w:jc w:val="left"/>
        <w:spacing w:before="0" w:after="100" w:line="320" w:lineRule="auto"/>
      </w:pPr>
      <w:r>
        <w:t xml:space="preserve">一、项目概述</w:t>
      </w:r>
    </w:p>
    <w:p>
      <w:pPr>
        <w:pStyle w:val="Heading2"/>
        <w:jc w:val="left"/>
        <w:spacing w:before="120" w:after="100" w:line="320" w:lineRule="auto"/>
      </w:pPr>
      <w:r>
        <w:t xml:space="preserve">1. 背景与意义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学科背景。</w:t>
      </w:r>
      <w:r>
        <w:t xml:space="preserve">极端气候已成为粮食安全的核心扰动源。2023 年全国平均气温创 1961 年以来新高，京津冀"23·7"极端暴雨致河北平原约 24 万公顷农田受灾，长江中下游高温干旱与西南"旱涝急转"叠加发生。在农学与农业气象学的学科视野中，这类事件提出的核心科学问题不是"某年减产多少"，而是</w:t>
      </w:r>
      <w:r>
        <w:rPr>
          <w:b/>
        </w:rPr>
        <w:t xml:space="preserve">在省级尺度上，哪些因子对粮食生产风险的边际贡献更大、方向如何、区域间是否分化</w:t>
      </w:r>
      <w:r>
        <w:t xml:space="preserve">——这是区域农业风险评估、种植结构调整与防灾减灾政策制定的共同前提。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学科建设意义。</w:t>
      </w:r>
      <w:r>
        <w:t xml:space="preserve">长期以来，该问题的研究路径存在明显的学科割裂：农学与农业气象学擅长机理阐释但受限于统计手段，计算机科学擅长建模但常脱离农学语境。本作品以</w:t>
      </w:r>
      <w:r>
        <w:rPr>
          <w:b/>
        </w:rPr>
        <w:t xml:space="preserve">农业气象学的问题定义 + 机器学习的方法工具 + 决策科学的输出形式</w:t>
      </w:r>
      <w:r>
        <w:t xml:space="preserve">构建跨学科链条，为"人工智能赋能农学理论研究与科研探索"提供一条可复用的路径：把卫星观测、地面气象与统计年鉴三类异构数据在省级面板上对齐，用可解释模型输出农学可解读的因子排序，最终交付到科研与管理部门可直接使用的工具。</w:t>
      </w:r>
    </w:p>
    <w:p>
      <w:pPr>
        <w:pStyle w:val="Heading2"/>
        <w:jc w:val="left"/>
        <w:spacing w:before="120" w:after="100" w:line="320" w:lineRule="auto"/>
      </w:pPr>
      <w:r>
        <w:t xml:space="preserve">2. 核心目标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9"/>
        <w:gridCol w:w="3953"/>
        <w:gridCol w:w="4329"/>
      </w:tblGrid>
      <w:tr>
        <w:trPr>
          <w:tblHeader/>
        </w:trPr>
        <w:tc>
          <w:tcPr>
            <w:tcW w:w="11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目标层级</w:t>
            </w:r>
          </w:p>
        </w:tc>
        <w:tc>
          <w:tcPr>
            <w:tcW w:w="3953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具体目标</w:t>
            </w:r>
          </w:p>
        </w:tc>
        <w:tc>
          <w:tcPr>
            <w:tcW w:w="43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达成指标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数据层</w:t>
            </w:r>
          </w:p>
        </w:tc>
        <w:tc>
          <w:tcPr>
            <w:tcW w:w="395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构建统计 + 气象 + 遥感 + 致灾/空间四模态的省级面板数据集</w:t>
            </w:r>
          </w:p>
        </w:tc>
        <w:tc>
          <w:tcPr>
            <w:tcW w:w="43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31 省 × 13 年（2011—2023）= 403 样本，11 维入模特征，无缺失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方法层</w:t>
            </w:r>
          </w:p>
        </w:tc>
        <w:tc>
          <w:tcPr>
            <w:tcW w:w="3953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建立跨算法归因互补的分析框架，并公开报告多协议验证结果</w:t>
            </w:r>
          </w:p>
        </w:tc>
        <w:tc>
          <w:tcPr>
            <w:tcW w:w="43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三模型互补归因；random 8:2 / leave-year-out / leave-province-out 三协议并行披露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学科层</w:t>
            </w:r>
          </w:p>
        </w:tc>
        <w:tc>
          <w:tcPr>
            <w:tcW w:w="395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输出农学可解读的因子相对重要性排序与区域分化证据</w:t>
            </w:r>
          </w:p>
        </w:tc>
        <w:tc>
          <w:tcPr>
            <w:tcW w:w="43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SHAP 边际贡献 Top-3、Attention gating Top-3 双视角对照；省级差异化归因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应用层</w:t>
            </w:r>
          </w:p>
        </w:tc>
        <w:tc>
          <w:tcPr>
            <w:tcW w:w="3953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交付面向科研人员与管理部门的可视化决策支持系统</w:t>
            </w:r>
          </w:p>
        </w:tc>
        <w:tc>
          <w:tcPr>
            <w:tcW w:w="43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7 模块 Web 系统，单次推理 &lt; 2 秒，全栈无 GPU 依赖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1"/>
        <w:pageBreakBefore/>
        <w:jc w:val="left"/>
        <w:spacing w:before="0" w:after="100" w:line="320" w:lineRule="auto"/>
      </w:pPr>
      <w:r>
        <w:t xml:space="preserve">二、需求分析</w:t>
      </w:r>
    </w:p>
    <w:p>
      <w:pPr>
        <w:pStyle w:val="Heading2"/>
        <w:jc w:val="left"/>
        <w:spacing w:before="120" w:after="100" w:line="320" w:lineRule="auto"/>
      </w:pPr>
      <w:r>
        <w:t xml:space="preserve">1. 学科专业界定</w:t>
      </w:r>
    </w:p>
    <w:p>
      <w:pPr>
        <w:pStyle w:val="Body"/>
        <w:jc w:val="both"/>
        <w:spacing w:before="0" w:after="80" w:line="320" w:lineRule="auto"/>
      </w:pPr>
      <w:r>
        <w:t xml:space="preserve">本作品服务的学科领域为</w:t>
      </w:r>
      <w:r>
        <w:rPr>
          <w:b/>
        </w:rPr>
        <w:t xml:space="preserve">农学门类下的作物学与农业资源与环境（区域粮食安全风险评估方向）</w:t>
      </w:r>
      <w:r>
        <w:t xml:space="preserve">，并交叉农业气象学与计算机科学与技术。所聚焦的核心学科环节为：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1. </w:t>
      </w:r>
      <w:r>
        <w:rPr>
          <w:b/>
        </w:rPr>
        <w:t xml:space="preserve">理论研究</w:t>
      </w:r>
      <w:r>
        <w:t xml:space="preserve">：极端气候因子的相对重要性排序及其区域分化规律；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2. </w:t>
      </w:r>
      <w:r>
        <w:rPr>
          <w:b/>
        </w:rPr>
        <w:t xml:space="preserve">科研探索</w:t>
      </w:r>
      <w:r>
        <w:t xml:space="preserve">：多源异构数据的融合建模与可解释性归因；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3. </w:t>
      </w:r>
      <w:r>
        <w:rPr>
          <w:b/>
        </w:rPr>
        <w:t xml:space="preserve">科研数据处理与可视化</w:t>
      </w:r>
      <w:r>
        <w:t xml:space="preserve">：从原始遥感/气象/统计资料到可复现分析结论的工程化流程。</w:t>
      </w:r>
    </w:p>
    <w:p>
      <w:pPr>
        <w:pStyle w:val="Body"/>
        <w:jc w:val="both"/>
        <w:spacing w:before="0" w:after="80" w:line="320" w:lineRule="auto"/>
      </w:pPr>
      <w:r>
        <w:t xml:space="preserve">切入环节之所以选"科研数据处理与可视化"，是因为它的痛点</w:t>
      </w:r>
      <w:r>
        <w:rPr>
          <w:b/>
        </w:rPr>
        <w:t xml:space="preserve">跨学科共性最强</w:t>
      </w:r>
      <w:r>
        <w:t xml:space="preserve">：既制约农学研究的可复现性，也制约计算机方法在农学中的落地效率。</w:t>
      </w:r>
    </w:p>
    <w:p>
      <w:pPr>
        <w:pStyle w:val="Heading2"/>
        <w:jc w:val="left"/>
        <w:spacing w:before="120" w:after="100" w:line="320" w:lineRule="auto"/>
      </w:pPr>
      <w:r>
        <w:t xml:space="preserve">2. 核心痛点梳理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9"/>
        <w:gridCol w:w="4141"/>
        <w:gridCol w:w="4141"/>
      </w:tblGrid>
      <w:tr>
        <w:trPr>
          <w:tblHeader/>
        </w:trPr>
        <w:tc>
          <w:tcPr>
            <w:tcW w:w="11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环节</w:t>
            </w:r>
          </w:p>
        </w:tc>
        <w:tc>
          <w:tcPr>
            <w:tcW w:w="414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现状痛点</w:t>
            </w:r>
          </w:p>
        </w:tc>
        <w:tc>
          <w:tcPr>
            <w:tcW w:w="414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后果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数据准备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四类数据源格式、时空粒度、坐标系各不相同（栅格 / 站点 / 年鉴 / 矢量），对齐工作重复且不可复用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单次研究的数据准备耗时占全流程主要比例；不同研究口径不一致，结论难以横向比较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建模归因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多依赖单一模型与全局重要性排序，缺乏跨原理模型的归因对照，也缺乏对模型适用边界的主动披露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归因结论的稳健性无法被同行检验；易出现"把拟合能力误读为因果结论"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成果转化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研究多止步于论文与离线脚本，缺少面向非技术用户的交互工具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归因结论难以触达农技推广与政策制定环节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2"/>
        <w:jc w:val="left"/>
        <w:spacing w:before="120" w:after="100" w:line="320" w:lineRule="auto"/>
      </w:pPr>
      <w:r>
        <w:t xml:space="preserve">3. AI 赋能需求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11"/>
        <w:gridCol w:w="6400"/>
      </w:tblGrid>
      <w:tr>
        <w:trPr>
          <w:tblHeader/>
        </w:trPr>
        <w:tc>
          <w:tcPr>
            <w:tcW w:w="301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需求</w:t>
            </w:r>
          </w:p>
        </w:tc>
        <w:tc>
          <w:tcPr>
            <w:tcW w:w="6400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AI 技术的对应角色</w:t>
            </w:r>
          </w:p>
        </w:tc>
      </w:tr>
      <w:tr>
        <w:tc>
          <w:tcPr>
            <w:tcW w:w="301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异构数据时空对齐与标准化</w:t>
            </w:r>
          </w:p>
        </w:tc>
        <w:tc>
          <w:tcPr>
            <w:tcW w:w="640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缺失值插值、Z-score 标准化、栅格按省域行政边界的加权聚合（遥感含耕地像元权重）</w:t>
            </w:r>
          </w:p>
        </w:tc>
      </w:tr>
      <w:tr>
        <w:tc>
          <w:tcPr>
            <w:tcW w:w="301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非线性、多因子耦合的风险归因</w:t>
            </w:r>
          </w:p>
        </w:tc>
        <w:tc>
          <w:tcPr>
            <w:tcW w:w="6400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梯度提升树（捕捉非线性与交互）+ SHAP 归因框架</w:t>
            </w:r>
          </w:p>
        </w:tc>
      </w:tr>
      <w:tr>
        <w:tc>
          <w:tcPr>
            <w:tcW w:w="301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时序维度的独立对照视角</w:t>
            </w:r>
          </w:p>
        </w:tc>
        <w:tc>
          <w:tcPr>
            <w:tcW w:w="640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LSTM 与特征级注意力门控（feature-level attention gating）</w:t>
            </w:r>
          </w:p>
        </w:tc>
      </w:tr>
      <w:tr>
        <w:tc>
          <w:tcPr>
            <w:tcW w:w="301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归因结论的可检验性</w:t>
            </w:r>
          </w:p>
        </w:tc>
        <w:tc>
          <w:tcPr>
            <w:tcW w:w="6400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多协议交叉验证框架 + 消融实验（ablation）</w:t>
            </w:r>
          </w:p>
        </w:tc>
      </w:tr>
      <w:tr>
        <w:tc>
          <w:tcPr>
            <w:tcW w:w="301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结论触达非技术用户</w:t>
            </w:r>
          </w:p>
        </w:tc>
        <w:tc>
          <w:tcPr>
            <w:tcW w:w="640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Web 决策支持系统 + 检索增强问答（把方法论文档作为知识库）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1"/>
        <w:pageBreakBefore/>
        <w:jc w:val="left"/>
        <w:spacing w:before="0" w:after="100" w:line="320" w:lineRule="auto"/>
      </w:pPr>
      <w:r>
        <w:t xml:space="preserve">三、解决方案设计</w:t>
      </w:r>
    </w:p>
    <w:p>
      <w:pPr>
        <w:pStyle w:val="Heading2"/>
        <w:jc w:val="left"/>
        <w:spacing w:before="120" w:after="100" w:line="320" w:lineRule="auto"/>
      </w:pPr>
      <w:r>
        <w:t xml:space="preserve">1. 系统架构设计</w:t>
      </w:r>
    </w:p>
    <w:p>
      <w:pPr>
        <w:pStyle w:val="Body"/>
        <w:jc w:val="both"/>
        <w:spacing w:before="0" w:after="80" w:line="320" w:lineRule="auto"/>
      </w:pPr>
      <w:r>
        <w:t xml:space="preserve">系统采用"数据层 — 算法层 — 应用层"三层架构：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23"/>
        <w:gridCol w:w="4611"/>
        <w:gridCol w:w="3576"/>
      </w:tblGrid>
      <w:tr>
        <w:trPr>
          <w:tblHeader/>
        </w:trPr>
        <w:tc>
          <w:tcPr>
            <w:tcW w:w="1223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层次</w:t>
            </w:r>
          </w:p>
        </w:tc>
        <w:tc>
          <w:tcPr>
            <w:tcW w:w="461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组成</w:t>
            </w:r>
          </w:p>
        </w:tc>
        <w:tc>
          <w:tcPr>
            <w:tcW w:w="357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输出</w:t>
            </w:r>
          </w:p>
        </w:tc>
      </w:tr>
      <w:tr>
        <w:tc>
          <w:tcPr>
            <w:tcW w:w="122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数据层</w:t>
            </w:r>
          </w:p>
        </w:tc>
        <w:tc>
          <w:tcPr>
            <w:tcW w:w="461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统计（产量与投入）、气象（气温/降水/日照/SPEI）、遥感（MODIS NDVI 与地表温度，按耕地像元加权）、致灾与空间（旱灾/水灾面积、省域矢量）</w:t>
            </w:r>
          </w:p>
        </w:tc>
        <w:tc>
          <w:tcPr>
            <w:tcW w:w="35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缺失值插值 → 时空对齐 → Z-score → 403 × 27 面板</w:t>
            </w:r>
          </w:p>
        </w:tc>
      </w:tr>
      <w:tr>
        <w:tc>
          <w:tcPr>
            <w:tcW w:w="1223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算法层</w:t>
            </w:r>
          </w:p>
        </w:tc>
        <w:tc>
          <w:tcPr>
            <w:tcW w:w="461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XGBoost-SHAP（横截面边际贡献）、LSTM（时序拟合参照）、Attention-LSTM（11 维 gating 权重）、三协议交叉验证、消融实验</w:t>
            </w:r>
          </w:p>
        </w:tc>
        <w:tc>
          <w:tcPr>
            <w:tcW w:w="35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模型文件 + 归因结果 + 鲁棒性报告</w:t>
            </w:r>
          </w:p>
        </w:tc>
      </w:tr>
      <w:tr>
        <w:tc>
          <w:tcPr>
            <w:tcW w:w="122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应用层</w:t>
            </w:r>
          </w:p>
        </w:tc>
        <w:tc>
          <w:tcPr>
            <w:tcW w:w="461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REST API（推理与归因）+ Web 前端 7 模块</w:t>
            </w:r>
          </w:p>
        </w:tc>
        <w:tc>
          <w:tcPr>
            <w:tcW w:w="35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可视化决策支持系统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jc w:val="center"/>
        <w:spacing w:before="60" w:after="40"/>
      </w:pPr>
      <w:r>
        <w:drawing>
          <wp:inline distT="0" distB="0" distL="0" distR="0">
            <wp:extent cx="5976000" cy="4057914"/>
            <wp:docPr id="1" name="image1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1　系统整体架构图</w:t>
      </w:r>
    </w:p>
    <w:p>
      <w:pPr>
        <w:pStyle w:val="Body"/>
        <w:jc w:val="both"/>
        <w:spacing w:before="0" w:after="80" w:line="320" w:lineRule="auto"/>
      </w:pPr>
      <w:r>
        <w:t xml:space="preserve">上图为本作品的三层架构：数据层负责把四模态原始资料统一到"省份 × 年度"口径，算法层同时承载预测、归因与校核三类任务，应用层把结论交付到交互界面。图中不含任何单位标识，为提交用重绘版本。</w:t>
      </w:r>
    </w:p>
    <w:p>
      <w:pPr>
        <w:pStyle w:val="Heading2"/>
        <w:jc w:val="left"/>
        <w:spacing w:before="120" w:after="100" w:line="320" w:lineRule="auto"/>
      </w:pPr>
      <w:r>
        <w:t xml:space="preserve">2. 技术选型依据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9"/>
        <w:gridCol w:w="4047"/>
        <w:gridCol w:w="4235"/>
      </w:tblGrid>
      <w:tr>
        <w:trPr>
          <w:tblHeader/>
        </w:trPr>
        <w:tc>
          <w:tcPr>
            <w:tcW w:w="11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层次</w:t>
            </w:r>
          </w:p>
        </w:tc>
        <w:tc>
          <w:tcPr>
            <w:tcW w:w="4047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选型</w:t>
            </w:r>
          </w:p>
        </w:tc>
        <w:tc>
          <w:tcPr>
            <w:tcW w:w="4235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与学科需求的适配理由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前端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Vue 3 + ECharts</w:t>
            </w:r>
          </w:p>
        </w:tc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科研人员需要"可交互探索"，而非静态图表；ECharts 地图组件适配省域展示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后端</w:t>
            </w:r>
          </w:p>
        </w:tc>
        <w:tc>
          <w:tcPr>
            <w:tcW w:w="40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Flask 3 + gunicorn</w:t>
            </w:r>
          </w:p>
        </w:tc>
        <w:tc>
          <w:tcPr>
            <w:tcW w:w="42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轻量、易部署到教学/科研服务器；无需 GPU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预测模型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XGBoost</w:t>
            </w:r>
          </w:p>
        </w:tc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小样本（N = 403）、中维（11 维）、非线性与交互显著，树模型是最适配的选择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归因</w:t>
            </w:r>
          </w:p>
        </w:tc>
        <w:tc>
          <w:tcPr>
            <w:tcW w:w="40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SHAP</w:t>
            </w:r>
          </w:p>
        </w:tc>
        <w:tc>
          <w:tcPr>
            <w:tcW w:w="42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提供样本级可加性分解，满足"农学可解读"要求（作用方向 + 单省归因 + 交互依赖）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时序对照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LSTM + 特征级注意力门控</w:t>
            </w:r>
          </w:p>
        </w:tc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省级年度面板 TIMESTEPS = 1，传统时间步注意力退化，故适配为</w:t>
            </w:r>
            <w:r>
              <w:rPr>
                <w:b/>
              </w:rPr>
              <w:t xml:space="preserve">特征级</w:t>
            </w:r>
            <w:r>
              <w:t xml:space="preserve">软选择门控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统计校核</w:t>
            </w:r>
          </w:p>
        </w:tc>
        <w:tc>
          <w:tcPr>
            <w:tcW w:w="40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线性混合效应模型</w:t>
            </w:r>
          </w:p>
        </w:tc>
        <w:tc>
          <w:tcPr>
            <w:tcW w:w="42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用方差分解定量回答"R² 究竟来自哪里"，避免过度解读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知识助手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BGE-M3 嵌入 + BM25 混合检索 + 交叉编码器重排 + 大模型生成</w:t>
            </w:r>
          </w:p>
        </w:tc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让方法论文档可直接被自然语言检索，降低科研新人上手成本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Caption"/>
        <w:jc w:val="center"/>
        <w:spacing w:before="0" w:after="80" w:line="320" w:lineRule="auto"/>
      </w:pPr>
      <w:r>
        <w:rPr>
          <w:b/>
        </w:rPr>
        <w:t xml:space="preserve">为什么强调"选型依据"而不是"越前沿越好"</w:t>
      </w:r>
      <w:r>
        <w:t xml:space="preserve">：N = 403 的省级面板数据规模决定了深度模型的收益上限；本项目选择用</w:t>
      </w:r>
      <w:r>
        <w:rPr>
          <w:b/>
        </w:rPr>
        <w:t xml:space="preserve">多个原理不同的轻量模型做归因对照</w:t>
      </w:r>
      <w:r>
        <w:t xml:space="preserve">，而非堆叠一个大模型，这与数据规模相匹配。</w:t>
      </w:r>
    </w:p>
    <w:p>
      <w:pPr>
        <w:pStyle w:val="Heading2"/>
        <w:jc w:val="left"/>
        <w:spacing w:before="120" w:after="100" w:line="320" w:lineRule="auto"/>
      </w:pPr>
      <w:r>
        <w:t xml:space="preserve">3. 核心技术模块</w:t>
      </w:r>
    </w:p>
    <w:p>
      <w:pPr>
        <w:pStyle w:val="Heading3"/>
        <w:jc w:val="left"/>
        <w:spacing w:before="0" w:after="100" w:line="320" w:lineRule="auto"/>
      </w:pPr>
      <w:r>
        <w:t xml:space="preserve">模块一：多模态时空对齐与面板数据集构建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四类数据源统一到"省份 × 年度"口径；栅格遥感按省域边界聚合，且使用</w:t>
      </w:r>
      <w:r>
        <w:rPr>
          <w:b/>
        </w:rPr>
        <w:t xml:space="preserve">耕地像元权重</w:t>
      </w:r>
      <w:r>
        <w:t xml:space="preserve">，避免非耕地像元混入；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气象站点数据按省域多站点加权平均；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缺失值线性插值，全列 Z-score 标准化；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产出：403 × 27 字段面板，其中 11 维入模特征 + 1 维目标（粮食单产 kg/ha）。</w:t>
      </w:r>
    </w:p>
    <w:p>
      <w:pPr>
        <w:pStyle w:val="Heading3"/>
        <w:jc w:val="left"/>
        <w:spacing w:before="0" w:after="100" w:line="320" w:lineRule="auto"/>
      </w:pPr>
      <w:r>
        <w:t xml:space="preserve">模块二：XGBoost-SHAP 横截面边际贡献归因</w:t>
      </w:r>
    </w:p>
    <w:p>
      <w:pPr>
        <w:pStyle w:val="Body"/>
        <w:jc w:val="both"/>
        <w:spacing w:before="0" w:after="80" w:line="320" w:lineRule="auto"/>
      </w:pPr>
      <w:r>
        <w:t xml:space="preserve">目标函数同时考虑训练损失与树结构正则项：</w:t>
      </w:r>
    </w:p>
    <w:p>
      <w:pPr>
        <w:pStyle w:val="Body"/>
        <w:jc w:val="both"/>
        <w:spacing w:before="0" w:after="80" w:line="320" w:lineRule="auto"/>
      </w:pPr>
      <w:r>
        <w:t xml:space="preserve">Obj = Σ L(y_i, ŷ_i) + Σ Ω(f_k)，  ŷ_i = Σ f_k(x_i)</w:t>
      </w:r>
    </w:p>
    <w:p>
      <w:pPr>
        <w:pStyle w:val="Body"/>
        <w:jc w:val="both"/>
        <w:spacing w:before="0" w:after="80" w:line="320" w:lineRule="auto"/>
      </w:pPr>
      <w:r>
        <w:t xml:space="preserve">SHAP 将单样本预测分解为各特征贡献之和：</w:t>
      </w:r>
    </w:p>
    <w:p>
      <w:pPr>
        <w:pStyle w:val="Body"/>
        <w:jc w:val="both"/>
        <w:spacing w:before="0" w:after="80" w:line="320" w:lineRule="auto"/>
      </w:pPr>
      <w:r>
        <w:t xml:space="preserve">ŷ_i = φ_0 + Σ φ_ij</w:t>
      </w:r>
    </w:p>
    <w:p>
      <w:pPr>
        <w:pStyle w:val="Body"/>
        <w:jc w:val="both"/>
        <w:spacing w:before="0" w:after="80" w:line="320" w:lineRule="auto"/>
      </w:pPr>
      <w:r>
        <w:t xml:space="preserve">输出三个层次的归因：全局重要性（mean |SHAP|）、单样本瀑布分解、特征交互依赖。</w:t>
      </w:r>
    </w:p>
    <w:p>
      <w:pPr>
        <w:pStyle w:val="Heading3"/>
        <w:jc w:val="left"/>
        <w:spacing w:before="0" w:after="100" w:line="320" w:lineRule="auto"/>
      </w:pPr>
      <w:r>
        <w:t xml:space="preserve">模块三：Attention-LSTM 时序归因（特征级门控）</w:t>
      </w:r>
    </w:p>
    <w:p>
      <w:pPr>
        <w:pStyle w:val="Body"/>
        <w:jc w:val="both"/>
        <w:spacing w:before="0" w:after="80" w:line="320" w:lineRule="auto"/>
      </w:pPr>
      <w:r>
        <w:t xml:space="preserve">针对 TIMESTEPS = 1 的省级年度面板特性，将时间步注意力改造为</w:t>
      </w:r>
      <w:r>
        <w:rPr>
          <w:b/>
        </w:rPr>
        <w:t xml:space="preserve">特征级注意力门控</w:t>
      </w:r>
      <w:r>
        <w:t xml:space="preserve">：</w:t>
      </w:r>
    </w:p>
    <w:p>
      <w:pPr>
        <w:pStyle w:val="Body"/>
        <w:jc w:val="both"/>
        <w:spacing w:before="0" w:after="80" w:line="320" w:lineRule="auto"/>
      </w:pPr>
      <w:r>
        <w:t xml:space="preserve">e_j = vᵀ tanh(W_h x_j + b_h)</w:t>
      </w:r>
    </w:p>
    <w:p>
      <w:pPr>
        <w:pStyle w:val="Body"/>
        <w:jc w:val="both"/>
        <w:spacing w:before="0" w:after="80" w:line="320" w:lineRule="auto"/>
      </w:pPr>
      <w:r>
        <w:t xml:space="preserve">α_j = exp(e_j) / Σ_k exp(e_k)</w:t>
      </w:r>
    </w:p>
    <w:p>
      <w:pPr>
        <w:pStyle w:val="Body"/>
        <w:jc w:val="both"/>
        <w:spacing w:before="0" w:after="80" w:line="320" w:lineRule="auto"/>
      </w:pPr>
      <w:r>
        <w:t xml:space="preserve">x'_j = α_j · x_j</w:t>
      </w:r>
    </w:p>
    <w:p>
      <w:pPr>
        <w:pStyle w:val="Body"/>
        <w:jc w:val="both"/>
        <w:spacing w:before="0" w:after="80" w:line="320" w:lineRule="auto"/>
      </w:pPr>
      <w:r>
        <w:t xml:space="preserve">α 满足 Σα = 1，因此可与 SHAP 排名直接做等级相关对照——这是"互补归因"可比性的技术前提。</w:t>
      </w:r>
    </w:p>
    <w:p>
      <w:pPr>
        <w:pStyle w:val="Heading3"/>
        <w:jc w:val="left"/>
        <w:spacing w:before="0" w:after="100" w:line="320" w:lineRule="auto"/>
      </w:pPr>
      <w:r>
        <w:t xml:space="preserve">模块四：三协议鲁棒性披露与消融实验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88"/>
        <w:gridCol w:w="3576"/>
        <w:gridCol w:w="4047"/>
      </w:tblGrid>
      <w:tr>
        <w:trPr>
          <w:tblHeader/>
        </w:trPr>
        <w:tc>
          <w:tcPr>
            <w:tcW w:w="1788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协议</w:t>
            </w:r>
          </w:p>
        </w:tc>
        <w:tc>
          <w:tcPr>
            <w:tcW w:w="357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检验目标</w:t>
            </w:r>
          </w:p>
        </w:tc>
        <w:tc>
          <w:tcPr>
            <w:tcW w:w="4047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实测（XGBoost，10 种子 / 31 折 / 13 折）</w:t>
            </w:r>
          </w:p>
        </w:tc>
      </w:tr>
      <w:tr>
        <w:tc>
          <w:tcPr>
            <w:tcW w:w="17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random 8:2</w:t>
            </w:r>
          </w:p>
        </w:tc>
        <w:tc>
          <w:tcPr>
            <w:tcW w:w="35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已见省份相邻样本的拟合与省内归因能力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R² = 0.907 ± 0.038，RMSE 312.5 kg/ha</w:t>
            </w:r>
          </w:p>
        </w:tc>
      </w:tr>
      <w:tr>
        <w:tc>
          <w:tcPr>
            <w:tcW w:w="178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leave-year-out</w:t>
            </w:r>
          </w:p>
        </w:tc>
        <w:tc>
          <w:tcPr>
            <w:tcW w:w="35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时间外推（已见省份的未来年份）</w:t>
            </w:r>
          </w:p>
        </w:tc>
        <w:tc>
          <w:tcPr>
            <w:tcW w:w="40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R² = 0.894 ± 0.10</w:t>
            </w:r>
          </w:p>
        </w:tc>
      </w:tr>
      <w:tr>
        <w:tc>
          <w:tcPr>
            <w:tcW w:w="17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leave-province-out</w:t>
            </w:r>
          </w:p>
        </w:tc>
        <w:tc>
          <w:tcPr>
            <w:tcW w:w="35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空间外推（未见省份）</w:t>
            </w:r>
          </w:p>
        </w:tc>
        <w:tc>
          <w:tcPr>
            <w:tcW w:w="40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中位 R² = −16.83，31 省仅 1 省 &gt; 0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Body"/>
        <w:jc w:val="both"/>
        <w:spacing w:before="0" w:after="80" w:line="320" w:lineRule="auto"/>
      </w:pPr>
      <w:r>
        <w:t xml:space="preserve">配套消融：移除 NDVI 后 R² 由 0.907 → 0.904（</w:t>
      </w:r>
      <w:r>
        <w:rPr>
          <w:b/>
        </w:rPr>
        <w:t xml:space="preserve">损失 0.003</w:t>
      </w:r>
      <w:r>
        <w:t xml:space="preserve">），据此拒绝"NDVI 是整体精度核心驱动"的表述；目标变量对照实验（去趋势残差目标 R² = −0.10 ± 0.28）作为方法学诚信记录一并保留。</w:t>
      </w:r>
    </w:p>
    <w:p>
      <w:pPr>
        <w:pStyle w:val="Heading3"/>
        <w:jc w:val="left"/>
        <w:spacing w:before="0" w:after="100" w:line="320" w:lineRule="auto"/>
      </w:pPr>
      <w:r>
        <w:t xml:space="preserve">模块五：线性混合效应校核（回答"R² 从哪来"）</w:t>
      </w:r>
    </w:p>
    <w:p>
      <w:pPr>
        <w:pStyle w:val="Body"/>
        <w:jc w:val="both"/>
        <w:spacing w:before="0" w:after="80" w:line="320" w:lineRule="auto"/>
      </w:pPr>
      <w:r>
        <w:t xml:space="preserve">用 y_it = α_i + β X_it + ε_it 做方差分解：</w:t>
      </w:r>
      <w:r>
        <w:rPr>
          <w:b/>
        </w:rPr>
        <w:t xml:space="preserve">ICC = 0.9710（95% CI [0.9496, 0.9805]）</w:t>
      </w:r>
      <w:r>
        <w:t xml:space="preserve">，即约 97% 的总方差由省份基线差异贡献；LRT 对比混合效应与混合 OLS：LR = 741.59，p ≈ 1.35×10⁻¹⁶³。11 维固定效应中 4 项显著（机械化率、化肥投入、旱灾面积、水灾面积），NDVI 的 β 不显著（p = 0.570）。</w:t>
      </w:r>
    </w:p>
    <w:p>
      <w:pPr>
        <w:pStyle w:val="Caption"/>
        <w:jc w:val="center"/>
        <w:spacing w:before="0" w:after="80" w:line="320" w:lineRule="auto"/>
      </w:pPr>
      <w:r>
        <w:rPr>
          <w:b/>
        </w:rPr>
        <w:t xml:space="preserve">本模块的学科价值</w:t>
      </w:r>
      <w:r>
        <w:t xml:space="preserve">：它把"机器学习给了一个高分"翻译成农学与统计学都能接受的结论——</w:t>
      </w:r>
      <w:r>
        <w:rPr>
          <w:b/>
        </w:rPr>
        <w:t xml:space="preserve">R² = 0.907 测的是省内因子相对重要性识别能力，不是跨省气候-产量映射能力</w:t>
      </w:r>
      <w:r>
        <w:t xml:space="preserve">。这一自我校核是本作品与常见"刷榜式"AI 应用最本质的区别。</w:t>
      </w:r>
    </w:p>
    <w:p>
      <w:pPr>
        <w:pStyle w:val="Heading3"/>
        <w:jc w:val="left"/>
        <w:spacing w:before="0" w:after="100" w:line="320" w:lineRule="auto"/>
      </w:pPr>
      <w:r>
        <w:t xml:space="preserve">模块六：可视化决策支持系统（7 模块）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05"/>
        <w:gridCol w:w="5458"/>
        <w:gridCol w:w="2447"/>
      </w:tblGrid>
      <w:tr>
        <w:trPr>
          <w:tblHeader/>
        </w:trPr>
        <w:tc>
          <w:tcPr>
            <w:tcW w:w="1505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模块</w:t>
            </w:r>
          </w:p>
        </w:tc>
        <w:tc>
          <w:tcPr>
            <w:tcW w:w="5458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功能</w:t>
            </w:r>
          </w:p>
        </w:tc>
        <w:tc>
          <w:tcPr>
            <w:tcW w:w="2447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面向的学科环节</w:t>
            </w:r>
          </w:p>
        </w:tc>
      </w:tr>
      <w:tr>
        <w:tc>
          <w:tcPr>
            <w:tcW w:w="150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M00 系统总览</w:t>
            </w:r>
          </w:p>
        </w:tc>
        <w:tc>
          <w:tcPr>
            <w:tcW w:w="545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全局指标、数据覆盖、模型卡片入口</w:t>
            </w:r>
          </w:p>
        </w:tc>
        <w:tc>
          <w:tcPr>
            <w:tcW w:w="24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科研入门</w:t>
            </w:r>
          </w:p>
        </w:tc>
      </w:tr>
      <w:tr>
        <w:tc>
          <w:tcPr>
            <w:tcW w:w="150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M01 风险时空地图</w:t>
            </w:r>
          </w:p>
        </w:tc>
        <w:tc>
          <w:tcPr>
            <w:tcW w:w="545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31 省 × 13 年风险等级地图 + 时间轴 + 省级历史曲线</w:t>
            </w:r>
          </w:p>
        </w:tc>
        <w:tc>
          <w:tcPr>
            <w:tcW w:w="24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区域分化规律探索</w:t>
            </w:r>
          </w:p>
        </w:tc>
      </w:tr>
      <w:tr>
        <w:tc>
          <w:tcPr>
            <w:tcW w:w="150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M02 SHAP 归因看板</w:t>
            </w:r>
          </w:p>
        </w:tc>
        <w:tc>
          <w:tcPr>
            <w:tcW w:w="545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全局重要性 + 单省瀑布分解 + 蜂群图 + 交互依赖</w:t>
            </w:r>
          </w:p>
        </w:tc>
        <w:tc>
          <w:tcPr>
            <w:tcW w:w="24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因子归因分析</w:t>
            </w:r>
          </w:p>
        </w:tc>
      </w:tr>
      <w:tr>
        <w:tc>
          <w:tcPr>
            <w:tcW w:w="150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M03 参数情景模拟</w:t>
            </w:r>
          </w:p>
        </w:tc>
        <w:tc>
          <w:tcPr>
            <w:tcW w:w="545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调节灌溉率/化肥/降水等因子做反事实推演</w:t>
            </w:r>
          </w:p>
        </w:tc>
        <w:tc>
          <w:tcPr>
            <w:tcW w:w="24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"如果…会怎样"的科研假设检验</w:t>
            </w:r>
          </w:p>
        </w:tc>
      </w:tr>
      <w:tr>
        <w:tc>
          <w:tcPr>
            <w:tcW w:w="150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M04 韧性路径推荐</w:t>
            </w:r>
          </w:p>
        </w:tc>
        <w:tc>
          <w:tcPr>
            <w:tcW w:w="545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12 条白箱规则引擎 × 三阶段（0-1 / 1-3 / 3-5 年）输出省级差异化路径</w:t>
            </w:r>
          </w:p>
        </w:tc>
        <w:tc>
          <w:tcPr>
            <w:tcW w:w="24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结论向对策转化</w:t>
            </w:r>
          </w:p>
        </w:tc>
      </w:tr>
      <w:tr>
        <w:tc>
          <w:tcPr>
            <w:tcW w:w="150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M05 推演监控</w:t>
            </w:r>
          </w:p>
        </w:tc>
        <w:tc>
          <w:tcPr>
            <w:tcW w:w="545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推理链路与响应状态可视化</w:t>
            </w:r>
          </w:p>
        </w:tc>
        <w:tc>
          <w:tcPr>
            <w:tcW w:w="24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可复现性与审计</w:t>
            </w:r>
          </w:p>
        </w:tc>
      </w:tr>
      <w:tr>
        <w:tc>
          <w:tcPr>
            <w:tcW w:w="150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M06 知识助手</w:t>
            </w:r>
          </w:p>
        </w:tc>
        <w:tc>
          <w:tcPr>
            <w:tcW w:w="545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面向方法论文档的检索增强问答</w:t>
            </w:r>
          </w:p>
        </w:tc>
        <w:tc>
          <w:tcPr>
            <w:tcW w:w="24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科研新人上手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1"/>
        <w:pageBreakBefore/>
        <w:jc w:val="left"/>
        <w:spacing w:before="0" w:after="100" w:line="320" w:lineRule="auto"/>
      </w:pPr>
      <w:r>
        <w:t xml:space="preserve">四、方案可行性</w:t>
      </w:r>
    </w:p>
    <w:p>
      <w:pPr>
        <w:pStyle w:val="Heading2"/>
        <w:jc w:val="left"/>
        <w:spacing w:before="120" w:after="100" w:line="320" w:lineRule="auto"/>
      </w:pPr>
      <w:r>
        <w:t xml:space="preserve">1. 技术可行性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端到端已跑通</w:t>
      </w:r>
      <w:r>
        <w:t xml:space="preserve">：数据管线、三模型训练、API 化、前端 7 模块均已实装，非原型演示；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工程指标</w:t>
      </w:r>
      <w:r>
        <w:t xml:space="preserve">：单次推理响应 &lt; 2 秒；后端含请求限流与 6 项安全响应头；前端满足 WCAG 2.2 AA 无障碍规范；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可复现性</w:t>
      </w:r>
      <w:r>
        <w:t xml:space="preserve">：训练超参与随机种子全部落盘，配套一键重训脚本与固定环境说明；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无稀缺资源依赖</w:t>
      </w:r>
      <w:r>
        <w:t xml:space="preserve">：CPU 版深度学习框架 + 梯度提升库，普通云主机即可运行，不依赖 GPU。</w:t>
      </w:r>
    </w:p>
    <w:p>
      <w:pPr>
        <w:pStyle w:val="Heading2"/>
        <w:jc w:val="left"/>
        <w:spacing w:before="120" w:after="100" w:line="320" w:lineRule="auto"/>
      </w:pPr>
      <w:r>
        <w:t xml:space="preserve">2. 经济可行性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76"/>
        <w:gridCol w:w="7435"/>
      </w:tblGrid>
      <w:tr>
        <w:trPr>
          <w:tblHeader/>
        </w:trPr>
        <w:tc>
          <w:tcPr>
            <w:tcW w:w="197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项</w:t>
            </w:r>
          </w:p>
        </w:tc>
        <w:tc>
          <w:tcPr>
            <w:tcW w:w="7435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19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服务器</w:t>
            </w:r>
          </w:p>
        </w:tc>
        <w:tc>
          <w:tcPr>
            <w:tcW w:w="74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单台通用云主机（中等配置）即可承载，无 GPU 成本</w:t>
            </w:r>
          </w:p>
        </w:tc>
      </w:tr>
      <w:tr>
        <w:tc>
          <w:tcPr>
            <w:tcW w:w="19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</w:t>
            </w:r>
          </w:p>
        </w:tc>
        <w:tc>
          <w:tcPr>
            <w:tcW w:w="74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全部采用公开权威数据源（统计年鉴、气象数据网、MODIS、水旱灾害公报等），无采购成本</w:t>
            </w:r>
          </w:p>
        </w:tc>
      </w:tr>
      <w:tr>
        <w:tc>
          <w:tcPr>
            <w:tcW w:w="19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运维</w:t>
            </w:r>
          </w:p>
        </w:tc>
        <w:tc>
          <w:tcPr>
            <w:tcW w:w="74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单体服务 + 静态前端，无微服务集群与专用中间件</w:t>
            </w:r>
          </w:p>
        </w:tc>
      </w:tr>
      <w:tr>
        <w:tc>
          <w:tcPr>
            <w:tcW w:w="19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推广边际成本</w:t>
            </w:r>
          </w:p>
        </w:tc>
        <w:tc>
          <w:tcPr>
            <w:tcW w:w="74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新增一个省份或一个作物品种，只需补数据重新训练，系统无需改动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2"/>
        <w:jc w:val="left"/>
        <w:spacing w:before="120" w:after="100" w:line="320" w:lineRule="auto"/>
      </w:pPr>
      <w:r>
        <w:t xml:space="preserve">3. 推广价值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1. </w:t>
      </w:r>
      <w:r>
        <w:rPr>
          <w:b/>
        </w:rPr>
        <w:t xml:space="preserve">方法论可迁移</w:t>
      </w:r>
      <w:r>
        <w:t xml:space="preserve">：三模型互补归因 + 三协议披露的框架与具体作物无关，可迁移到其他作物、其他区域、其他"气候—生产"研究议题；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2. </w:t>
      </w:r>
      <w:r>
        <w:rPr>
          <w:b/>
        </w:rPr>
        <w:t xml:space="preserve">数据流程可复用</w:t>
      </w:r>
      <w:r>
        <w:t xml:space="preserve">：多源异构数据的时空对齐与标准化流程可复用于同类面板研究；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3. </w:t>
      </w:r>
      <w:r>
        <w:rPr>
          <w:b/>
        </w:rPr>
        <w:t xml:space="preserve">教学可嵌入</w:t>
      </w:r>
      <w:r>
        <w:t xml:space="preserve">：系统可作为农学、农业气象、数据科学相关课程与科研训练的实训平台（M02/M03 的交互式归因特别适合课堂演示）；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4. </w:t>
      </w:r>
      <w:r>
        <w:rPr>
          <w:b/>
        </w:rPr>
        <w:t xml:space="preserve">同类院校可复制</w:t>
      </w:r>
      <w:r>
        <w:t xml:space="preserve">：全部组件为开源技术栈，部署门槛低，具备向同类院校与研究单位复制的条件。</w:t>
      </w:r>
    </w:p>
    <w:p>
      <w:pPr>
        <w:pStyle w:val="Heading1"/>
        <w:pageBreakBefore/>
        <w:jc w:val="left"/>
        <w:spacing w:before="0" w:after="100" w:line="320" w:lineRule="auto"/>
      </w:pPr>
      <w:r>
        <w:t xml:space="preserve">五、项目实施</w:t>
      </w:r>
    </w:p>
    <w:p>
      <w:pPr>
        <w:pStyle w:val="Heading2"/>
        <w:jc w:val="left"/>
        <w:spacing w:before="120" w:after="100" w:line="320" w:lineRule="auto"/>
      </w:pPr>
      <w:r>
        <w:t xml:space="preserve">1. 实施计划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94"/>
        <w:gridCol w:w="4329"/>
        <w:gridCol w:w="3388"/>
      </w:tblGrid>
      <w:tr>
        <w:trPr>
          <w:tblHeader/>
        </w:trPr>
        <w:tc>
          <w:tcPr>
            <w:tcW w:w="1694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阶段</w:t>
            </w:r>
          </w:p>
        </w:tc>
        <w:tc>
          <w:tcPr>
            <w:tcW w:w="43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主要任务</w:t>
            </w:r>
          </w:p>
        </w:tc>
        <w:tc>
          <w:tcPr>
            <w:tcW w:w="3388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产物</w:t>
            </w:r>
          </w:p>
        </w:tc>
      </w:tr>
      <w:tr>
        <w:tc>
          <w:tcPr>
            <w:tcW w:w="1694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阶段一 · 数据底座</w:t>
            </w:r>
          </w:p>
        </w:tc>
        <w:tc>
          <w:tcPr>
            <w:tcW w:w="43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多源数据采集、耕地像元加权聚合、时空对齐、质量审计</w:t>
            </w:r>
          </w:p>
        </w:tc>
        <w:tc>
          <w:tcPr>
            <w:tcW w:w="33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403 × 27 面板数据集 + 数据说明文档</w:t>
            </w:r>
          </w:p>
        </w:tc>
      </w:tr>
      <w:tr>
        <w:tc>
          <w:tcPr>
            <w:tcW w:w="1694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阶段二 · 建模与归因</w:t>
            </w:r>
          </w:p>
        </w:tc>
        <w:tc>
          <w:tcPr>
            <w:tcW w:w="43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三模型训练、SHAP 归因、注意力门控、混合效应校核</w:t>
            </w:r>
          </w:p>
        </w:tc>
        <w:tc>
          <w:tcPr>
            <w:tcW w:w="338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模型文件 + 模型卡片（含完整超参与评价）</w:t>
            </w:r>
          </w:p>
        </w:tc>
      </w:tr>
      <w:tr>
        <w:tc>
          <w:tcPr>
            <w:tcW w:w="1694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阶段三 · 鲁棒性验证</w:t>
            </w:r>
          </w:p>
        </w:tc>
        <w:tc>
          <w:tcPr>
            <w:tcW w:w="43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三协议交叉验证、NDVI 消融、目标变量对照</w:t>
            </w:r>
          </w:p>
        </w:tc>
        <w:tc>
          <w:tcPr>
            <w:tcW w:w="33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鲁棒性报告（含负结果公开披露）</w:t>
            </w:r>
          </w:p>
        </w:tc>
      </w:tr>
      <w:tr>
        <w:tc>
          <w:tcPr>
            <w:tcW w:w="1694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阶段四 · 系统开发</w:t>
            </w:r>
          </w:p>
        </w:tc>
        <w:tc>
          <w:tcPr>
            <w:tcW w:w="43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API 化、前端 7 模块、安全与无障碍加固</w:t>
            </w:r>
          </w:p>
        </w:tc>
        <w:tc>
          <w:tcPr>
            <w:tcW w:w="338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Web 决策支持系统 + 部署脚本</w:t>
            </w:r>
          </w:p>
        </w:tc>
      </w:tr>
      <w:tr>
        <w:tc>
          <w:tcPr>
            <w:tcW w:w="1694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阶段五 · 验证与固化</w:t>
            </w:r>
          </w:p>
        </w:tc>
        <w:tc>
          <w:tcPr>
            <w:tcW w:w="43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真值单点校验、性能实测、文档齐备化</w:t>
            </w:r>
          </w:p>
        </w:tc>
        <w:tc>
          <w:tcPr>
            <w:tcW w:w="33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测试报告 + 操作手册 + 演示视频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2"/>
        <w:jc w:val="left"/>
        <w:spacing w:before="120" w:after="100" w:line="320" w:lineRule="auto"/>
      </w:pPr>
      <w:r>
        <w:t xml:space="preserve">2. 资源保障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数据资源</w:t>
      </w:r>
      <w:r>
        <w:t xml:space="preserve">：全部为公开权威数据源，已在数据说明文档中逐项标注来源与处理口径；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计算资源</w:t>
      </w:r>
      <w:r>
        <w:t xml:space="preserve">：CPU 环境可完成全部训练与推理；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文档资源</w:t>
      </w:r>
      <w:r>
        <w:t xml:space="preserve">：已形成数据说明、模型卡片、规则引擎说明等成套文档，直接支撑可复现性要求。</w:t>
      </w:r>
    </w:p>
    <w:p>
      <w:pPr>
        <w:pStyle w:val="Heading2"/>
        <w:jc w:val="left"/>
        <w:spacing w:before="120" w:after="100" w:line="320" w:lineRule="auto"/>
      </w:pPr>
      <w:r>
        <w:t xml:space="preserve">3. 团队协作</w:t>
      </w:r>
    </w:p>
    <w:p>
      <w:pPr>
        <w:pStyle w:val="Body"/>
        <w:jc w:val="both"/>
        <w:spacing w:before="0" w:after="80" w:line="320" w:lineRule="auto"/>
      </w:pPr>
      <w:r>
        <w:t xml:space="preserve">团队 3 人，按"算法—系统—材料"三条线分工，交叉复核：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35"/>
        <w:gridCol w:w="4706"/>
        <w:gridCol w:w="2070"/>
      </w:tblGrid>
      <w:tr>
        <w:trPr>
          <w:tblHeader/>
        </w:trPr>
        <w:tc>
          <w:tcPr>
            <w:tcW w:w="2635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角色</w:t>
            </w:r>
          </w:p>
        </w:tc>
        <w:tc>
          <w:tcPr>
            <w:tcW w:w="470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职责</w:t>
            </w:r>
          </w:p>
        </w:tc>
        <w:tc>
          <w:tcPr>
            <w:tcW w:w="2070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与学科环节的对应</w:t>
            </w:r>
          </w:p>
        </w:tc>
      </w:tr>
      <w:tr>
        <w:tc>
          <w:tcPr>
            <w:tcW w:w="26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队长（算法与统筹）</w:t>
            </w:r>
          </w:p>
        </w:tc>
        <w:tc>
          <w:tcPr>
            <w:tcW w:w="470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建模、归因分析、鲁棒性验证、整体统筹</w:t>
            </w:r>
          </w:p>
        </w:tc>
        <w:tc>
          <w:tcPr>
            <w:tcW w:w="207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对接农学问题定义</w:t>
            </w:r>
          </w:p>
        </w:tc>
      </w:tr>
      <w:tr>
        <w:tc>
          <w:tcPr>
            <w:tcW w:w="26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队员 A（系统与部署）</w:t>
            </w:r>
          </w:p>
        </w:tc>
        <w:tc>
          <w:tcPr>
            <w:tcW w:w="470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数据管线、后端 API、前端集成、部署运维</w:t>
            </w:r>
          </w:p>
        </w:tc>
        <w:tc>
          <w:tcPr>
            <w:tcW w:w="2070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对接科研数据流程</w:t>
            </w:r>
          </w:p>
        </w:tc>
      </w:tr>
      <w:tr>
        <w:tc>
          <w:tcPr>
            <w:tcW w:w="26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队员 B（文档与可视化）</w:t>
            </w:r>
          </w:p>
        </w:tc>
        <w:tc>
          <w:tcPr>
            <w:tcW w:w="470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数据说明、模型卡片、可视化设计、参赛材料</w:t>
            </w:r>
          </w:p>
        </w:tc>
        <w:tc>
          <w:tcPr>
            <w:tcW w:w="207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对接成果转化与科普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跨专业协作机制</w:t>
      </w:r>
      <w:r>
        <w:t xml:space="preserve">：每项建模结论在写入文档前，必须由非建模成员用"农学语言"复述一遍；复述不通则回到定义环节重新讨论。该机制有效避免了"技术结论无法被学科用户理解"的常见问题。</w:t>
      </w:r>
    </w:p>
    <w:p>
      <w:pPr>
        <w:pStyle w:val="Heading1"/>
        <w:pageBreakBefore/>
        <w:jc w:val="left"/>
        <w:spacing w:before="0" w:after="100" w:line="320" w:lineRule="auto"/>
      </w:pPr>
      <w:r>
        <w:t xml:space="preserve">六、应用效果</w:t>
      </w:r>
    </w:p>
    <w:p>
      <w:pPr>
        <w:pStyle w:val="Heading2"/>
        <w:jc w:val="left"/>
        <w:spacing w:before="120" w:after="100" w:line="320" w:lineRule="auto"/>
      </w:pPr>
      <w:r>
        <w:t xml:space="preserve">1. 应用效果预期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9"/>
        <w:gridCol w:w="4141"/>
        <w:gridCol w:w="4141"/>
      </w:tblGrid>
      <w:tr>
        <w:trPr>
          <w:tblHeader/>
        </w:trPr>
        <w:tc>
          <w:tcPr>
            <w:tcW w:w="1129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维度</w:t>
            </w:r>
          </w:p>
        </w:tc>
        <w:tc>
          <w:tcPr>
            <w:tcW w:w="414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预期效果</w:t>
            </w:r>
          </w:p>
        </w:tc>
        <w:tc>
          <w:tcPr>
            <w:tcW w:w="4141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验证方式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科研效率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多源数据准备与归因分析从"逐次手工对齐"转为"一次建模、交互查询"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以流程固化程度衡量：四模态对齐脚本与逐字段口径台账已入库，同类研究可复用；未做逐次计时对比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分析深度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从单一全局重要性排序，扩展为"边际贡献 × gating 偏好 × 区域分化"三层结构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与文献常用单模型 SHAP 结果对照（见 §六·2 两套排名对照）</w:t>
            </w:r>
          </w:p>
        </w:tc>
      </w:tr>
      <w:tr>
        <w:tc>
          <w:tcPr>
            <w:tcW w:w="1129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结论可信度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主动披露空间外推上限，避免结论被误用</w:t>
            </w:r>
          </w:p>
        </w:tc>
        <w:tc>
          <w:tcPr>
            <w:tcW w:w="4141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三协议 R² 并列图表（图 7）</w:t>
            </w:r>
          </w:p>
        </w:tc>
      </w:tr>
      <w:tr>
        <w:tc>
          <w:tcPr>
            <w:tcW w:w="1129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教学价值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交互式归因看板可直接用于课堂演示与科研训练</w:t>
            </w:r>
          </w:p>
        </w:tc>
        <w:tc>
          <w:tcPr>
            <w:tcW w:w="4141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以组内科研训练与跨专业成员的实际使用记录为依据；尚未开展规模化问卷与外部试用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2"/>
        <w:jc w:val="left"/>
        <w:spacing w:before="120" w:after="100" w:line="320" w:lineRule="auto"/>
      </w:pPr>
      <w:r>
        <w:t xml:space="preserve">2. 成果展示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（1）数据成果。</w:t>
      </w:r>
      <w:r>
        <w:t xml:space="preserve">31 省 × 13 年 × 11 维特征的多模态面板数据集（N = 403），配套完整的数据来源、字段口径与质量审计说明。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（2）方法成果。</w:t>
      </w:r>
      <w:r>
        <w:t xml:space="preserve">三模型互补归因架构的实证结果：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76"/>
        <w:gridCol w:w="4988"/>
        <w:gridCol w:w="2447"/>
      </w:tblGrid>
      <w:tr>
        <w:trPr>
          <w:tblHeader/>
        </w:trPr>
        <w:tc>
          <w:tcPr>
            <w:tcW w:w="197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视图</w:t>
            </w:r>
          </w:p>
        </w:tc>
        <w:tc>
          <w:tcPr>
            <w:tcW w:w="4988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方法</w:t>
            </w:r>
          </w:p>
        </w:tc>
        <w:tc>
          <w:tcPr>
            <w:tcW w:w="2447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排名 Top-3</w:t>
            </w:r>
          </w:p>
        </w:tc>
      </w:tr>
      <w:tr>
        <w:tc>
          <w:tcPr>
            <w:tcW w:w="19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横截面边际贡献</w:t>
            </w:r>
          </w:p>
        </w:tc>
        <w:tc>
          <w:tcPr>
            <w:tcW w:w="4988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XGBoost-SHAP（mean 绝对值 SHAP）</w:t>
            </w:r>
          </w:p>
        </w:tc>
        <w:tc>
          <w:tcPr>
            <w:tcW w:w="244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NDVI &gt; Prec &gt; Temp</w:t>
            </w:r>
          </w:p>
        </w:tc>
      </w:tr>
      <w:tr>
        <w:tc>
          <w:tcPr>
            <w:tcW w:w="19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时序内部偏好</w:t>
            </w:r>
          </w:p>
        </w:tc>
        <w:tc>
          <w:tcPr>
            <w:tcW w:w="4988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Attention-LSTM（平均 softmax attention）</w:t>
            </w:r>
          </w:p>
        </w:tc>
        <w:tc>
          <w:tcPr>
            <w:tcW w:w="244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Drou_A &gt; SPEI &gt; Temp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Body"/>
        <w:jc w:val="both"/>
        <w:spacing w:before="0" w:after="80" w:line="320" w:lineRule="auto"/>
      </w:pPr>
      <w:r>
        <w:t xml:space="preserve">两套排名的 Spearman ρ =</w:t>
      </w:r>
      <w:r>
        <w:rPr>
          <w:b/>
        </w:rPr>
        <w:t xml:space="preserve">−0.055（p = 0.873）</w:t>
      </w:r>
      <w:r>
        <w:t xml:space="preserve">，Top-3 仅"平均气温"一项重合（1/3）。</w:t>
      </w:r>
      <w:r>
        <w:rPr>
          <w:b/>
        </w:rPr>
        <w:t xml:space="preserve">这不是"验证失败"，而是两类方法回答不同科学问题的实证证据</w:t>
      </w:r>
      <w:r>
        <w:t xml:space="preserve">：SHAP 回答"去掉该特征预测误差变化多少"，Attention 回答"模型主动把权重放在哪里"。该差异本身构成方法论产出，并直接支撑"单一归因方法不足以支撑政策结论"的主张。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2490000"/>
            <wp:docPr id="2" name="image2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2　两模型归因排名对照：XGBoost-SHAP（左）与 Attention-LSTM（右）</w:t>
      </w:r>
    </w:p>
    <w:p>
      <w:pPr>
        <w:pStyle w:val="Body"/>
        <w:jc w:val="both"/>
        <w:spacing w:before="0" w:after="80" w:line="320" w:lineRule="auto"/>
      </w:pPr>
      <w:r>
        <w:t xml:space="preserve">左图为横截面边际贡献排序（植被指数 &gt; 降水量 &gt; 平均气温），右图为时序模型的内部权重偏好（旱灾面积 &gt; 干旱指数 &gt; 平均气温）。两图并列即前述"互补而非一致性验证"的直观证据。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（3）系统成果。</w:t>
      </w:r>
      <w:r>
        <w:t xml:space="preserve">7 模块 Web 决策支持系统，含风险时空地图、SHAP 归因看板、参数情景模拟、韧性路径推荐（12 条白箱规则 × 三阶段）、推演监控与知识助手。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3361500"/>
            <wp:docPr id="3" name="image3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3　省级风险时空地图：分省年度风险等级与历史演化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3361500"/>
            <wp:docPr id="4" name="image4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4　SHAP 归因看板：全局因子重要性与单省贡献分解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3361500"/>
            <wp:docPr id="5" name="image5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5　参数情景模拟：调整灌溉率、化肥投入与降水后的风险变化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3361500"/>
            <wp:docPr id="6" name="image6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6　韧性路径推荐：分阶段措施、优先级与参数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（4）可复现成果。</w:t>
      </w:r>
      <w:r>
        <w:t xml:space="preserve">模型卡片、超参与随机种子、一键重训脚本、无障碍与安全加固记录。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（5）效率与稳定性实测。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35"/>
        <w:gridCol w:w="5176"/>
      </w:tblGrid>
      <w:tr>
        <w:trPr>
          <w:tblHeader/>
        </w:trPr>
        <w:tc>
          <w:tcPr>
            <w:tcW w:w="4235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指标</w:t>
            </w:r>
          </w:p>
        </w:tc>
        <w:tc>
          <w:tcPr>
            <w:tcW w:w="5176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数值</w:t>
            </w:r>
          </w:p>
        </w:tc>
      </w:tr>
      <w:tr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单次推理响应</w:t>
            </w:r>
          </w:p>
        </w:tc>
        <w:tc>
          <w:tcPr>
            <w:tcW w:w="51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&lt; 2 秒</w:t>
            </w:r>
          </w:p>
        </w:tc>
      </w:tr>
      <w:tr>
        <w:tc>
          <w:tcPr>
            <w:tcW w:w="42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单点真值校验（某主产省某年，实际单产 4615 kg/ha）</w:t>
            </w:r>
          </w:p>
        </w:tc>
        <w:tc>
          <w:tcPr>
            <w:tcW w:w="51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XGBoost 4387.5（−227.5）；LSTM 4173.5（−441.6）；Attention-LSTM 4657.6（+42.6）</w:t>
            </w:r>
          </w:p>
        </w:tc>
      </w:tr>
      <w:tr>
        <w:tc>
          <w:tcPr>
            <w:tcW w:w="4235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无障碍</w:t>
            </w:r>
          </w:p>
        </w:tc>
        <w:tc>
          <w:tcPr>
            <w:tcW w:w="5176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WCAG 2.2 AA 达标</w:t>
            </w:r>
          </w:p>
        </w:tc>
      </w:tr>
      <w:tr>
        <w:tc>
          <w:tcPr>
            <w:tcW w:w="4235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安全响应头</w:t>
            </w:r>
          </w:p>
        </w:tc>
        <w:tc>
          <w:tcPr>
            <w:tcW w:w="5176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6 项（含内容安全策略 / 强制 HTTPS / 防嵌套等）+ 请求限流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Caption"/>
        <w:jc w:val="center"/>
        <w:spacing w:before="0" w:after="80" w:line="320" w:lineRule="auto"/>
      </w:pPr>
      <w:r>
        <w:t xml:space="preserve">单点真值校验属于"已见省份相邻样本"的拟合能力验证，</w:t>
      </w:r>
      <w:r>
        <w:rPr>
          <w:b/>
        </w:rPr>
        <w:t xml:space="preserve">不作为空间外推证据</w:t>
      </w:r>
      <w:r>
        <w:t xml:space="preserve">。</w:t>
      </w:r>
    </w:p>
    <w:p>
      <w:pPr>
        <w:jc w:val="center"/>
        <w:spacing w:before="60" w:after="40"/>
      </w:pPr>
      <w:r>
        <w:drawing>
          <wp:inline distT="0" distB="0" distL="0" distR="0">
            <wp:extent cx="5976000" cy="2988000"/>
            <wp:docPr id="7" name="image7.png"/>
            <a:graphic xmlns:a="http://schemas.openxmlformats.org/drawingml/2006/main">
              <a:graphicData uri="http://schemas.openxmlformats.org/drawingml/2006/main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before="0" w:after="80" w:line="320" w:lineRule="auto"/>
      </w:pPr>
      <w:r>
        <w:rPr>
          <w:sz w:val="18"/>
          <w:szCs w:val="18"/>
        </w:rPr>
        <w:t xml:space="preserve">图 7　三套验证协议下的 XGBoost 表现：随机 8:2、留一年外推与留一省外推</w:t>
      </w:r>
    </w:p>
    <w:p>
      <w:pPr>
        <w:pStyle w:val="Body"/>
        <w:jc w:val="both"/>
        <w:spacing w:before="0" w:after="80" w:line="320" w:lineRule="auto"/>
      </w:pPr>
      <w:r>
        <w:t xml:space="preserve">左、中两根柱体对应"已见省份"的拟合与时间外推能力，右侧柱体为严格留一省外推的中位表现。把这三种协议放在同一张图上，是为了让"模型能用在哪"先于"精度有多高"被读出来。</w:t>
      </w:r>
    </w:p>
    <w:p>
      <w:pPr>
        <w:pStyle w:val="Heading1"/>
        <w:pageBreakBefore/>
        <w:jc w:val="left"/>
        <w:spacing w:before="0" w:after="100" w:line="320" w:lineRule="auto"/>
      </w:pPr>
      <w:r>
        <w:t xml:space="preserve">七、总结与展望</w:t>
      </w:r>
    </w:p>
    <w:p>
      <w:pPr>
        <w:pStyle w:val="Heading2"/>
        <w:jc w:val="left"/>
        <w:spacing w:before="120" w:after="100" w:line="320" w:lineRule="auto"/>
      </w:pPr>
      <w:r>
        <w:t xml:space="preserve">1. 方案总结</w:t>
      </w:r>
    </w:p>
    <w:p>
      <w:pPr>
        <w:pStyle w:val="Body"/>
        <w:jc w:val="both"/>
        <w:spacing w:before="0" w:after="80" w:line="320" w:lineRule="auto"/>
      </w:pPr>
      <w:r>
        <w:t xml:space="preserve">本方案的学科贡献可归纳为三点：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1. </w:t>
      </w:r>
      <w:r>
        <w:rPr>
          <w:b/>
        </w:rPr>
        <w:t xml:space="preserve">把"数据对齐"这一隐性科研成本显性化、可复用化</w:t>
      </w:r>
      <w:r>
        <w:t xml:space="preserve">：四模态省级面板的构建流程完整记录，可被后续研究直接复用；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2. </w:t>
      </w:r>
      <w:r>
        <w:rPr>
          <w:b/>
        </w:rPr>
        <w:t xml:space="preserve">把"归因分歧"从缺陷转为产出</w:t>
      </w:r>
      <w:r>
        <w:t xml:space="preserve">：以 SHAP 与 Attention 的近零等级相关（ρ = −0.055）实证跨算法归因的方法论独立性，而非强行拼接一致性结论；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3. </w:t>
      </w:r>
      <w:r>
        <w:rPr>
          <w:b/>
        </w:rPr>
        <w:t xml:space="preserve">把"模型边界"写进结论</w:t>
      </w:r>
      <w:r>
        <w:t xml:space="preserve">：以 leave-province-out 中位 R² = −16.83 与混合效应 ICC = 0.9710 定量说明 R² = 0.907 的真实含义，使学科用户不会把拟合分数误读为跨区域预测能力。</w:t>
      </w:r>
    </w:p>
    <w:p>
      <w:pPr>
        <w:pStyle w:val="Body"/>
        <w:jc w:val="both"/>
        <w:spacing w:before="0" w:after="80" w:line="320" w:lineRule="auto"/>
      </w:pPr>
      <w:r>
        <w:rPr>
          <w:b/>
        </w:rPr>
        <w:t xml:space="preserve">存在的不足（如实说明）：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空间粒度限于省级、N = 403，空间外推能力已确认受限，尚不能支撑"未见省份"的风险预测；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时间覆盖至 2023 年，尚未纳入最新年份数据；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混合效应模型中的主要投入类因子边际方向存在反向因果嫌疑（投入可能是对差年景的事后补救），纯回归框架无法识别，需后续用准实验设计处理；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交互式归因看板的部分子视图（单样本瀑布、蜂群子集）依赖样本级归因接口的进一步完备。</w:t>
      </w:r>
    </w:p>
    <w:p>
      <w:pPr>
        <w:pStyle w:val="Heading2"/>
        <w:jc w:val="left"/>
        <w:spacing w:before="120" w:after="100" w:line="320" w:lineRule="auto"/>
      </w:pPr>
      <w:r>
        <w:t xml:space="preserve">2. 未来展望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17"/>
        <w:gridCol w:w="3670"/>
        <w:gridCol w:w="4423"/>
      </w:tblGrid>
      <w:tr>
        <w:trPr>
          <w:tblHeader/>
        </w:trPr>
        <w:tc>
          <w:tcPr>
            <w:tcW w:w="1317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方向</w:t>
            </w:r>
          </w:p>
        </w:tc>
        <w:tc>
          <w:tcPr>
            <w:tcW w:w="3670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具体路径</w:t>
            </w:r>
          </w:p>
        </w:tc>
        <w:tc>
          <w:tcPr>
            <w:tcW w:w="4423" w:type="dxa"/>
            <w:shd w:val="clear" w:color="auto" w:fill="1F3864"/>
            <w:vAlign w:val="center"/>
          </w:tcPr>
          <w:p>
            <w:pPr>
              <w:jc w:val="center"/>
              <w:spacing w:before="30" w:after="30" w:line="280" w:lineRule="auto"/>
              <w:rPr>
                <w:sz w:val="18"/>
              </w:rPr>
            </w:pPr>
            <w:r>
              <w:rPr>
                <w:color w:val="FFFFFF"/>
                <w:b/>
              </w:rPr>
              <w:t xml:space="preserve">学科意义</w:t>
            </w:r>
          </w:p>
        </w:tc>
      </w:tr>
      <w:tr>
        <w:tc>
          <w:tcPr>
            <w:tcW w:w="131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空间粒度下移</w:t>
            </w:r>
          </w:p>
        </w:tc>
        <w:tc>
          <w:tcPr>
            <w:tcW w:w="367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省级 → 县域面板</w:t>
            </w:r>
          </w:p>
        </w:tc>
        <w:tc>
          <w:tcPr>
            <w:tcW w:w="442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提高省内变异占比，使气候—产量映射具备可辨识性</w:t>
            </w:r>
          </w:p>
        </w:tc>
      </w:tr>
      <w:tr>
        <w:tc>
          <w:tcPr>
            <w:tcW w:w="131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时间覆盖延伸</w:t>
            </w:r>
          </w:p>
        </w:tc>
        <w:tc>
          <w:tcPr>
            <w:tcW w:w="3670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持续纳入新年份，形成滚动更新机制</w:t>
            </w:r>
          </w:p>
        </w:tc>
        <w:tc>
          <w:tcPr>
            <w:tcW w:w="4423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支撑滚动风险评估</w:t>
            </w:r>
          </w:p>
        </w:tc>
      </w:tr>
      <w:tr>
        <w:tc>
          <w:tcPr>
            <w:tcW w:w="131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模型结构升级</w:t>
            </w:r>
          </w:p>
        </w:tc>
        <w:tc>
          <w:tcPr>
            <w:tcW w:w="367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在混合效应框架中引入随机斜率，检验区域异质性</w:t>
            </w:r>
          </w:p>
        </w:tc>
        <w:tc>
          <w:tcPr>
            <w:tcW w:w="442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让"同一因子在不同区域方向相反"这类农学假设可被统计检验</w:t>
            </w:r>
          </w:p>
        </w:tc>
      </w:tr>
      <w:tr>
        <w:tc>
          <w:tcPr>
            <w:tcW w:w="1317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因果识别</w:t>
            </w:r>
          </w:p>
        </w:tc>
        <w:tc>
          <w:tcPr>
            <w:tcW w:w="3670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引入工具变量或准实验设计处理投入的反向因果</w:t>
            </w:r>
          </w:p>
        </w:tc>
        <w:tc>
          <w:tcPr>
            <w:tcW w:w="4423" w:type="dxa"/>
            <w:shd w:val="clear" w:color="auto" w:fill="FFFFFF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从"相关归因"走向"因果归因"</w:t>
            </w:r>
          </w:p>
        </w:tc>
      </w:tr>
      <w:tr>
        <w:tc>
          <w:tcPr>
            <w:tcW w:w="1317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教学转化</w:t>
            </w:r>
          </w:p>
        </w:tc>
        <w:tc>
          <w:tcPr>
            <w:tcW w:w="3670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将交互式归因看板与情景模拟开发为教学模块</w:t>
            </w:r>
          </w:p>
        </w:tc>
        <w:tc>
          <w:tcPr>
            <w:tcW w:w="4423" w:type="dxa"/>
            <w:shd w:val="clear" w:color="auto" w:fill="F5F7FA"/>
            <w:vAlign w:val="center"/>
          </w:tcPr>
          <w:p>
            <w:pPr>
              <w:jc w:val="both"/>
              <w:spacing w:before="30" w:after="30" w:line="280" w:lineRule="auto"/>
              <w:rPr>
                <w:sz w:val="18"/>
              </w:rPr>
            </w:pPr>
            <w:r>
              <w:t xml:space="preserve">服务 AI+农学的跨学科人才培养</w:t>
            </w:r>
          </w:p>
        </w:tc>
      </w:tr>
    </w:tbl>
    <w:p>
      <w:pPr>
        <w:pStyle w:val="Body"/>
        <w:jc w:val="left"/>
        <w:spacing w:before="0" w:after="40" w:line="320" w:lineRule="auto"/>
      </w:pPr>
    </w:p>
    <w:p>
      <w:pPr>
        <w:pStyle w:val="Heading1"/>
        <w:pageBreakBefore/>
        <w:jc w:val="left"/>
        <w:spacing w:before="0" w:after="100" w:line="320" w:lineRule="auto"/>
      </w:pPr>
      <w:r>
        <w:t xml:space="preserve">八、附录</w:t>
      </w:r>
    </w:p>
    <w:p>
      <w:pPr>
        <w:pStyle w:val="Heading2"/>
        <w:jc w:val="left"/>
        <w:spacing w:before="120" w:after="100" w:line="320" w:lineRule="auto"/>
      </w:pPr>
      <w:r>
        <w:t xml:space="preserve">1. 代码与模型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核心代码</w:t>
      </w:r>
      <w:r>
        <w:t xml:space="preserve">：数据管线、三模型训练与评估、SHAP 归因、API 服务、前端 7 模块（完整代码包通过作品其他材料链接提交）；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模型文件</w:t>
      </w:r>
      <w:r>
        <w:t xml:space="preserve">：XGBoost、LSTM、Attention-LSTM 三套模型及配套标准化器；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rPr>
          <w:b/>
        </w:rPr>
        <w:t xml:space="preserve">模型卡片</w:t>
      </w:r>
      <w:r>
        <w:t xml:space="preserve">：逐模型记录数据版本、超参、随机种子、评价指标与已知局限。</w:t>
      </w:r>
    </w:p>
    <w:p>
      <w:pPr>
        <w:pStyle w:val="Heading2"/>
        <w:jc w:val="left"/>
        <w:spacing w:before="120" w:after="100" w:line="320" w:lineRule="auto"/>
      </w:pPr>
      <w:r>
        <w:t xml:space="preserve">2. 参考文献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1. </w:t>
      </w:r>
      <w:r>
        <w:t xml:space="preserve">Schlenker W, Roberts M J. Nonlinear temperature effects indicate severe damages to U.S. crop yields under climate change. Proceedings of the National Academy of Sciences, 2009, 106(37): 15594-15598.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2. </w:t>
      </w:r>
      <w:r>
        <w:t xml:space="preserve">Lobell D B, Roberts M J, Schlenker W, et al. Greater sensitivity to drought accompanies maize yield increase in the U.S. Midwest. Science, 2014, 344(6183): 516-519.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3. </w:t>
      </w:r>
      <w:r>
        <w:t xml:space="preserve">Chen T, Guestrin C. XGBoost: a scalable tree boosting system. Proceedings of the 22nd ACM SIGKDD International Conference on Knowledge Discovery and Data Mining, 2016: 785-794.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4. </w:t>
      </w:r>
      <w:r>
        <w:t xml:space="preserve">Lundberg S M, Lee S I. A unified approach to interpreting model predictions. Advances in Neural Information Processing Systems, 2017, 30: 4765-4774.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5. </w:t>
      </w:r>
      <w:r>
        <w:t xml:space="preserve">Hochreiter S, Schmidhuber J. Long short-term memory. Neural Computation, 1997, 9(8): 1735-1780.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6. </w:t>
      </w:r>
      <w:r>
        <w:t xml:space="preserve">Vaswani A, Shazeer N, Parmar N, et al. Attention is all you need. Advances in Neural Information Processing Systems, 2017, 30: 5998-6008.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7. </w:t>
      </w:r>
      <w:r>
        <w:t xml:space="preserve">Krishna S, Han T, Gu A, et al. The disagreement problem in explainable machine learning: a practitioner's perspective. arXiv preprint, 2022, arXiv:2202.01602.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8. </w:t>
      </w:r>
      <w:r>
        <w:t xml:space="preserve">Kumar I E, Venkatasubramanian S, Scheidegger C, et al. Problems with Shapley-value-based explanations as feature importance measures. Proceedings of the 37th International Conference on Machine Learning, 2020, PMLR 119: 5491-5500.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9. </w:t>
      </w:r>
      <w:r>
        <w:t xml:space="preserve">Brown J D. An introduction to linear mixed-effects modeling in R. Advances in Methods and Practices in Psychological Science, 2021, 4(1): 1-19.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10. </w:t>
      </w:r>
      <w:r>
        <w:t xml:space="preserve">Roberts D R, Bahn V, Ciuti S, et al. Cross-validation strategies for data with temporal, spatial, hierarchical, or phylogenetic structure. Ecography, 2017, 40(8): 913-929.</w:t>
      </w:r>
    </w:p>
    <w:p>
      <w:pPr>
        <w:pStyle w:val="Heading2"/>
        <w:jc w:val="left"/>
        <w:spacing w:before="120" w:after="100" w:line="320" w:lineRule="auto"/>
      </w:pPr>
      <w:r>
        <w:t xml:space="preserve">3. 其他材料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数据来源说明与字段口径表；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测试报告与性能实测截图（不含任何单位信息）；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系统操作手册；</w:t>
      </w:r>
    </w:p>
    <w:p>
      <w:pPr>
        <w:pStyle w:val="Body"/>
        <w:jc w:val="both"/>
        <w:spacing w:before="0" w:after="80" w:line="320" w:lineRule="auto"/>
        <w:ind w:left="340"/>
      </w:pPr>
      <w:r>
        <w:t xml:space="preserve">· </w:t>
      </w:r>
      <w:r>
        <w:t xml:space="preserve">演示视频（3-5 分钟，MP4）。</w:t>
      </w:r>
    </w:p>
    <w:p>
      <w:pPr>
        <w:pStyle w:val="Caption"/>
        <w:jc w:val="center"/>
        <w:spacing w:before="0" w:after="80" w:line="320" w:lineRule="auto"/>
      </w:pPr>
      <w:r>
        <w:rPr>
          <w:b/>
        </w:rPr>
        <w:t xml:space="preserve">提交前检查</w:t>
      </w:r>
      <w:r>
        <w:t xml:space="preserve">：全文检索学校名称、校名简称、英文缩写、院系名称与指导教师姓名，命中数必须为 0。</w:t>
      </w:r>
    </w:p>
    <w:sectPr>
      <w:pgSz w:w="11906" w:h="16838"/>
      <w:pgMar w:top="1247" w:right="1247" w:bottom="1134" w:left="124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标题"/>
    <w:basedOn w:val="Normal"/>
    <w:qFormat/>
    <w:pPr>
      <w:jc w:val="center"/>
      <w:spacing w:before="0" w:after="200" w:line="320" w:lineRule="auto"/>
    </w:pPr>
    <w:rPr>
      <w:rFonts w:ascii="微软雅黑" w:hAnsi="微软雅黑" w:eastAsia="微软雅黑"/>
      <w:b/>
      <w:sz w:val="44"/>
      <w:szCs w:val="44"/>
    </w:rPr>
  </w:style>
  <w:style w:type="paragraph" w:styleId="Heading1">
    <w:name w:val="标题 1"/>
    <w:basedOn w:val="Normal"/>
    <w:qFormat/>
    <w:pPr>
      <w:jc w:val="both"/>
      <w:spacing w:before="240" w:after="140" w:line="320" w:lineRule="auto"/>
    </w:pPr>
    <w:rPr>
      <w:rFonts w:ascii="微软雅黑" w:hAnsi="微软雅黑" w:eastAsia="微软雅黑"/>
      <w:b/>
      <w:sz w:val="30"/>
      <w:szCs w:val="30"/>
    </w:rPr>
  </w:style>
  <w:style w:type="paragraph" w:styleId="Heading2">
    <w:name w:val="标题 2"/>
    <w:basedOn w:val="Normal"/>
    <w:qFormat/>
    <w:pPr>
      <w:jc w:val="both"/>
      <w:spacing w:before="200" w:after="100" w:line="320" w:lineRule="auto"/>
    </w:pPr>
    <w:rPr>
      <w:rFonts w:ascii="微软雅黑" w:hAnsi="微软雅黑" w:eastAsia="微软雅黑"/>
      <w:b/>
      <w:sz w:val="24"/>
      <w:szCs w:val="24"/>
    </w:rPr>
  </w:style>
  <w:style w:type="paragraph" w:styleId="Heading3">
    <w:name w:val="标题 3"/>
    <w:basedOn w:val="Normal"/>
    <w:qFormat/>
    <w:pPr>
      <w:jc w:val="both"/>
      <w:spacing w:before="160" w:after="90" w:line="320" w:lineRule="auto"/>
    </w:pPr>
    <w:rPr>
      <w:rFonts w:ascii="微软雅黑" w:hAnsi="微软雅黑" w:eastAsia="微软雅黑"/>
      <w:b/>
      <w:sz w:val="22"/>
      <w:szCs w:val="22"/>
    </w:rPr>
  </w:style>
  <w:style w:type="paragraph" w:styleId="Body">
    <w:name w:val="正文"/>
    <w:basedOn w:val="Normal"/>
    <w:qFormat/>
    <w:pPr>
      <w:jc w:val="both"/>
      <w:spacing w:before="0" w:after="90" w:line="320" w:lineRule="auto"/>
    </w:pPr>
    <w:rPr>
      <w:rFonts w:ascii="宋体" w:hAnsi="宋体" w:eastAsia="宋体"/>
      <w:sz w:val="21"/>
      <w:szCs w:val="21"/>
    </w:rPr>
  </w:style>
  <w:style w:type="paragraph" w:styleId="Caption">
    <w:name w:val="图注"/>
    <w:basedOn w:val="Normal"/>
    <w:qFormat/>
    <w:pPr>
      <w:jc w:val="center"/>
      <w:spacing w:before="40" w:after="120" w:line="320" w:lineRule="auto"/>
    </w:pPr>
    <w:rPr>
      <w:rFonts w:ascii="微软雅黑" w:hAnsi="微软雅黑" w:eastAsia="微软雅黑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禾衡·农业智能体决策服务平台</dc:title>
  <dc:creator/>
  <cp:lastModifiedBy/>
</cp:coreProperties>
</file>