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Body"/>
        <w:jc w:val="both"/>
        <w:spacing w:before="0" w:after="1200" w:line="320" w:lineRule="auto"/>
      </w:pPr>
    </w:p>
    <w:p>
      <w:pPr>
        <w:pStyle w:val="Body"/>
        <w:jc w:val="center"/>
        <w:spacing w:before="0" w:after="400" w:line="320" w:lineRule="auto"/>
      </w:pPr>
      <w:r>
        <w:rPr>
          <w:sz w:val="22"/>
          <w:szCs w:val="22"/>
        </w:rPr>
        <w:t xml:space="preserve">第八届全球校园人工智能算法精英大赛</w:t>
      </w:r>
    </w:p>
    <w:p>
      <w:pPr>
        <w:pStyle w:val="Title"/>
        <w:jc w:val="center"/>
        <w:spacing w:before="0" w:after="200" w:line="320" w:lineRule="auto"/>
      </w:pPr>
      <w:r>
        <w:rPr>
          <w:b/>
          <w:sz w:val="44"/>
          <w:szCs w:val="44"/>
        </w:rPr>
        <w:t xml:space="preserve">禾衡·粮食生产气候风险归因决策系统</w:t>
      </w:r>
    </w:p>
    <w:p>
      <w:pPr>
        <w:pStyle w:val="Body"/>
        <w:jc w:val="center"/>
        <w:spacing w:before="0" w:after="800" w:line="320" w:lineRule="auto"/>
      </w:pPr>
      <w:r>
        <w:rPr>
          <w:sz w:val="28"/>
          <w:szCs w:val="28"/>
        </w:rPr>
        <w:t xml:space="preserve">技术方案</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2823"/>
        <w:gridCol w:w="6588"/>
      </w:tblGrid>
      <w:tr>
        <w:tc>
          <w:tcPr>
            <w:tcW w:w="2823" w:type="dxa"/>
            <w:vAlign w:val="center"/>
          </w:tcPr>
          <w:p>
            <w:pPr>
              <w:jc w:val="center"/>
              <w:spacing w:before="40" w:after="40"/>
            </w:pPr>
            <w:r>
              <w:rPr>
                <w:sz w:val="20"/>
                <w:szCs w:val="20"/>
              </w:rPr>
              <w:t xml:space="preserve">作品名称</w:t>
            </w:r>
          </w:p>
        </w:tc>
        <w:tc>
          <w:tcPr>
            <w:tcW w:w="6588" w:type="dxa"/>
            <w:vAlign w:val="center"/>
          </w:tcPr>
          <w:p>
            <w:pPr>
              <w:jc w:val="left"/>
              <w:spacing w:before="40" w:after="40"/>
            </w:pPr>
            <w:r>
              <w:rPr>
                <w:sz w:val="20"/>
                <w:szCs w:val="20"/>
              </w:rPr>
              <w:t xml:space="preserve">禾衡·粮食生产气候风险归因决策系统</w:t>
            </w:r>
          </w:p>
        </w:tc>
      </w:tr>
      <w:tr>
        <w:tc>
          <w:tcPr>
            <w:tcW w:w="2823" w:type="dxa"/>
            <w:vAlign w:val="center"/>
          </w:tcPr>
          <w:p>
            <w:pPr>
              <w:jc w:val="center"/>
              <w:spacing w:before="40" w:after="40"/>
            </w:pPr>
            <w:r>
              <w:rPr>
                <w:sz w:val="20"/>
                <w:szCs w:val="20"/>
              </w:rPr>
              <w:t xml:space="preserve">参赛赛题</w:t>
            </w:r>
          </w:p>
        </w:tc>
        <w:tc>
          <w:tcPr>
            <w:tcW w:w="6588" w:type="dxa"/>
            <w:vAlign w:val="center"/>
          </w:tcPr>
          <w:p>
            <w:pPr>
              <w:jc w:val="left"/>
              <w:spacing w:before="40" w:after="40"/>
            </w:pPr>
            <w:r>
              <w:rPr>
                <w:sz w:val="20"/>
                <w:szCs w:val="20"/>
              </w:rPr>
              <w:t xml:space="preserve">赛题二　农业数据智能分析与精准预测赛</w:t>
            </w:r>
          </w:p>
        </w:tc>
      </w:tr>
      <w:tr>
        <w:tc>
          <w:tcPr>
            <w:tcW w:w="2823" w:type="dxa"/>
            <w:vAlign w:val="center"/>
          </w:tcPr>
          <w:p>
            <w:pPr>
              <w:jc w:val="center"/>
              <w:spacing w:before="40" w:after="40"/>
            </w:pPr>
            <w:r>
              <w:rPr>
                <w:sz w:val="20"/>
                <w:szCs w:val="20"/>
              </w:rPr>
              <w:t xml:space="preserve">作品类别</w:t>
            </w:r>
          </w:p>
        </w:tc>
        <w:tc>
          <w:tcPr>
            <w:tcW w:w="6588" w:type="dxa"/>
            <w:vAlign w:val="center"/>
          </w:tcPr>
          <w:p>
            <w:pPr>
              <w:jc w:val="left"/>
              <w:spacing w:before="40" w:after="40"/>
            </w:pPr>
            <w:r>
              <w:rPr>
                <w:sz w:val="20"/>
                <w:szCs w:val="20"/>
              </w:rPr>
              <w:t xml:space="preserve">农业数据分析与预测类软件系统</w:t>
            </w:r>
          </w:p>
        </w:tc>
      </w:tr>
      <w:tr>
        <w:tc>
          <w:tcPr>
            <w:tcW w:w="2823" w:type="dxa"/>
            <w:vAlign w:val="center"/>
          </w:tcPr>
          <w:p>
            <w:pPr>
              <w:jc w:val="center"/>
              <w:spacing w:before="40" w:after="40"/>
            </w:pPr>
            <w:r>
              <w:rPr>
                <w:sz w:val="20"/>
                <w:szCs w:val="20"/>
              </w:rPr>
              <w:t xml:space="preserve">提交日期</w:t>
            </w:r>
          </w:p>
        </w:tc>
        <w:tc>
          <w:tcPr>
            <w:tcW w:w="6588" w:type="dxa"/>
            <w:vAlign w:val="center"/>
          </w:tcPr>
          <w:p>
            <w:pPr>
              <w:jc w:val="left"/>
              <w:spacing w:before="40" w:after="40"/>
            </w:pPr>
            <w:r>
              <w:rPr>
                <w:sz w:val="20"/>
                <w:szCs w:val="20"/>
              </w:rPr>
              <w:t xml:space="preserve">2026 年 10 月</w:t>
            </w:r>
          </w:p>
        </w:tc>
      </w:tr>
    </w:tbl>
    <w:p>
      <w:pPr>
        <w:pStyle w:val="Body"/>
        <w:jc w:val="both"/>
        <w:spacing w:before="0" w:after="600" w:line="320" w:lineRule="auto"/>
      </w:pPr>
    </w:p>
    <w:p>
      <w:pPr>
        <w:pStyle w:val="Body"/>
        <w:jc w:val="center"/>
        <w:spacing w:before="0" w:after="80" w:line="320" w:lineRule="auto"/>
      </w:pPr>
      <w:r>
        <w:rPr>
          <w:sz w:val="18"/>
          <w:szCs w:val="18"/>
        </w:rPr>
        <w:t xml:space="preserve">本方案所涉算法模型、数据集与系统模块均由团队自主研发</w:t>
      </w:r>
    </w:p>
    <w:p>
      <w:pPr>
        <w:pStyle w:val="Heading1"/>
        <w:pageBreakBefore/>
        <w:jc w:val="left"/>
        <w:spacing w:before="0" w:after="100" w:line="320" w:lineRule="auto"/>
      </w:pPr>
      <w:r>
        <w:t xml:space="preserve">一、作品概述</w:t>
      </w:r>
    </w:p>
    <w:p>
      <w:pPr>
        <w:pStyle w:val="Heading2"/>
        <w:jc w:val="left"/>
        <w:spacing w:before="120" w:after="100" w:line="320" w:lineRule="auto"/>
      </w:pPr>
      <w:r>
        <w:t xml:space="preserve">1.1 背景介绍</w:t>
      </w:r>
    </w:p>
    <w:p>
      <w:pPr>
        <w:pStyle w:val="Body"/>
        <w:jc w:val="both"/>
        <w:spacing w:before="0" w:after="80" w:line="320" w:lineRule="auto"/>
      </w:pPr>
      <w:r>
        <w:rPr>
          <w:b/>
        </w:rPr>
        <w:t xml:space="preserve">行业现状。</w:t>
      </w:r>
      <w:r>
        <w:t xml:space="preserve">极端气候正在改变我国粮食生产的风险结构。2023 年全国平均气温创 1961 年以来新高；京津冀"23·7"极端暴雨致河北平原约 24 万公顷农田受灾；长江中下游高温干旱与西南"旱涝急转"等事件在同一农时窗口内叠加发生。对农业生产者与管理部门而言，真正的困难不在于"是否受灾"，而在于</w:t>
      </w:r>
      <w:r>
        <w:rPr>
          <w:b/>
        </w:rPr>
        <w:t xml:space="preserve">同一场气候冲击在不同区域的表现方向完全不同</w:t>
      </w:r>
      <w:r>
        <w:t xml:space="preserve">：同样的高温在南方稻区可能意味着灌浆期热害，在北方旱作区却可能伴随有利的积温条件。以单一气候指标的阈值做预警，或只给出一个黑箱分数，都无法支撑"哪里该优先防、防什么、先做什么"的决策。</w:t>
      </w:r>
    </w:p>
    <w:p>
      <w:pPr>
        <w:pStyle w:val="Body"/>
        <w:jc w:val="both"/>
        <w:spacing w:before="0" w:after="80" w:line="320" w:lineRule="auto"/>
      </w:pPr>
      <w:r>
        <w:rPr>
          <w:b/>
        </w:rPr>
        <w:t xml:space="preserve">数据与算法机遇。</w:t>
      </w:r>
      <w:r>
        <w:t xml:space="preserve">卫星遥感、地面气象观测与农业统计三类数据已经具备省级尺度的长期覆盖能力，机器学习方法也足以处理多因子非线性耦合。真正的缺口不在数据源或算法库，而在于三件事：其一，把格式、时空粒度与坐标系各不相同的多模态数据严格对齐，使模型学到的是农学规律而不是数据口径差异；其二，让归因结论具备可解释性，能够回答"为什么是这些因子"；其三，主动界定模型适用边界，避免结论被误用。</w:t>
      </w:r>
    </w:p>
    <w:p>
      <w:pPr>
        <w:pStyle w:val="Body"/>
        <w:jc w:val="both"/>
        <w:spacing w:before="0" w:after="80" w:line="320" w:lineRule="auto"/>
      </w:pPr>
      <w:r>
        <w:rPr>
          <w:b/>
        </w:rPr>
        <w:t xml:space="preserve">本作品的必要性。</w:t>
      </w:r>
      <w:r>
        <w:t xml:space="preserve">现有农业气候风险服务多集中在两个极端：一端是"单一气候指标阈值预警"，忽略多因子耦合，难以区分风险的具体来源；另一端是"黑箱预测"，精度看似很高却无法解释，一旦被追问依据便无法自证。本作品在两者之间投入，构建一套</w:t>
      </w:r>
      <w:r>
        <w:rPr>
          <w:b/>
        </w:rPr>
        <w:t xml:space="preserve">可解释、可交互、可情景推演</w:t>
      </w:r>
      <w:r>
        <w:t xml:space="preserve">的风险归因与决策支持系统，把预测能力转化为可追溯、可核查的决策依据。</w:t>
      </w:r>
    </w:p>
    <w:p>
      <w:pPr>
        <w:pStyle w:val="Heading2"/>
        <w:jc w:val="left"/>
        <w:spacing w:before="120" w:after="100" w:line="320" w:lineRule="auto"/>
      </w:pPr>
      <w:r>
        <w:t xml:space="preserve">1.2 目标定位</w:t>
      </w:r>
    </w:p>
    <w:p>
      <w:pPr>
        <w:pStyle w:val="Caption"/>
        <w:jc w:val="center"/>
        <w:spacing w:before="0" w:after="60" w:line="320" w:lineRule="auto"/>
      </w:pPr>
      <w:r>
        <w:rPr>
          <w:sz w:val="18"/>
          <w:szCs w:val="18"/>
        </w:rPr>
        <w:t xml:space="preserve">表 1　作品目标定位</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882"/>
        <w:gridCol w:w="4141"/>
        <w:gridCol w:w="3388"/>
      </w:tblGrid>
      <w:tr>
        <w:trPr>
          <w:tblHeader/>
        </w:trPr>
        <w:tc>
          <w:tcPr>
            <w:tcW w:w="1882" w:type="dxa"/>
            <w:shd w:val="clear" w:color="auto" w:fill="1F3864"/>
            <w:vAlign w:val="center"/>
          </w:tcPr>
          <w:p>
            <w:pPr>
              <w:jc w:val="center"/>
              <w:spacing w:before="30" w:after="30" w:line="280" w:lineRule="auto"/>
              <w:rPr>
                <w:sz w:val="18"/>
              </w:rPr>
            </w:pPr>
            <w:r>
              <w:rPr>
                <w:color w:val="FFFFFF"/>
                <w:b/>
              </w:rPr>
              <w:t xml:space="preserve">目标</w:t>
            </w:r>
          </w:p>
        </w:tc>
        <w:tc>
          <w:tcPr>
            <w:tcW w:w="4141" w:type="dxa"/>
            <w:shd w:val="clear" w:color="auto" w:fill="1F3864"/>
            <w:vAlign w:val="center"/>
          </w:tcPr>
          <w:p>
            <w:pPr>
              <w:jc w:val="center"/>
              <w:spacing w:before="30" w:after="30" w:line="280" w:lineRule="auto"/>
              <w:rPr>
                <w:sz w:val="18"/>
              </w:rPr>
            </w:pPr>
            <w:r>
              <w:rPr>
                <w:color w:val="FFFFFF"/>
                <w:b/>
              </w:rPr>
              <w:t xml:space="preserve">具体界定</w:t>
            </w:r>
          </w:p>
        </w:tc>
        <w:tc>
          <w:tcPr>
            <w:tcW w:w="3388" w:type="dxa"/>
            <w:shd w:val="clear" w:color="auto" w:fill="1F3864"/>
            <w:vAlign w:val="center"/>
          </w:tcPr>
          <w:p>
            <w:pPr>
              <w:jc w:val="center"/>
              <w:spacing w:before="30" w:after="30" w:line="280" w:lineRule="auto"/>
              <w:rPr>
                <w:sz w:val="18"/>
              </w:rPr>
            </w:pPr>
            <w:r>
              <w:rPr>
                <w:color w:val="FFFFFF"/>
                <w:b/>
              </w:rPr>
              <w:t xml:space="preserve">量化指标</w:t>
            </w:r>
          </w:p>
        </w:tc>
      </w:tr>
      <w:tr>
        <w:tc>
          <w:tcPr>
            <w:tcW w:w="1882" w:type="dxa"/>
            <w:shd w:val="clear" w:color="auto" w:fill="F5F7FA"/>
            <w:vAlign w:val="center"/>
          </w:tcPr>
          <w:p>
            <w:pPr>
              <w:jc w:val="both"/>
              <w:spacing w:before="30" w:after="30" w:line="280" w:lineRule="auto"/>
              <w:rPr>
                <w:sz w:val="18"/>
              </w:rPr>
            </w:pPr>
            <w:r>
              <w:t xml:space="preserve">数据目标</w:t>
            </w:r>
          </w:p>
        </w:tc>
        <w:tc>
          <w:tcPr>
            <w:tcW w:w="4141" w:type="dxa"/>
            <w:shd w:val="clear" w:color="auto" w:fill="F5F7FA"/>
            <w:vAlign w:val="center"/>
          </w:tcPr>
          <w:p>
            <w:pPr>
              <w:jc w:val="both"/>
              <w:spacing w:before="30" w:after="30" w:line="280" w:lineRule="auto"/>
              <w:rPr>
                <w:sz w:val="18"/>
              </w:rPr>
            </w:pPr>
            <w:r>
              <w:t xml:space="preserve">建成统计 + 气象 + 遥感 + 致灾/空间四模态的省级农业面板数据集</w:t>
            </w:r>
          </w:p>
        </w:tc>
        <w:tc>
          <w:tcPr>
            <w:tcW w:w="3388" w:type="dxa"/>
            <w:shd w:val="clear" w:color="auto" w:fill="F5F7FA"/>
            <w:vAlign w:val="center"/>
          </w:tcPr>
          <w:p>
            <w:pPr>
              <w:jc w:val="both"/>
              <w:spacing w:before="30" w:after="30" w:line="280" w:lineRule="auto"/>
              <w:rPr>
                <w:sz w:val="18"/>
              </w:rPr>
            </w:pPr>
            <w:r>
              <w:t xml:space="preserve">31 省 × 13 年（2011—2023），N = 403，11 维入模特征，无缺失</w:t>
            </w:r>
          </w:p>
        </w:tc>
      </w:tr>
      <w:tr>
        <w:tc>
          <w:tcPr>
            <w:tcW w:w="1882" w:type="dxa"/>
            <w:shd w:val="clear" w:color="auto" w:fill="FFFFFF"/>
            <w:vAlign w:val="center"/>
          </w:tcPr>
          <w:p>
            <w:pPr>
              <w:jc w:val="both"/>
              <w:spacing w:before="30" w:after="30" w:line="280" w:lineRule="auto"/>
              <w:rPr>
                <w:sz w:val="18"/>
              </w:rPr>
            </w:pPr>
            <w:r>
              <w:t xml:space="preserve">预测目标</w:t>
            </w:r>
          </w:p>
        </w:tc>
        <w:tc>
          <w:tcPr>
            <w:tcW w:w="4141" w:type="dxa"/>
            <w:shd w:val="clear" w:color="auto" w:fill="FFFFFF"/>
            <w:vAlign w:val="center"/>
          </w:tcPr>
          <w:p>
            <w:pPr>
              <w:jc w:val="both"/>
              <w:spacing w:before="30" w:after="30" w:line="280" w:lineRule="auto"/>
              <w:rPr>
                <w:sz w:val="18"/>
              </w:rPr>
            </w:pPr>
            <w:r>
              <w:t xml:space="preserve">提供省级粮食单产的风险等级评估与因子归因</w:t>
            </w:r>
          </w:p>
        </w:tc>
        <w:tc>
          <w:tcPr>
            <w:tcW w:w="3388" w:type="dxa"/>
            <w:shd w:val="clear" w:color="auto" w:fill="FFFFFF"/>
            <w:vAlign w:val="center"/>
          </w:tcPr>
          <w:p>
            <w:pPr>
              <w:jc w:val="both"/>
              <w:spacing w:before="30" w:after="30" w:line="280" w:lineRule="auto"/>
              <w:rPr>
                <w:sz w:val="18"/>
              </w:rPr>
            </w:pPr>
            <w:r>
              <w:t xml:space="preserve">random 8:2 协议 R² = 0.907 ± 0.038，RMSE = 312.5 kg/ha（10 种子均值）</w:t>
            </w:r>
          </w:p>
        </w:tc>
      </w:tr>
      <w:tr>
        <w:tc>
          <w:tcPr>
            <w:tcW w:w="1882" w:type="dxa"/>
            <w:shd w:val="clear" w:color="auto" w:fill="F5F7FA"/>
            <w:vAlign w:val="center"/>
          </w:tcPr>
          <w:p>
            <w:pPr>
              <w:jc w:val="both"/>
              <w:spacing w:before="30" w:after="30" w:line="280" w:lineRule="auto"/>
              <w:rPr>
                <w:sz w:val="18"/>
              </w:rPr>
            </w:pPr>
            <w:r>
              <w:t xml:space="preserve">可解释目标</w:t>
            </w:r>
          </w:p>
        </w:tc>
        <w:tc>
          <w:tcPr>
            <w:tcW w:w="4141" w:type="dxa"/>
            <w:shd w:val="clear" w:color="auto" w:fill="F5F7FA"/>
            <w:vAlign w:val="center"/>
          </w:tcPr>
          <w:p>
            <w:pPr>
              <w:jc w:val="both"/>
              <w:spacing w:before="30" w:after="30" w:line="280" w:lineRule="auto"/>
              <w:rPr>
                <w:sz w:val="18"/>
              </w:rPr>
            </w:pPr>
            <w:r>
              <w:t xml:space="preserve">每个风险结论均可追溯到具体因子及其贡献方向</w:t>
            </w:r>
          </w:p>
        </w:tc>
        <w:tc>
          <w:tcPr>
            <w:tcW w:w="3388" w:type="dxa"/>
            <w:shd w:val="clear" w:color="auto" w:fill="F5F7FA"/>
            <w:vAlign w:val="center"/>
          </w:tcPr>
          <w:p>
            <w:pPr>
              <w:jc w:val="both"/>
              <w:spacing w:before="30" w:after="30" w:line="280" w:lineRule="auto"/>
              <w:rPr>
                <w:sz w:val="18"/>
              </w:rPr>
            </w:pPr>
            <w:r>
              <w:t xml:space="preserve">SHAP 边际贡献 + 注意力 gating 双视角归因；单省瀑布分解</w:t>
            </w:r>
          </w:p>
        </w:tc>
      </w:tr>
      <w:tr>
        <w:tc>
          <w:tcPr>
            <w:tcW w:w="1882" w:type="dxa"/>
            <w:shd w:val="clear" w:color="auto" w:fill="FFFFFF"/>
            <w:vAlign w:val="center"/>
          </w:tcPr>
          <w:p>
            <w:pPr>
              <w:jc w:val="both"/>
              <w:spacing w:before="30" w:after="30" w:line="280" w:lineRule="auto"/>
              <w:rPr>
                <w:sz w:val="18"/>
              </w:rPr>
            </w:pPr>
            <w:r>
              <w:t xml:space="preserve">应用目标</w:t>
            </w:r>
          </w:p>
        </w:tc>
        <w:tc>
          <w:tcPr>
            <w:tcW w:w="4141" w:type="dxa"/>
            <w:shd w:val="clear" w:color="auto" w:fill="FFFFFF"/>
            <w:vAlign w:val="center"/>
          </w:tcPr>
          <w:p>
            <w:pPr>
              <w:jc w:val="both"/>
              <w:spacing w:before="30" w:after="30" w:line="280" w:lineRule="auto"/>
              <w:rPr>
                <w:sz w:val="18"/>
              </w:rPr>
            </w:pPr>
            <w:r>
              <w:t xml:space="preserve">交付农业生产者与管理部门可直接使用的工具</w:t>
            </w:r>
          </w:p>
        </w:tc>
        <w:tc>
          <w:tcPr>
            <w:tcW w:w="3388" w:type="dxa"/>
            <w:shd w:val="clear" w:color="auto" w:fill="FFFFFF"/>
            <w:vAlign w:val="center"/>
          </w:tcPr>
          <w:p>
            <w:pPr>
              <w:jc w:val="both"/>
              <w:spacing w:before="30" w:after="30" w:line="280" w:lineRule="auto"/>
              <w:rPr>
                <w:sz w:val="18"/>
              </w:rPr>
            </w:pPr>
            <w:r>
              <w:t xml:space="preserve">7 模块 Web 系统，单次推理 &lt; 2 秒，普通云主机可部署</w:t>
            </w:r>
          </w:p>
        </w:tc>
      </w:tr>
      <w:tr>
        <w:tc>
          <w:tcPr>
            <w:tcW w:w="1882" w:type="dxa"/>
            <w:shd w:val="clear" w:color="auto" w:fill="F5F7FA"/>
            <w:vAlign w:val="center"/>
          </w:tcPr>
          <w:p>
            <w:pPr>
              <w:jc w:val="both"/>
              <w:spacing w:before="30" w:after="30" w:line="280" w:lineRule="auto"/>
              <w:rPr>
                <w:sz w:val="18"/>
              </w:rPr>
            </w:pPr>
            <w:r>
              <w:t xml:space="preserve">边界目标</w:t>
            </w:r>
          </w:p>
        </w:tc>
        <w:tc>
          <w:tcPr>
            <w:tcW w:w="4141" w:type="dxa"/>
            <w:shd w:val="clear" w:color="auto" w:fill="F5F7FA"/>
            <w:vAlign w:val="center"/>
          </w:tcPr>
          <w:p>
            <w:pPr>
              <w:jc w:val="both"/>
              <w:spacing w:before="30" w:after="30" w:line="280" w:lineRule="auto"/>
              <w:rPr>
                <w:sz w:val="18"/>
              </w:rPr>
            </w:pPr>
            <w:r>
              <w:t xml:space="preserve">明确声明模型"能用在哪、不能用在哪"</w:t>
            </w:r>
          </w:p>
        </w:tc>
        <w:tc>
          <w:tcPr>
            <w:tcW w:w="3388" w:type="dxa"/>
            <w:shd w:val="clear" w:color="auto" w:fill="F5F7FA"/>
            <w:vAlign w:val="center"/>
          </w:tcPr>
          <w:p>
            <w:pPr>
              <w:jc w:val="both"/>
              <w:spacing w:before="30" w:after="30" w:line="280" w:lineRule="auto"/>
              <w:rPr>
                <w:sz w:val="18"/>
              </w:rPr>
            </w:pPr>
            <w:r>
              <w:t xml:space="preserve">三套验证协议并行披露，含空间外推上限</w:t>
            </w:r>
          </w:p>
        </w:tc>
      </w:tr>
    </w:tbl>
    <w:p>
      <w:pPr>
        <w:pStyle w:val="Body"/>
        <w:jc w:val="left"/>
        <w:spacing w:before="0" w:after="40" w:line="320" w:lineRule="auto"/>
      </w:pPr>
    </w:p>
    <w:p>
      <w:pPr>
        <w:pStyle w:val="Heading1"/>
        <w:pageBreakBefore/>
        <w:jc w:val="left"/>
        <w:spacing w:before="0" w:after="100" w:line="320" w:lineRule="auto"/>
      </w:pPr>
      <w:r>
        <w:t xml:space="preserve">二、需求分析</w:t>
      </w:r>
    </w:p>
    <w:p>
      <w:pPr>
        <w:pStyle w:val="Heading2"/>
        <w:jc w:val="left"/>
        <w:spacing w:before="120" w:after="100" w:line="320" w:lineRule="auto"/>
      </w:pPr>
      <w:r>
        <w:t xml:space="preserve">2.1 问题剖析</w:t>
      </w:r>
    </w:p>
    <w:p>
      <w:pPr>
        <w:pStyle w:val="Body"/>
        <w:jc w:val="both"/>
        <w:spacing w:before="0" w:after="80" w:line="320" w:lineRule="auto"/>
      </w:pPr>
      <w:r>
        <w:t xml:space="preserve">本作品要解决的具体问题是：</w:t>
      </w:r>
      <w:r>
        <w:rPr>
          <w:b/>
        </w:rPr>
        <w:t xml:space="preserve">在省级尺度上，把极端气候与农业生产投入的多源数据转化为可解释的风险归因与可执行的对策路径。</w:t>
      </w:r>
      <w:r>
        <w:t xml:space="preserve">从三个维度拆解其难点。</w:t>
      </w:r>
    </w:p>
    <w:p>
      <w:pPr>
        <w:pStyle w:val="Body"/>
        <w:jc w:val="both"/>
        <w:spacing w:before="0" w:after="80" w:line="320" w:lineRule="auto"/>
      </w:pPr>
      <w:r>
        <w:rPr>
          <w:b/>
        </w:rPr>
        <w:t xml:space="preserve">维度一：数据维度。</w:t>
      </w:r>
      <w:r>
        <w:t xml:space="preserve">农业风险的真实驱动因素跨模态分布——气象提供致灾强度、遥感提供作物长势、统计提供投入水平、致灾公报提供实际灾情。四类数据的格式（栅格 / 站点 / 年鉴 / 矢量）、时空粒度与坐标系互不相同。若不做严格的时空对齐，模型学到的是数据口径差异，而非农学规律。举例而言，若直接对省域内全部栅格取平均，山区林地像元会把耕地上的长势信号稀释，得到的"省均植被指数"与实际作物长势并不对应。</w:t>
      </w:r>
    </w:p>
    <w:p>
      <w:pPr>
        <w:pStyle w:val="Body"/>
        <w:jc w:val="both"/>
        <w:spacing w:before="0" w:after="80" w:line="320" w:lineRule="auto"/>
      </w:pPr>
      <w:r>
        <w:rPr>
          <w:b/>
        </w:rPr>
        <w:t xml:space="preserve">维度二：方法维度。</w:t>
      </w:r>
      <w:r>
        <w:t xml:space="preserve">农业面板数据具有"小样本、强区域异质性"的典型特征。N = 403 的样本规模下，模型容量越大，越容易记住 31 个省份的基线差异；单模型、单指标的归因结论则容易被误读为普适规律。突出表现为一种常见陷阱：把</w:t>
      </w:r>
      <w:r>
        <w:rPr>
          <w:b/>
        </w:rPr>
        <w:t xml:space="preserve">省份之间的固有单产差异</w:t>
      </w:r>
      <w:r>
        <w:t xml:space="preserve">（如东北黑土区与华南丘陵区的天然差距）误当成气候因子的解释力，从而得出"某气候因子对全国产量贡献最大"的似是而非结论。</w:t>
      </w:r>
    </w:p>
    <w:p>
      <w:pPr>
        <w:pStyle w:val="Body"/>
        <w:jc w:val="both"/>
        <w:spacing w:before="0" w:after="80" w:line="320" w:lineRule="auto"/>
      </w:pPr>
      <w:r>
        <w:rPr>
          <w:b/>
        </w:rPr>
        <w:t xml:space="preserve">维度三：应用维度。</w:t>
      </w:r>
      <w:r>
        <w:t xml:space="preserve">一线使用者（农技推广人员、种植大户、农业保险基层机构）需要的是"我这个地区、这个阶段该做什么"，而不是一张全局重要性排序图或一个黑箱分数。这意味着系统的输出必须落到区域、阶段与优先级，并且每一条结论都能点开看依据。</w:t>
      </w:r>
    </w:p>
    <w:p>
      <w:pPr>
        <w:pStyle w:val="Body"/>
        <w:jc w:val="both"/>
        <w:spacing w:before="0" w:after="80" w:line="320" w:lineRule="auto"/>
      </w:pPr>
      <w:r>
        <w:rPr>
          <w:b/>
        </w:rPr>
        <w:t xml:space="preserve">关键难点：</w:t>
      </w:r>
      <w:r>
        <w:t xml:space="preserve">如何在不牺牲方法严谨性的前提下，让归因结论</w:t>
      </w:r>
      <w:r>
        <w:rPr>
          <w:b/>
        </w:rPr>
        <w:t xml:space="preserve">既有农学可解读性，又有明确的使用边界</w:t>
      </w:r>
      <w:r>
        <w:t xml:space="preserve">。</w:t>
      </w:r>
    </w:p>
    <w:p>
      <w:pPr>
        <w:pStyle w:val="Heading2"/>
        <w:jc w:val="left"/>
        <w:spacing w:before="120" w:after="100" w:line="320" w:lineRule="auto"/>
      </w:pPr>
      <w:r>
        <w:t xml:space="preserve">2.2 需求调研</w:t>
      </w:r>
    </w:p>
    <w:p>
      <w:pPr>
        <w:pStyle w:val="Body"/>
        <w:jc w:val="both"/>
        <w:spacing w:before="0" w:after="80" w:line="320" w:lineRule="auto"/>
      </w:pPr>
      <w:r>
        <w:t xml:space="preserve">本作品的选题来源于团队在农业数据方向的科研实践与公开资料梳理，需求通过以下四条途径逐步收敛。</w:t>
      </w:r>
    </w:p>
    <w:p>
      <w:pPr>
        <w:pStyle w:val="Caption"/>
        <w:jc w:val="center"/>
        <w:spacing w:before="0" w:after="60" w:line="320" w:lineRule="auto"/>
      </w:pPr>
      <w:r>
        <w:rPr>
          <w:sz w:val="18"/>
          <w:szCs w:val="18"/>
        </w:rPr>
        <w:t xml:space="preserve">表 2　需求来源与核心需求归纳</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694"/>
        <w:gridCol w:w="4329"/>
        <w:gridCol w:w="3388"/>
      </w:tblGrid>
      <w:tr>
        <w:trPr>
          <w:tblHeader/>
        </w:trPr>
        <w:tc>
          <w:tcPr>
            <w:tcW w:w="1694" w:type="dxa"/>
            <w:shd w:val="clear" w:color="auto" w:fill="1F3864"/>
            <w:vAlign w:val="center"/>
          </w:tcPr>
          <w:p>
            <w:pPr>
              <w:jc w:val="center"/>
              <w:spacing w:before="30" w:after="30" w:line="280" w:lineRule="auto"/>
              <w:rPr>
                <w:sz w:val="18"/>
              </w:rPr>
            </w:pPr>
            <w:r>
              <w:rPr>
                <w:color w:val="FFFFFF"/>
                <w:b/>
              </w:rPr>
              <w:t xml:space="preserve">途径</w:t>
            </w:r>
          </w:p>
        </w:tc>
        <w:tc>
          <w:tcPr>
            <w:tcW w:w="4329" w:type="dxa"/>
            <w:shd w:val="clear" w:color="auto" w:fill="1F3864"/>
            <w:vAlign w:val="center"/>
          </w:tcPr>
          <w:p>
            <w:pPr>
              <w:jc w:val="center"/>
              <w:spacing w:before="30" w:after="30" w:line="280" w:lineRule="auto"/>
              <w:rPr>
                <w:sz w:val="18"/>
              </w:rPr>
            </w:pPr>
            <w:r>
              <w:rPr>
                <w:color w:val="FFFFFF"/>
                <w:b/>
              </w:rPr>
              <w:t xml:space="preserve">做法</w:t>
            </w:r>
          </w:p>
        </w:tc>
        <w:tc>
          <w:tcPr>
            <w:tcW w:w="3388" w:type="dxa"/>
            <w:shd w:val="clear" w:color="auto" w:fill="1F3864"/>
            <w:vAlign w:val="center"/>
          </w:tcPr>
          <w:p>
            <w:pPr>
              <w:jc w:val="center"/>
              <w:spacing w:before="30" w:after="30" w:line="280" w:lineRule="auto"/>
              <w:rPr>
                <w:sz w:val="18"/>
              </w:rPr>
            </w:pPr>
            <w:r>
              <w:rPr>
                <w:color w:val="FFFFFF"/>
                <w:b/>
              </w:rPr>
              <w:t xml:space="preserve">得到的核心需求</w:t>
            </w:r>
          </w:p>
        </w:tc>
      </w:tr>
      <w:tr>
        <w:tc>
          <w:tcPr>
            <w:tcW w:w="1694" w:type="dxa"/>
            <w:shd w:val="clear" w:color="auto" w:fill="F5F7FA"/>
            <w:vAlign w:val="center"/>
          </w:tcPr>
          <w:p>
            <w:pPr>
              <w:jc w:val="both"/>
              <w:spacing w:before="30" w:after="30" w:line="280" w:lineRule="auto"/>
              <w:rPr>
                <w:sz w:val="18"/>
              </w:rPr>
            </w:pPr>
            <w:r>
              <w:t xml:space="preserve">文献研究</w:t>
            </w:r>
          </w:p>
        </w:tc>
        <w:tc>
          <w:tcPr>
            <w:tcW w:w="4329" w:type="dxa"/>
            <w:shd w:val="clear" w:color="auto" w:fill="F5F7FA"/>
            <w:vAlign w:val="center"/>
          </w:tcPr>
          <w:p>
            <w:pPr>
              <w:jc w:val="both"/>
              <w:spacing w:before="30" w:after="30" w:line="280" w:lineRule="auto"/>
              <w:rPr>
                <w:sz w:val="18"/>
              </w:rPr>
            </w:pPr>
            <w:r>
              <w:t xml:space="preserve">梳理国内外气候—粮食生产研究的方法演进与共性短板</w:t>
            </w:r>
          </w:p>
        </w:tc>
        <w:tc>
          <w:tcPr>
            <w:tcW w:w="3388" w:type="dxa"/>
            <w:shd w:val="clear" w:color="auto" w:fill="F5F7FA"/>
            <w:vAlign w:val="center"/>
          </w:tcPr>
          <w:p>
            <w:pPr>
              <w:jc w:val="both"/>
              <w:spacing w:before="30" w:after="30" w:line="280" w:lineRule="auto"/>
              <w:rPr>
                <w:sz w:val="18"/>
              </w:rPr>
            </w:pPr>
            <w:r>
              <w:t xml:space="preserve">需要跨模型归因对照；需要主动披露模型边界；需要从单因子走向多模态</w:t>
            </w:r>
          </w:p>
        </w:tc>
      </w:tr>
      <w:tr>
        <w:tc>
          <w:tcPr>
            <w:tcW w:w="1694" w:type="dxa"/>
            <w:shd w:val="clear" w:color="auto" w:fill="FFFFFF"/>
            <w:vAlign w:val="center"/>
          </w:tcPr>
          <w:p>
            <w:pPr>
              <w:jc w:val="both"/>
              <w:spacing w:before="30" w:after="30" w:line="280" w:lineRule="auto"/>
              <w:rPr>
                <w:sz w:val="18"/>
              </w:rPr>
            </w:pPr>
            <w:r>
              <w:t xml:space="preserve">数据实践</w:t>
            </w:r>
          </w:p>
        </w:tc>
        <w:tc>
          <w:tcPr>
            <w:tcW w:w="4329" w:type="dxa"/>
            <w:shd w:val="clear" w:color="auto" w:fill="FFFFFF"/>
            <w:vAlign w:val="center"/>
          </w:tcPr>
          <w:p>
            <w:pPr>
              <w:jc w:val="both"/>
              <w:spacing w:before="30" w:after="30" w:line="280" w:lineRule="auto"/>
              <w:rPr>
                <w:sz w:val="18"/>
              </w:rPr>
            </w:pPr>
            <w:r>
              <w:t xml:space="preserve">在四类公开数据源的采集与对齐过程中逐项记录口径障碍</w:t>
            </w:r>
          </w:p>
        </w:tc>
        <w:tc>
          <w:tcPr>
            <w:tcW w:w="3388" w:type="dxa"/>
            <w:shd w:val="clear" w:color="auto" w:fill="FFFFFF"/>
            <w:vAlign w:val="center"/>
          </w:tcPr>
          <w:p>
            <w:pPr>
              <w:jc w:val="both"/>
              <w:spacing w:before="30" w:after="30" w:line="280" w:lineRule="auto"/>
              <w:rPr>
                <w:sz w:val="18"/>
              </w:rPr>
            </w:pPr>
            <w:r>
              <w:t xml:space="preserve">需要一套可复用、可审计的数据对齐规范</w:t>
            </w:r>
          </w:p>
        </w:tc>
      </w:tr>
      <w:tr>
        <w:tc>
          <w:tcPr>
            <w:tcW w:w="1694" w:type="dxa"/>
            <w:shd w:val="clear" w:color="auto" w:fill="F5F7FA"/>
            <w:vAlign w:val="center"/>
          </w:tcPr>
          <w:p>
            <w:pPr>
              <w:jc w:val="both"/>
              <w:spacing w:before="30" w:after="30" w:line="280" w:lineRule="auto"/>
              <w:rPr>
                <w:sz w:val="18"/>
              </w:rPr>
            </w:pPr>
            <w:r>
              <w:t xml:space="preserve">场景分析</w:t>
            </w:r>
          </w:p>
        </w:tc>
        <w:tc>
          <w:tcPr>
            <w:tcW w:w="4329" w:type="dxa"/>
            <w:shd w:val="clear" w:color="auto" w:fill="F5F7FA"/>
            <w:vAlign w:val="center"/>
          </w:tcPr>
          <w:p>
            <w:pPr>
              <w:jc w:val="both"/>
              <w:spacing w:before="30" w:after="30" w:line="280" w:lineRule="auto"/>
              <w:rPr>
                <w:sz w:val="18"/>
              </w:rPr>
            </w:pPr>
            <w:r>
              <w:t xml:space="preserve">梳理农技推广与基层保险工作的公开流程资料，结合团队在农业数据方向的科研实践，归纳典型决策动作</w:t>
            </w:r>
          </w:p>
        </w:tc>
        <w:tc>
          <w:tcPr>
            <w:tcW w:w="3388" w:type="dxa"/>
            <w:shd w:val="clear" w:color="auto" w:fill="F5F7FA"/>
            <w:vAlign w:val="center"/>
          </w:tcPr>
          <w:p>
            <w:pPr>
              <w:jc w:val="both"/>
              <w:spacing w:before="30" w:after="30" w:line="280" w:lineRule="auto"/>
              <w:rPr>
                <w:sz w:val="18"/>
              </w:rPr>
            </w:pPr>
            <w:r>
              <w:t xml:space="preserve">需要"分区域、分阶段、分优先级"的对策输出，而非单一指标</w:t>
            </w:r>
          </w:p>
        </w:tc>
      </w:tr>
      <w:tr>
        <w:tc>
          <w:tcPr>
            <w:tcW w:w="1694" w:type="dxa"/>
            <w:shd w:val="clear" w:color="auto" w:fill="FFFFFF"/>
            <w:vAlign w:val="center"/>
          </w:tcPr>
          <w:p>
            <w:pPr>
              <w:jc w:val="both"/>
              <w:spacing w:before="30" w:after="30" w:line="280" w:lineRule="auto"/>
              <w:rPr>
                <w:sz w:val="18"/>
              </w:rPr>
            </w:pPr>
            <w:r>
              <w:t xml:space="preserve">工具对照</w:t>
            </w:r>
          </w:p>
        </w:tc>
        <w:tc>
          <w:tcPr>
            <w:tcW w:w="4329" w:type="dxa"/>
            <w:shd w:val="clear" w:color="auto" w:fill="FFFFFF"/>
            <w:vAlign w:val="center"/>
          </w:tcPr>
          <w:p>
            <w:pPr>
              <w:jc w:val="both"/>
              <w:spacing w:before="30" w:after="30" w:line="280" w:lineRule="auto"/>
              <w:rPr>
                <w:sz w:val="18"/>
              </w:rPr>
            </w:pPr>
            <w:r>
              <w:t xml:space="preserve">试用现有农业气候风险类公开服务，记录其输出形态与使用断点</w:t>
            </w:r>
          </w:p>
        </w:tc>
        <w:tc>
          <w:tcPr>
            <w:tcW w:w="3388" w:type="dxa"/>
            <w:shd w:val="clear" w:color="auto" w:fill="FFFFFF"/>
            <w:vAlign w:val="center"/>
          </w:tcPr>
          <w:p>
            <w:pPr>
              <w:jc w:val="both"/>
              <w:spacing w:before="30" w:after="30" w:line="280" w:lineRule="auto"/>
              <w:rPr>
                <w:sz w:val="18"/>
              </w:rPr>
            </w:pPr>
            <w:r>
              <w:t xml:space="preserve">需要中文界面、地图化呈现、可调参数的推演能力，且结论可追溯到依据</w:t>
            </w:r>
          </w:p>
        </w:tc>
      </w:tr>
    </w:tbl>
    <w:p>
      <w:pPr>
        <w:pStyle w:val="Body"/>
        <w:jc w:val="left"/>
        <w:spacing w:before="0" w:after="40" w:line="320" w:lineRule="auto"/>
      </w:pPr>
    </w:p>
    <w:p>
      <w:pPr>
        <w:pStyle w:val="Body"/>
        <w:jc w:val="both"/>
        <w:spacing w:before="0" w:after="80" w:line="320" w:lineRule="auto"/>
      </w:pPr>
      <w:r>
        <w:rPr>
          <w:b/>
        </w:rPr>
        <w:t xml:space="preserve">归纳出的具体要求：</w:t>
      </w:r>
    </w:p>
    <w:p>
      <w:pPr>
        <w:pStyle w:val="Body"/>
        <w:jc w:val="both"/>
        <w:spacing w:before="0" w:after="80" w:line="320" w:lineRule="auto"/>
        <w:ind w:left="340"/>
      </w:pPr>
      <w:r>
        <w:t xml:space="preserve">1. </w:t>
      </w:r>
      <w:r>
        <w:rPr>
          <w:b/>
        </w:rPr>
        <w:t xml:space="preserve">功能：</w:t>
      </w:r>
      <w:r>
        <w:t xml:space="preserve">风险等级评估、因子归因、情景推演、对策路径四项能力缺一不可；</w:t>
      </w:r>
    </w:p>
    <w:p>
      <w:pPr>
        <w:pStyle w:val="Body"/>
        <w:jc w:val="both"/>
        <w:spacing w:before="0" w:after="80" w:line="320" w:lineRule="auto"/>
        <w:ind w:left="340"/>
      </w:pPr>
      <w:r>
        <w:t xml:space="preserve">2. </w:t>
      </w:r>
      <w:r>
        <w:rPr>
          <w:b/>
        </w:rPr>
        <w:t xml:space="preserve">性能：</w:t>
      </w:r>
      <w:r>
        <w:t xml:space="preserve">交互响应需在秒级，否则推演过程会被打断；</w:t>
      </w:r>
    </w:p>
    <w:p>
      <w:pPr>
        <w:pStyle w:val="Body"/>
        <w:jc w:val="both"/>
        <w:spacing w:before="0" w:after="80" w:line="320" w:lineRule="auto"/>
        <w:ind w:left="340"/>
      </w:pPr>
      <w:r>
        <w:t xml:space="preserve">3. </w:t>
      </w:r>
      <w:r>
        <w:rPr>
          <w:b/>
        </w:rPr>
        <w:t xml:space="preserve">体验：</w:t>
      </w:r>
      <w:r>
        <w:t xml:space="preserve">需为中文界面 + 地图化 + 无需安装的网页形态，适配基层使用环境；</w:t>
      </w:r>
    </w:p>
    <w:p>
      <w:pPr>
        <w:pStyle w:val="Body"/>
        <w:jc w:val="both"/>
        <w:spacing w:before="0" w:after="80" w:line="320" w:lineRule="auto"/>
        <w:ind w:left="340"/>
      </w:pPr>
      <w:r>
        <w:t xml:space="preserve">4. </w:t>
      </w:r>
      <w:r>
        <w:rPr>
          <w:b/>
        </w:rPr>
        <w:t xml:space="preserve">可信：</w:t>
      </w:r>
      <w:r>
        <w:t xml:space="preserve">每一个结论都能点开看"依据是什么"，这是农技推广场景的刚性要求；</w:t>
      </w:r>
    </w:p>
    <w:p>
      <w:pPr>
        <w:pStyle w:val="Body"/>
        <w:jc w:val="both"/>
        <w:spacing w:before="0" w:after="80" w:line="320" w:lineRule="auto"/>
        <w:ind w:left="340"/>
      </w:pPr>
      <w:r>
        <w:t xml:space="preserve">5. </w:t>
      </w:r>
      <w:r>
        <w:rPr>
          <w:b/>
        </w:rPr>
        <w:t xml:space="preserve">边界：</w:t>
      </w:r>
      <w:r>
        <w:t xml:space="preserve">明确说明结论适用的空间与时间范围，不给出超出数据支撑的承诺。</w:t>
      </w:r>
    </w:p>
    <w:p>
      <w:pPr>
        <w:pStyle w:val="Heading1"/>
        <w:pageBreakBefore/>
        <w:jc w:val="left"/>
        <w:spacing w:before="0" w:after="100" w:line="320" w:lineRule="auto"/>
      </w:pPr>
      <w:r>
        <w:t xml:space="preserve">三、AI 技术工具选择与运用</w:t>
      </w:r>
    </w:p>
    <w:p>
      <w:pPr>
        <w:pStyle w:val="Body"/>
        <w:jc w:val="both"/>
        <w:spacing w:before="0" w:after="80" w:line="320" w:lineRule="auto"/>
      </w:pPr>
      <w:r>
        <w:t xml:space="preserve">本作品的 AI 技术栈按"数据处理 — 预测建模 — 归因解释 — 交互应用"四层组织，选型依据如下。</w:t>
      </w:r>
    </w:p>
    <w:p>
      <w:pPr>
        <w:pStyle w:val="Caption"/>
        <w:jc w:val="center"/>
        <w:spacing w:before="0" w:after="60" w:line="320" w:lineRule="auto"/>
      </w:pPr>
      <w:r>
        <w:rPr>
          <w:sz w:val="18"/>
          <w:szCs w:val="18"/>
        </w:rPr>
        <w:t xml:space="preserve">表 3　技术工具选型与依据</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505"/>
        <w:gridCol w:w="3200"/>
        <w:gridCol w:w="4706"/>
      </w:tblGrid>
      <w:tr>
        <w:trPr>
          <w:tblHeader/>
        </w:trPr>
        <w:tc>
          <w:tcPr>
            <w:tcW w:w="1505" w:type="dxa"/>
            <w:shd w:val="clear" w:color="auto" w:fill="1F3864"/>
            <w:vAlign w:val="center"/>
          </w:tcPr>
          <w:p>
            <w:pPr>
              <w:jc w:val="center"/>
              <w:spacing w:before="30" w:after="30" w:line="280" w:lineRule="auto"/>
              <w:rPr>
                <w:sz w:val="18"/>
              </w:rPr>
            </w:pPr>
            <w:r>
              <w:rPr>
                <w:color w:val="FFFFFF"/>
                <w:b/>
              </w:rPr>
              <w:t xml:space="preserve">环节</w:t>
            </w:r>
          </w:p>
        </w:tc>
        <w:tc>
          <w:tcPr>
            <w:tcW w:w="3200" w:type="dxa"/>
            <w:shd w:val="clear" w:color="auto" w:fill="1F3864"/>
            <w:vAlign w:val="center"/>
          </w:tcPr>
          <w:p>
            <w:pPr>
              <w:jc w:val="center"/>
              <w:spacing w:before="30" w:after="30" w:line="280" w:lineRule="auto"/>
              <w:rPr>
                <w:sz w:val="18"/>
              </w:rPr>
            </w:pPr>
            <w:r>
              <w:rPr>
                <w:color w:val="FFFFFF"/>
                <w:b/>
              </w:rPr>
              <w:t xml:space="preserve">技术 / 工具</w:t>
            </w:r>
          </w:p>
        </w:tc>
        <w:tc>
          <w:tcPr>
            <w:tcW w:w="4706" w:type="dxa"/>
            <w:shd w:val="clear" w:color="auto" w:fill="1F3864"/>
            <w:vAlign w:val="center"/>
          </w:tcPr>
          <w:p>
            <w:pPr>
              <w:jc w:val="center"/>
              <w:spacing w:before="30" w:after="30" w:line="280" w:lineRule="auto"/>
              <w:rPr>
                <w:sz w:val="18"/>
              </w:rPr>
            </w:pPr>
            <w:r>
              <w:rPr>
                <w:color w:val="FFFFFF"/>
                <w:b/>
              </w:rPr>
              <w:t xml:space="preserve">选型依据</w:t>
            </w:r>
          </w:p>
        </w:tc>
      </w:tr>
      <w:tr>
        <w:tc>
          <w:tcPr>
            <w:tcW w:w="1505" w:type="dxa"/>
            <w:shd w:val="clear" w:color="auto" w:fill="F5F7FA"/>
            <w:vAlign w:val="center"/>
          </w:tcPr>
          <w:p>
            <w:pPr>
              <w:jc w:val="both"/>
              <w:spacing w:before="30" w:after="30" w:line="280" w:lineRule="auto"/>
              <w:rPr>
                <w:sz w:val="18"/>
              </w:rPr>
            </w:pPr>
            <w:r>
              <w:t xml:space="preserve">数据对齐</w:t>
            </w:r>
          </w:p>
        </w:tc>
        <w:tc>
          <w:tcPr>
            <w:tcW w:w="3200" w:type="dxa"/>
            <w:shd w:val="clear" w:color="auto" w:fill="F5F7FA"/>
            <w:vAlign w:val="center"/>
          </w:tcPr>
          <w:p>
            <w:pPr>
              <w:jc w:val="both"/>
              <w:spacing w:before="30" w:after="30" w:line="280" w:lineRule="auto"/>
              <w:rPr>
                <w:sz w:val="18"/>
              </w:rPr>
            </w:pPr>
            <w:r>
              <w:t xml:space="preserve">栅格—矢量空间聚合（含耕地像元权重）、线性插值、Z-score 标准化</w:t>
            </w:r>
          </w:p>
        </w:tc>
        <w:tc>
          <w:tcPr>
            <w:tcW w:w="4706" w:type="dxa"/>
            <w:shd w:val="clear" w:color="auto" w:fill="F5F7FA"/>
            <w:vAlign w:val="center"/>
          </w:tcPr>
          <w:p>
            <w:pPr>
              <w:jc w:val="both"/>
              <w:spacing w:before="30" w:after="30" w:line="280" w:lineRule="auto"/>
              <w:rPr>
                <w:sz w:val="18"/>
              </w:rPr>
            </w:pPr>
            <w:r>
              <w:t xml:space="preserve">跨模态异构数据必须在入模前统一口径；耕地像元加权可避免非耕地像元混入省级均值</w:t>
            </w:r>
          </w:p>
        </w:tc>
      </w:tr>
      <w:tr>
        <w:tc>
          <w:tcPr>
            <w:tcW w:w="1505" w:type="dxa"/>
            <w:shd w:val="clear" w:color="auto" w:fill="FFFFFF"/>
            <w:vAlign w:val="center"/>
          </w:tcPr>
          <w:p>
            <w:pPr>
              <w:jc w:val="both"/>
              <w:spacing w:before="30" w:after="30" w:line="280" w:lineRule="auto"/>
              <w:rPr>
                <w:sz w:val="18"/>
              </w:rPr>
            </w:pPr>
            <w:r>
              <w:t xml:space="preserve">风险预测</w:t>
            </w:r>
          </w:p>
        </w:tc>
        <w:tc>
          <w:tcPr>
            <w:tcW w:w="3200" w:type="dxa"/>
            <w:shd w:val="clear" w:color="auto" w:fill="FFFFFF"/>
            <w:vAlign w:val="center"/>
          </w:tcPr>
          <w:p>
            <w:pPr>
              <w:jc w:val="both"/>
              <w:spacing w:before="30" w:after="30" w:line="280" w:lineRule="auto"/>
              <w:rPr>
                <w:sz w:val="18"/>
              </w:rPr>
            </w:pPr>
            <w:r>
              <w:t xml:space="preserve">梯度提升树（XGBoost）</w:t>
            </w:r>
          </w:p>
        </w:tc>
        <w:tc>
          <w:tcPr>
            <w:tcW w:w="4706" w:type="dxa"/>
            <w:shd w:val="clear" w:color="auto" w:fill="FFFFFF"/>
            <w:vAlign w:val="center"/>
          </w:tcPr>
          <w:p>
            <w:pPr>
              <w:jc w:val="both"/>
              <w:spacing w:before="30" w:after="30" w:line="280" w:lineRule="auto"/>
              <w:rPr>
                <w:sz w:val="18"/>
              </w:rPr>
            </w:pPr>
            <w:r>
              <w:t xml:space="preserve">N = 403 的小样本 + 11 维中维特征 + 显著非线性与交互，树模型在该数据规模下优于深度网络；训练与推理均可在 CPU 完成</w:t>
            </w:r>
          </w:p>
        </w:tc>
      </w:tr>
      <w:tr>
        <w:tc>
          <w:tcPr>
            <w:tcW w:w="1505" w:type="dxa"/>
            <w:shd w:val="clear" w:color="auto" w:fill="F5F7FA"/>
            <w:vAlign w:val="center"/>
          </w:tcPr>
          <w:p>
            <w:pPr>
              <w:jc w:val="both"/>
              <w:spacing w:before="30" w:after="30" w:line="280" w:lineRule="auto"/>
              <w:rPr>
                <w:sz w:val="18"/>
              </w:rPr>
            </w:pPr>
            <w:r>
              <w:t xml:space="preserve">时序对照</w:t>
            </w:r>
          </w:p>
        </w:tc>
        <w:tc>
          <w:tcPr>
            <w:tcW w:w="3200" w:type="dxa"/>
            <w:shd w:val="clear" w:color="auto" w:fill="F5F7FA"/>
            <w:vAlign w:val="center"/>
          </w:tcPr>
          <w:p>
            <w:pPr>
              <w:jc w:val="both"/>
              <w:spacing w:before="30" w:after="30" w:line="280" w:lineRule="auto"/>
              <w:rPr>
                <w:sz w:val="18"/>
              </w:rPr>
            </w:pPr>
            <w:r>
              <w:t xml:space="preserve">LSTM 与特征级注意力门控</w:t>
            </w:r>
          </w:p>
        </w:tc>
        <w:tc>
          <w:tcPr>
            <w:tcW w:w="4706" w:type="dxa"/>
            <w:shd w:val="clear" w:color="auto" w:fill="F5F7FA"/>
            <w:vAlign w:val="center"/>
          </w:tcPr>
          <w:p>
            <w:pPr>
              <w:jc w:val="both"/>
              <w:spacing w:before="30" w:after="30" w:line="280" w:lineRule="auto"/>
              <w:rPr>
                <w:sz w:val="18"/>
              </w:rPr>
            </w:pPr>
            <w:r>
              <w:t xml:space="preserve">农业面板以"省份 × 年度"构成，用于提供独立于树模型的第二个视角</w:t>
            </w:r>
          </w:p>
        </w:tc>
      </w:tr>
      <w:tr>
        <w:tc>
          <w:tcPr>
            <w:tcW w:w="1505" w:type="dxa"/>
            <w:shd w:val="clear" w:color="auto" w:fill="FFFFFF"/>
            <w:vAlign w:val="center"/>
          </w:tcPr>
          <w:p>
            <w:pPr>
              <w:jc w:val="both"/>
              <w:spacing w:before="30" w:after="30" w:line="280" w:lineRule="auto"/>
              <w:rPr>
                <w:sz w:val="18"/>
              </w:rPr>
            </w:pPr>
            <w:r>
              <w:t xml:space="preserve">可解释归因</w:t>
            </w:r>
          </w:p>
        </w:tc>
        <w:tc>
          <w:tcPr>
            <w:tcW w:w="3200" w:type="dxa"/>
            <w:shd w:val="clear" w:color="auto" w:fill="FFFFFF"/>
            <w:vAlign w:val="center"/>
          </w:tcPr>
          <w:p>
            <w:pPr>
              <w:jc w:val="both"/>
              <w:spacing w:before="30" w:after="30" w:line="280" w:lineRule="auto"/>
              <w:rPr>
                <w:sz w:val="18"/>
              </w:rPr>
            </w:pPr>
            <w:r>
              <w:t xml:space="preserve">SHAP 归因框架</w:t>
            </w:r>
          </w:p>
        </w:tc>
        <w:tc>
          <w:tcPr>
            <w:tcW w:w="4706" w:type="dxa"/>
            <w:shd w:val="clear" w:color="auto" w:fill="FFFFFF"/>
            <w:vAlign w:val="center"/>
          </w:tcPr>
          <w:p>
            <w:pPr>
              <w:jc w:val="both"/>
              <w:spacing w:before="30" w:after="30" w:line="280" w:lineRule="auto"/>
              <w:rPr>
                <w:sz w:val="18"/>
              </w:rPr>
            </w:pPr>
            <w:r>
              <w:t xml:space="preserve">满足"每个结论可追溯"的刚性需求：全局重要性、单样本贡献分解、特征交互依赖三种解释粒度</w:t>
            </w:r>
          </w:p>
        </w:tc>
      </w:tr>
      <w:tr>
        <w:tc>
          <w:tcPr>
            <w:tcW w:w="1505" w:type="dxa"/>
            <w:shd w:val="clear" w:color="auto" w:fill="F5F7FA"/>
            <w:vAlign w:val="center"/>
          </w:tcPr>
          <w:p>
            <w:pPr>
              <w:jc w:val="both"/>
              <w:spacing w:before="30" w:after="30" w:line="280" w:lineRule="auto"/>
              <w:rPr>
                <w:sz w:val="18"/>
              </w:rPr>
            </w:pPr>
            <w:r>
              <w:t xml:space="preserve">统计校核</w:t>
            </w:r>
          </w:p>
        </w:tc>
        <w:tc>
          <w:tcPr>
            <w:tcW w:w="3200" w:type="dxa"/>
            <w:shd w:val="clear" w:color="auto" w:fill="F5F7FA"/>
            <w:vAlign w:val="center"/>
          </w:tcPr>
          <w:p>
            <w:pPr>
              <w:jc w:val="both"/>
              <w:spacing w:before="30" w:after="30" w:line="280" w:lineRule="auto"/>
              <w:rPr>
                <w:sz w:val="18"/>
              </w:rPr>
            </w:pPr>
            <w:r>
              <w:t xml:space="preserve">线性混合效应模型（方差分解）</w:t>
            </w:r>
          </w:p>
        </w:tc>
        <w:tc>
          <w:tcPr>
            <w:tcW w:w="4706" w:type="dxa"/>
            <w:shd w:val="clear" w:color="auto" w:fill="F5F7FA"/>
            <w:vAlign w:val="center"/>
          </w:tcPr>
          <w:p>
            <w:pPr>
              <w:jc w:val="both"/>
              <w:spacing w:before="30" w:after="30" w:line="280" w:lineRule="auto"/>
              <w:rPr>
                <w:sz w:val="18"/>
              </w:rPr>
            </w:pPr>
            <w:r>
              <w:t xml:space="preserve">定量分离"省份固有差异"与"因子边际效应"，避免把区域基线误读为气候解释力</w:t>
            </w:r>
          </w:p>
        </w:tc>
      </w:tr>
      <w:tr>
        <w:tc>
          <w:tcPr>
            <w:tcW w:w="1505" w:type="dxa"/>
            <w:shd w:val="clear" w:color="auto" w:fill="FFFFFF"/>
            <w:vAlign w:val="center"/>
          </w:tcPr>
          <w:p>
            <w:pPr>
              <w:jc w:val="both"/>
              <w:spacing w:before="30" w:after="30" w:line="280" w:lineRule="auto"/>
              <w:rPr>
                <w:sz w:val="18"/>
              </w:rPr>
            </w:pPr>
            <w:r>
              <w:t xml:space="preserve">边界验证</w:t>
            </w:r>
          </w:p>
        </w:tc>
        <w:tc>
          <w:tcPr>
            <w:tcW w:w="3200" w:type="dxa"/>
            <w:shd w:val="clear" w:color="auto" w:fill="FFFFFF"/>
            <w:vAlign w:val="center"/>
          </w:tcPr>
          <w:p>
            <w:pPr>
              <w:jc w:val="both"/>
              <w:spacing w:before="30" w:after="30" w:line="280" w:lineRule="auto"/>
              <w:rPr>
                <w:sz w:val="18"/>
              </w:rPr>
            </w:pPr>
            <w:r>
              <w:t xml:space="preserve">三协议交叉验证 + 消融实验</w:t>
            </w:r>
          </w:p>
        </w:tc>
        <w:tc>
          <w:tcPr>
            <w:tcW w:w="4706" w:type="dxa"/>
            <w:shd w:val="clear" w:color="auto" w:fill="FFFFFF"/>
            <w:vAlign w:val="center"/>
          </w:tcPr>
          <w:p>
            <w:pPr>
              <w:jc w:val="both"/>
              <w:spacing w:before="30" w:after="30" w:line="280" w:lineRule="auto"/>
              <w:rPr>
                <w:sz w:val="18"/>
              </w:rPr>
            </w:pPr>
            <w:r>
              <w:t xml:space="preserve">主动量化模型在时间外推与空间外推两类场景下的能力差异</w:t>
            </w:r>
          </w:p>
        </w:tc>
      </w:tr>
      <w:tr>
        <w:tc>
          <w:tcPr>
            <w:tcW w:w="1505" w:type="dxa"/>
            <w:shd w:val="clear" w:color="auto" w:fill="F5F7FA"/>
            <w:vAlign w:val="center"/>
          </w:tcPr>
          <w:p>
            <w:pPr>
              <w:jc w:val="both"/>
              <w:spacing w:before="30" w:after="30" w:line="280" w:lineRule="auto"/>
              <w:rPr>
                <w:sz w:val="18"/>
              </w:rPr>
            </w:pPr>
            <w:r>
              <w:t xml:space="preserve">应用交付</w:t>
            </w:r>
          </w:p>
        </w:tc>
        <w:tc>
          <w:tcPr>
            <w:tcW w:w="3200" w:type="dxa"/>
            <w:shd w:val="clear" w:color="auto" w:fill="F5F7FA"/>
            <w:vAlign w:val="center"/>
          </w:tcPr>
          <w:p>
            <w:pPr>
              <w:jc w:val="both"/>
              <w:spacing w:before="30" w:after="30" w:line="280" w:lineRule="auto"/>
              <w:rPr>
                <w:sz w:val="18"/>
              </w:rPr>
            </w:pPr>
            <w:r>
              <w:t xml:space="preserve">Vue 3 + ECharts 前端；Flask 后端；CPU 深度学习框架与梯度提升库</w:t>
            </w:r>
          </w:p>
        </w:tc>
        <w:tc>
          <w:tcPr>
            <w:tcW w:w="4706" w:type="dxa"/>
            <w:shd w:val="clear" w:color="auto" w:fill="F5F7FA"/>
            <w:vAlign w:val="center"/>
          </w:tcPr>
          <w:p>
            <w:pPr>
              <w:jc w:val="both"/>
              <w:spacing w:before="30" w:after="30" w:line="280" w:lineRule="auto"/>
              <w:rPr>
                <w:sz w:val="18"/>
              </w:rPr>
            </w:pPr>
            <w:r>
              <w:t xml:space="preserve">轻量、可部署在普通云主机、无 GPU 依赖，适配基层使用条件</w:t>
            </w:r>
          </w:p>
        </w:tc>
      </w:tr>
      <w:tr>
        <w:tc>
          <w:tcPr>
            <w:tcW w:w="1505" w:type="dxa"/>
            <w:shd w:val="clear" w:color="auto" w:fill="FFFFFF"/>
            <w:vAlign w:val="center"/>
          </w:tcPr>
          <w:p>
            <w:pPr>
              <w:jc w:val="both"/>
              <w:spacing w:before="30" w:after="30" w:line="280" w:lineRule="auto"/>
              <w:rPr>
                <w:sz w:val="18"/>
              </w:rPr>
            </w:pPr>
            <w:r>
              <w:t xml:space="preserve">知识服务</w:t>
            </w:r>
          </w:p>
        </w:tc>
        <w:tc>
          <w:tcPr>
            <w:tcW w:w="3200" w:type="dxa"/>
            <w:shd w:val="clear" w:color="auto" w:fill="FFFFFF"/>
            <w:vAlign w:val="center"/>
          </w:tcPr>
          <w:p>
            <w:pPr>
              <w:jc w:val="both"/>
              <w:spacing w:before="30" w:after="30" w:line="280" w:lineRule="auto"/>
              <w:rPr>
                <w:sz w:val="18"/>
              </w:rPr>
            </w:pPr>
            <w:r>
              <w:t xml:space="preserve">中文嵌入模型 + BM25 混合检索与重排 + 大模型生成</w:t>
            </w:r>
          </w:p>
        </w:tc>
        <w:tc>
          <w:tcPr>
            <w:tcW w:w="4706" w:type="dxa"/>
            <w:shd w:val="clear" w:color="auto" w:fill="FFFFFF"/>
            <w:vAlign w:val="center"/>
          </w:tcPr>
          <w:p>
            <w:pPr>
              <w:jc w:val="both"/>
              <w:spacing w:before="30" w:after="30" w:line="280" w:lineRule="auto"/>
              <w:rPr>
                <w:sz w:val="18"/>
              </w:rPr>
            </w:pPr>
            <w:r>
              <w:t xml:space="preserve">把方法论文档与公开技术资料变成可自然语言检索的知识库，降低基层使用者的理解门槛</w:t>
            </w:r>
          </w:p>
        </w:tc>
      </w:tr>
    </w:tbl>
    <w:p>
      <w:pPr>
        <w:pStyle w:val="Body"/>
        <w:jc w:val="left"/>
        <w:spacing w:before="0" w:after="40" w:line="320" w:lineRule="auto"/>
      </w:pPr>
    </w:p>
    <w:p>
      <w:pPr>
        <w:pStyle w:val="Body"/>
        <w:jc w:val="both"/>
        <w:spacing w:before="0" w:after="80" w:line="320" w:lineRule="auto"/>
      </w:pPr>
      <w:r>
        <w:rPr>
          <w:b/>
        </w:rPr>
        <w:t xml:space="preserve">技术选型的一个关键判断：</w:t>
      </w:r>
      <w:r>
        <w:t xml:space="preserve">本作品刻意</w:t>
      </w:r>
      <w:r>
        <w:rPr>
          <w:b/>
        </w:rPr>
        <w:t xml:space="preserve">没有</w:t>
      </w:r>
      <w:r>
        <w:t xml:space="preserve">选择"堆叠更大的模型"。原因是在 N = 403 的省级面板上，更大的模型只会更充分地记住 31 个省份的基线差异，而不会带来可迁移的气候—产量知识。后文混合效应校核对此给出了定量证据：省份基线解释了约 97% 的总方差。因此本作品把算力投入"归因对照与边界验证"，而不是"刷高拟合分数"。</w:t>
      </w:r>
    </w:p>
    <w:p>
      <w:pPr>
        <w:pStyle w:val="Heading1"/>
        <w:pageBreakBefore/>
        <w:jc w:val="left"/>
        <w:spacing w:before="0" w:after="100" w:line="320" w:lineRule="auto"/>
      </w:pPr>
      <w:r>
        <w:t xml:space="preserve">四、项目实施</w:t>
      </w:r>
    </w:p>
    <w:p>
      <w:pPr>
        <w:pStyle w:val="Heading2"/>
        <w:jc w:val="left"/>
        <w:spacing w:before="120" w:after="100" w:line="320" w:lineRule="auto"/>
      </w:pPr>
      <w:r>
        <w:t xml:space="preserve">4.1 实施方案设计</w:t>
      </w:r>
    </w:p>
    <w:p>
      <w:pPr>
        <w:pStyle w:val="Caption"/>
        <w:jc w:val="center"/>
        <w:spacing w:before="0" w:after="60" w:line="320" w:lineRule="auto"/>
      </w:pPr>
      <w:r>
        <w:rPr>
          <w:sz w:val="18"/>
          <w:szCs w:val="18"/>
        </w:rPr>
        <w:t xml:space="preserve">表 4　分阶段实施方案</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505"/>
        <w:gridCol w:w="3953"/>
        <w:gridCol w:w="1505"/>
        <w:gridCol w:w="2447"/>
      </w:tblGrid>
      <w:tr>
        <w:trPr>
          <w:tblHeader/>
        </w:trPr>
        <w:tc>
          <w:tcPr>
            <w:tcW w:w="1505" w:type="dxa"/>
            <w:shd w:val="clear" w:color="auto" w:fill="1F3864"/>
            <w:vAlign w:val="center"/>
          </w:tcPr>
          <w:p>
            <w:pPr>
              <w:jc w:val="center"/>
              <w:spacing w:before="30" w:after="30" w:line="280" w:lineRule="auto"/>
              <w:rPr>
                <w:sz w:val="18"/>
              </w:rPr>
            </w:pPr>
            <w:r>
              <w:rPr>
                <w:color w:val="FFFFFF"/>
                <w:b/>
              </w:rPr>
              <w:t xml:space="preserve">阶段</w:t>
            </w:r>
          </w:p>
        </w:tc>
        <w:tc>
          <w:tcPr>
            <w:tcW w:w="3953" w:type="dxa"/>
            <w:shd w:val="clear" w:color="auto" w:fill="1F3864"/>
            <w:vAlign w:val="center"/>
          </w:tcPr>
          <w:p>
            <w:pPr>
              <w:jc w:val="center"/>
              <w:spacing w:before="30" w:after="30" w:line="280" w:lineRule="auto"/>
              <w:rPr>
                <w:sz w:val="18"/>
              </w:rPr>
            </w:pPr>
            <w:r>
              <w:rPr>
                <w:color w:val="FFFFFF"/>
                <w:b/>
              </w:rPr>
              <w:t xml:space="preserve">主要工作</w:t>
            </w:r>
          </w:p>
        </w:tc>
        <w:tc>
          <w:tcPr>
            <w:tcW w:w="1505" w:type="dxa"/>
            <w:shd w:val="clear" w:color="auto" w:fill="1F3864"/>
            <w:vAlign w:val="center"/>
          </w:tcPr>
          <w:p>
            <w:pPr>
              <w:jc w:val="center"/>
              <w:spacing w:before="30" w:after="30" w:line="280" w:lineRule="auto"/>
              <w:rPr>
                <w:sz w:val="18"/>
              </w:rPr>
            </w:pPr>
            <w:r>
              <w:rPr>
                <w:color w:val="FFFFFF"/>
                <w:b/>
              </w:rPr>
              <w:t xml:space="preserve">时间安排</w:t>
            </w:r>
          </w:p>
        </w:tc>
        <w:tc>
          <w:tcPr>
            <w:tcW w:w="2447" w:type="dxa"/>
            <w:shd w:val="clear" w:color="auto" w:fill="1F3864"/>
            <w:vAlign w:val="center"/>
          </w:tcPr>
          <w:p>
            <w:pPr>
              <w:jc w:val="center"/>
              <w:spacing w:before="30" w:after="30" w:line="280" w:lineRule="auto"/>
              <w:rPr>
                <w:sz w:val="18"/>
              </w:rPr>
            </w:pPr>
            <w:r>
              <w:rPr>
                <w:color w:val="FFFFFF"/>
                <w:b/>
              </w:rPr>
              <w:t xml:space="preserve">资源与分工</w:t>
            </w:r>
          </w:p>
        </w:tc>
      </w:tr>
      <w:tr>
        <w:tc>
          <w:tcPr>
            <w:tcW w:w="1505" w:type="dxa"/>
            <w:shd w:val="clear" w:color="auto" w:fill="F5F7FA"/>
            <w:vAlign w:val="center"/>
          </w:tcPr>
          <w:p>
            <w:pPr>
              <w:jc w:val="both"/>
              <w:spacing w:before="30" w:after="30" w:line="280" w:lineRule="auto"/>
              <w:rPr>
                <w:sz w:val="18"/>
              </w:rPr>
            </w:pPr>
            <w:r>
              <w:t xml:space="preserve">一 · 数据底座</w:t>
            </w:r>
          </w:p>
        </w:tc>
        <w:tc>
          <w:tcPr>
            <w:tcW w:w="3953" w:type="dxa"/>
            <w:shd w:val="clear" w:color="auto" w:fill="F5F7FA"/>
            <w:vAlign w:val="center"/>
          </w:tcPr>
          <w:p>
            <w:pPr>
              <w:jc w:val="both"/>
              <w:spacing w:before="30" w:after="30" w:line="280" w:lineRule="auto"/>
              <w:rPr>
                <w:sz w:val="18"/>
              </w:rPr>
            </w:pPr>
            <w:r>
              <w:t xml:space="preserve">四类数据源采集；栅格按省域 + 耕地像元加权聚合；气象站点加权平均；缺失值插值与标准化</w:t>
            </w:r>
          </w:p>
        </w:tc>
        <w:tc>
          <w:tcPr>
            <w:tcW w:w="1505" w:type="dxa"/>
            <w:shd w:val="clear" w:color="auto" w:fill="F5F7FA"/>
            <w:vAlign w:val="center"/>
          </w:tcPr>
          <w:p>
            <w:pPr>
              <w:jc w:val="both"/>
              <w:spacing w:before="30" w:after="30" w:line="280" w:lineRule="auto"/>
              <w:rPr>
                <w:sz w:val="18"/>
              </w:rPr>
            </w:pPr>
            <w:r>
              <w:t xml:space="preserve">约 1/4 周期</w:t>
            </w:r>
          </w:p>
        </w:tc>
        <w:tc>
          <w:tcPr>
            <w:tcW w:w="2447" w:type="dxa"/>
            <w:shd w:val="clear" w:color="auto" w:fill="F5F7FA"/>
            <w:vAlign w:val="center"/>
          </w:tcPr>
          <w:p>
            <w:pPr>
              <w:jc w:val="both"/>
              <w:spacing w:before="30" w:after="30" w:line="280" w:lineRule="auto"/>
              <w:rPr>
                <w:sz w:val="18"/>
              </w:rPr>
            </w:pPr>
            <w:r>
              <w:t xml:space="preserve">数据负责人主责，算法负责人复核口径</w:t>
            </w:r>
          </w:p>
        </w:tc>
      </w:tr>
      <w:tr>
        <w:tc>
          <w:tcPr>
            <w:tcW w:w="1505" w:type="dxa"/>
            <w:shd w:val="clear" w:color="auto" w:fill="FFFFFF"/>
            <w:vAlign w:val="center"/>
          </w:tcPr>
          <w:p>
            <w:pPr>
              <w:jc w:val="both"/>
              <w:spacing w:before="30" w:after="30" w:line="280" w:lineRule="auto"/>
              <w:rPr>
                <w:sz w:val="18"/>
              </w:rPr>
            </w:pPr>
            <w:r>
              <w:t xml:space="preserve">二 · 预测建模</w:t>
            </w:r>
          </w:p>
        </w:tc>
        <w:tc>
          <w:tcPr>
            <w:tcW w:w="3953" w:type="dxa"/>
            <w:shd w:val="clear" w:color="auto" w:fill="FFFFFF"/>
            <w:vAlign w:val="center"/>
          </w:tcPr>
          <w:p>
            <w:pPr>
              <w:jc w:val="both"/>
              <w:spacing w:before="30" w:after="30" w:line="280" w:lineRule="auto"/>
              <w:rPr>
                <w:sz w:val="18"/>
              </w:rPr>
            </w:pPr>
            <w:r>
              <w:t xml:space="preserve">XGBoost / LSTM / Attention-LSTM 三模型训练；超参与随机种子记录</w:t>
            </w:r>
          </w:p>
        </w:tc>
        <w:tc>
          <w:tcPr>
            <w:tcW w:w="1505" w:type="dxa"/>
            <w:shd w:val="clear" w:color="auto" w:fill="FFFFFF"/>
            <w:vAlign w:val="center"/>
          </w:tcPr>
          <w:p>
            <w:pPr>
              <w:jc w:val="both"/>
              <w:spacing w:before="30" w:after="30" w:line="280" w:lineRule="auto"/>
              <w:rPr>
                <w:sz w:val="18"/>
              </w:rPr>
            </w:pPr>
            <w:r>
              <w:t xml:space="preserve">约 1/4 周期</w:t>
            </w:r>
          </w:p>
        </w:tc>
        <w:tc>
          <w:tcPr>
            <w:tcW w:w="2447" w:type="dxa"/>
            <w:shd w:val="clear" w:color="auto" w:fill="FFFFFF"/>
            <w:vAlign w:val="center"/>
          </w:tcPr>
          <w:p>
            <w:pPr>
              <w:jc w:val="both"/>
              <w:spacing w:before="30" w:after="30" w:line="280" w:lineRule="auto"/>
              <w:rPr>
                <w:sz w:val="18"/>
              </w:rPr>
            </w:pPr>
            <w:r>
              <w:t xml:space="preserve">算法负责人主责</w:t>
            </w:r>
          </w:p>
        </w:tc>
      </w:tr>
      <w:tr>
        <w:tc>
          <w:tcPr>
            <w:tcW w:w="1505" w:type="dxa"/>
            <w:shd w:val="clear" w:color="auto" w:fill="F5F7FA"/>
            <w:vAlign w:val="center"/>
          </w:tcPr>
          <w:p>
            <w:pPr>
              <w:jc w:val="both"/>
              <w:spacing w:before="30" w:after="30" w:line="280" w:lineRule="auto"/>
              <w:rPr>
                <w:sz w:val="18"/>
              </w:rPr>
            </w:pPr>
            <w:r>
              <w:t xml:space="preserve">三 · 归因与校核</w:t>
            </w:r>
          </w:p>
        </w:tc>
        <w:tc>
          <w:tcPr>
            <w:tcW w:w="3953" w:type="dxa"/>
            <w:shd w:val="clear" w:color="auto" w:fill="F5F7FA"/>
            <w:vAlign w:val="center"/>
          </w:tcPr>
          <w:p>
            <w:pPr>
              <w:jc w:val="both"/>
              <w:spacing w:before="30" w:after="30" w:line="280" w:lineRule="auto"/>
              <w:rPr>
                <w:sz w:val="18"/>
              </w:rPr>
            </w:pPr>
            <w:r>
              <w:t xml:space="preserve">SHAP 全量归因、注意力权重提取、混合效应方差分解</w:t>
            </w:r>
          </w:p>
        </w:tc>
        <w:tc>
          <w:tcPr>
            <w:tcW w:w="1505" w:type="dxa"/>
            <w:shd w:val="clear" w:color="auto" w:fill="F5F7FA"/>
            <w:vAlign w:val="center"/>
          </w:tcPr>
          <w:p>
            <w:pPr>
              <w:jc w:val="both"/>
              <w:spacing w:before="30" w:after="30" w:line="280" w:lineRule="auto"/>
              <w:rPr>
                <w:sz w:val="18"/>
              </w:rPr>
            </w:pPr>
            <w:r>
              <w:t xml:space="preserve">与阶段二交叠</w:t>
            </w:r>
          </w:p>
        </w:tc>
        <w:tc>
          <w:tcPr>
            <w:tcW w:w="2447" w:type="dxa"/>
            <w:shd w:val="clear" w:color="auto" w:fill="F5F7FA"/>
            <w:vAlign w:val="center"/>
          </w:tcPr>
          <w:p>
            <w:pPr>
              <w:jc w:val="both"/>
              <w:spacing w:before="30" w:after="30" w:line="280" w:lineRule="auto"/>
              <w:rPr>
                <w:sz w:val="18"/>
              </w:rPr>
            </w:pPr>
            <w:r>
              <w:t xml:space="preserve">算法负责人主责，数据负责人复核</w:t>
            </w:r>
          </w:p>
        </w:tc>
      </w:tr>
      <w:tr>
        <w:tc>
          <w:tcPr>
            <w:tcW w:w="1505" w:type="dxa"/>
            <w:shd w:val="clear" w:color="auto" w:fill="FFFFFF"/>
            <w:vAlign w:val="center"/>
          </w:tcPr>
          <w:p>
            <w:pPr>
              <w:jc w:val="both"/>
              <w:spacing w:before="30" w:after="30" w:line="280" w:lineRule="auto"/>
              <w:rPr>
                <w:sz w:val="18"/>
              </w:rPr>
            </w:pPr>
            <w:r>
              <w:t xml:space="preserve">四 · 边界验证</w:t>
            </w:r>
          </w:p>
        </w:tc>
        <w:tc>
          <w:tcPr>
            <w:tcW w:w="3953" w:type="dxa"/>
            <w:shd w:val="clear" w:color="auto" w:fill="FFFFFF"/>
            <w:vAlign w:val="center"/>
          </w:tcPr>
          <w:p>
            <w:pPr>
              <w:jc w:val="both"/>
              <w:spacing w:before="30" w:after="30" w:line="280" w:lineRule="auto"/>
              <w:rPr>
                <w:sz w:val="18"/>
              </w:rPr>
            </w:pPr>
            <w:r>
              <w:t xml:space="preserve">random 8:2 / leave-year-out / leave-province-out 三协议；植被指数消融</w:t>
            </w:r>
          </w:p>
        </w:tc>
        <w:tc>
          <w:tcPr>
            <w:tcW w:w="1505" w:type="dxa"/>
            <w:shd w:val="clear" w:color="auto" w:fill="FFFFFF"/>
            <w:vAlign w:val="center"/>
          </w:tcPr>
          <w:p>
            <w:pPr>
              <w:jc w:val="both"/>
              <w:spacing w:before="30" w:after="30" w:line="280" w:lineRule="auto"/>
              <w:rPr>
                <w:sz w:val="18"/>
              </w:rPr>
            </w:pPr>
            <w:r>
              <w:t xml:space="preserve">约 1/8 周期</w:t>
            </w:r>
          </w:p>
        </w:tc>
        <w:tc>
          <w:tcPr>
            <w:tcW w:w="2447" w:type="dxa"/>
            <w:shd w:val="clear" w:color="auto" w:fill="FFFFFF"/>
            <w:vAlign w:val="center"/>
          </w:tcPr>
          <w:p>
            <w:pPr>
              <w:jc w:val="both"/>
              <w:spacing w:before="30" w:after="30" w:line="280" w:lineRule="auto"/>
              <w:rPr>
                <w:sz w:val="18"/>
              </w:rPr>
            </w:pPr>
            <w:r>
              <w:t xml:space="preserve">算法负责人主责</w:t>
            </w:r>
          </w:p>
        </w:tc>
      </w:tr>
      <w:tr>
        <w:tc>
          <w:tcPr>
            <w:tcW w:w="1505" w:type="dxa"/>
            <w:shd w:val="clear" w:color="auto" w:fill="F5F7FA"/>
            <w:vAlign w:val="center"/>
          </w:tcPr>
          <w:p>
            <w:pPr>
              <w:jc w:val="both"/>
              <w:spacing w:before="30" w:after="30" w:line="280" w:lineRule="auto"/>
              <w:rPr>
                <w:sz w:val="18"/>
              </w:rPr>
            </w:pPr>
            <w:r>
              <w:t xml:space="preserve">五 · 系统开发</w:t>
            </w:r>
          </w:p>
        </w:tc>
        <w:tc>
          <w:tcPr>
            <w:tcW w:w="3953" w:type="dxa"/>
            <w:shd w:val="clear" w:color="auto" w:fill="F5F7FA"/>
            <w:vAlign w:val="center"/>
          </w:tcPr>
          <w:p>
            <w:pPr>
              <w:jc w:val="both"/>
              <w:spacing w:before="30" w:after="30" w:line="280" w:lineRule="auto"/>
              <w:rPr>
                <w:sz w:val="18"/>
              </w:rPr>
            </w:pPr>
            <w:r>
              <w:t xml:space="preserve">API 化封装；前端 7 模块；安全与无障碍加固；部署上线</w:t>
            </w:r>
          </w:p>
        </w:tc>
        <w:tc>
          <w:tcPr>
            <w:tcW w:w="1505" w:type="dxa"/>
            <w:shd w:val="clear" w:color="auto" w:fill="F5F7FA"/>
            <w:vAlign w:val="center"/>
          </w:tcPr>
          <w:p>
            <w:pPr>
              <w:jc w:val="both"/>
              <w:spacing w:before="30" w:after="30" w:line="280" w:lineRule="auto"/>
              <w:rPr>
                <w:sz w:val="18"/>
              </w:rPr>
            </w:pPr>
            <w:r>
              <w:t xml:space="preserve">约 1/4 周期</w:t>
            </w:r>
          </w:p>
        </w:tc>
        <w:tc>
          <w:tcPr>
            <w:tcW w:w="2447" w:type="dxa"/>
            <w:shd w:val="clear" w:color="auto" w:fill="F5F7FA"/>
            <w:vAlign w:val="center"/>
          </w:tcPr>
          <w:p>
            <w:pPr>
              <w:jc w:val="both"/>
              <w:spacing w:before="30" w:after="30" w:line="280" w:lineRule="auto"/>
              <w:rPr>
                <w:sz w:val="18"/>
              </w:rPr>
            </w:pPr>
            <w:r>
              <w:t xml:space="preserve">系统负责人主责，文档负责人配合</w:t>
            </w:r>
          </w:p>
        </w:tc>
      </w:tr>
      <w:tr>
        <w:tc>
          <w:tcPr>
            <w:tcW w:w="1505" w:type="dxa"/>
            <w:shd w:val="clear" w:color="auto" w:fill="FFFFFF"/>
            <w:vAlign w:val="center"/>
          </w:tcPr>
          <w:p>
            <w:pPr>
              <w:jc w:val="both"/>
              <w:spacing w:before="30" w:after="30" w:line="280" w:lineRule="auto"/>
              <w:rPr>
                <w:sz w:val="18"/>
              </w:rPr>
            </w:pPr>
            <w:r>
              <w:t xml:space="preserve">六 · 验证固化</w:t>
            </w:r>
          </w:p>
        </w:tc>
        <w:tc>
          <w:tcPr>
            <w:tcW w:w="3953" w:type="dxa"/>
            <w:shd w:val="clear" w:color="auto" w:fill="FFFFFF"/>
            <w:vAlign w:val="center"/>
          </w:tcPr>
          <w:p>
            <w:pPr>
              <w:jc w:val="both"/>
              <w:spacing w:before="30" w:after="30" w:line="280" w:lineRule="auto"/>
              <w:rPr>
                <w:sz w:val="18"/>
              </w:rPr>
            </w:pPr>
            <w:r>
              <w:t xml:space="preserve">真值单点校验、响应时延实测、模型卡与操作手册齐备</w:t>
            </w:r>
          </w:p>
        </w:tc>
        <w:tc>
          <w:tcPr>
            <w:tcW w:w="1505" w:type="dxa"/>
            <w:shd w:val="clear" w:color="auto" w:fill="FFFFFF"/>
            <w:vAlign w:val="center"/>
          </w:tcPr>
          <w:p>
            <w:pPr>
              <w:jc w:val="both"/>
              <w:spacing w:before="30" w:after="30" w:line="280" w:lineRule="auto"/>
              <w:rPr>
                <w:sz w:val="18"/>
              </w:rPr>
            </w:pPr>
            <w:r>
              <w:t xml:space="preserve">收尾</w:t>
            </w:r>
          </w:p>
        </w:tc>
        <w:tc>
          <w:tcPr>
            <w:tcW w:w="2447" w:type="dxa"/>
            <w:shd w:val="clear" w:color="auto" w:fill="FFFFFF"/>
            <w:vAlign w:val="center"/>
          </w:tcPr>
          <w:p>
            <w:pPr>
              <w:jc w:val="both"/>
              <w:spacing w:before="30" w:after="30" w:line="280" w:lineRule="auto"/>
              <w:rPr>
                <w:sz w:val="18"/>
              </w:rPr>
            </w:pPr>
            <w:r>
              <w:t xml:space="preserve">全员</w:t>
            </w:r>
          </w:p>
        </w:tc>
      </w:tr>
    </w:tbl>
    <w:p>
      <w:pPr>
        <w:pStyle w:val="Body"/>
        <w:jc w:val="left"/>
        <w:spacing w:before="0" w:after="40" w:line="320" w:lineRule="auto"/>
      </w:pPr>
    </w:p>
    <w:p>
      <w:pPr>
        <w:pStyle w:val="Heading2"/>
        <w:jc w:val="left"/>
        <w:spacing w:before="120" w:after="100" w:line="320" w:lineRule="auto"/>
      </w:pPr>
      <w:r>
        <w:t xml:space="preserve">4.2 关键技术实现</w:t>
      </w:r>
    </w:p>
    <w:p>
      <w:pPr>
        <w:pStyle w:val="Heading3"/>
        <w:jc w:val="left"/>
        <w:spacing w:before="0" w:after="100" w:line="320" w:lineRule="auto"/>
      </w:pPr>
      <w:r>
        <w:t xml:space="preserve">（1）多源农业数据的时空对齐</w:t>
      </w:r>
    </w:p>
    <w:p>
      <w:pPr>
        <w:pStyle w:val="Body"/>
        <w:jc w:val="both"/>
        <w:spacing w:before="0" w:after="80" w:line="320" w:lineRule="auto"/>
      </w:pPr>
      <w:r>
        <w:t xml:space="preserve">四类数据统一到"省份 × 年度"口径。栅格遥感（植被指数、地表温度）按省域行政边界聚合，并进一步以</w:t>
      </w:r>
      <w:r>
        <w:rPr>
          <w:b/>
        </w:rPr>
        <w:t xml:space="preserve">耕地像元权重</w:t>
      </w:r>
      <w:r>
        <w:t xml:space="preserve">加权，确保省均值反映的是耕地上的作物状态而非全省平均状态；气象站点数据按省域多站点加权平均；统计与致灾数据按年鉴口径直接取用。缺失值采用线性插值，全列 Z-score 标准化，标准化器与模型文件一并留档，保证线上推理与离线评估口径一致。</w:t>
      </w:r>
    </w:p>
    <w:p>
      <w:pPr>
        <w:pStyle w:val="Heading3"/>
        <w:jc w:val="left"/>
        <w:spacing w:before="0" w:after="100" w:line="320" w:lineRule="auto"/>
      </w:pPr>
      <w:r>
        <w:t xml:space="preserve">（2）机理—数据耦合的指标体系</w:t>
      </w:r>
    </w:p>
    <w:p>
      <w:pPr>
        <w:pStyle w:val="Body"/>
        <w:jc w:val="both"/>
        <w:spacing w:before="0" w:after="80" w:line="320" w:lineRule="auto"/>
      </w:pPr>
      <w:r>
        <w:t xml:space="preserve">11 维特征并非纯数据驱动筛选，而是按"气象致灾（气温、降水、日照、标准化降水蒸散指数 SPEI）— 遥感长势（植被指数、地表温度）— 生产投入（灌溉率、机械化率、化肥施用量）— 实际灾情（旱灾面积、水灾面积）"的农学因果链条组织。其中 SPEI 本身是</w:t>
      </w:r>
      <w:r>
        <w:rPr>
          <w:b/>
        </w:rPr>
        <w:t xml:space="preserve">机理型干旱指标</w:t>
      </w:r>
      <w:r>
        <w:t xml:space="preserve">（基于降水与蒸散差的标准化），将其与数据驱动模型结合，是"机理—数据耦合"的具体落地：模型不必从零学习干旱的物理含义，只需学习干旱强度与产量偏离之间的区域化映射。</w:t>
      </w:r>
    </w:p>
    <w:p>
      <w:pPr>
        <w:pStyle w:val="Heading3"/>
        <w:jc w:val="left"/>
        <w:spacing w:before="0" w:after="100" w:line="320" w:lineRule="auto"/>
      </w:pPr>
      <w:r>
        <w:t xml:space="preserve">（3）三模型互补归因架构</w:t>
      </w:r>
    </w:p>
    <w:p>
      <w:pPr>
        <w:pStyle w:val="Body"/>
        <w:jc w:val="both"/>
        <w:spacing w:before="0" w:after="80" w:line="320" w:lineRule="auto"/>
      </w:pPr>
      <w:r>
        <w:t xml:space="preserve">三个原理完全不同的模型各自承担不同任务，而非追求结论一致。</w:t>
      </w:r>
    </w:p>
    <w:p>
      <w:pPr>
        <w:pStyle w:val="Caption"/>
        <w:jc w:val="center"/>
        <w:spacing w:before="0" w:after="60" w:line="320" w:lineRule="auto"/>
      </w:pPr>
      <w:r>
        <w:rPr>
          <w:sz w:val="18"/>
          <w:szCs w:val="18"/>
        </w:rPr>
        <w:t xml:space="preserve">表 5　三模型的角色分工</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2258"/>
        <w:gridCol w:w="3200"/>
        <w:gridCol w:w="3953"/>
      </w:tblGrid>
      <w:tr>
        <w:trPr>
          <w:tblHeader/>
        </w:trPr>
        <w:tc>
          <w:tcPr>
            <w:tcW w:w="2258" w:type="dxa"/>
            <w:shd w:val="clear" w:color="auto" w:fill="1F3864"/>
            <w:vAlign w:val="center"/>
          </w:tcPr>
          <w:p>
            <w:pPr>
              <w:jc w:val="center"/>
              <w:spacing w:before="30" w:after="30" w:line="280" w:lineRule="auto"/>
              <w:rPr>
                <w:sz w:val="18"/>
              </w:rPr>
            </w:pPr>
            <w:r>
              <w:rPr>
                <w:color w:val="FFFFFF"/>
                <w:b/>
              </w:rPr>
              <w:t xml:space="preserve">模型</w:t>
            </w:r>
          </w:p>
        </w:tc>
        <w:tc>
          <w:tcPr>
            <w:tcW w:w="3200" w:type="dxa"/>
            <w:shd w:val="clear" w:color="auto" w:fill="1F3864"/>
            <w:vAlign w:val="center"/>
          </w:tcPr>
          <w:p>
            <w:pPr>
              <w:jc w:val="center"/>
              <w:spacing w:before="30" w:after="30" w:line="280" w:lineRule="auto"/>
              <w:rPr>
                <w:sz w:val="18"/>
              </w:rPr>
            </w:pPr>
            <w:r>
              <w:rPr>
                <w:color w:val="FFFFFF"/>
                <w:b/>
              </w:rPr>
              <w:t xml:space="preserve">承担任务</w:t>
            </w:r>
          </w:p>
        </w:tc>
        <w:tc>
          <w:tcPr>
            <w:tcW w:w="3953" w:type="dxa"/>
            <w:shd w:val="clear" w:color="auto" w:fill="1F3864"/>
            <w:vAlign w:val="center"/>
          </w:tcPr>
          <w:p>
            <w:pPr>
              <w:jc w:val="center"/>
              <w:spacing w:before="30" w:after="30" w:line="280" w:lineRule="auto"/>
              <w:rPr>
                <w:sz w:val="18"/>
              </w:rPr>
            </w:pPr>
            <w:r>
              <w:rPr>
                <w:color w:val="FFFFFF"/>
                <w:b/>
              </w:rPr>
              <w:t xml:space="preserve">回答的问题</w:t>
            </w:r>
          </w:p>
        </w:tc>
      </w:tr>
      <w:tr>
        <w:tc>
          <w:tcPr>
            <w:tcW w:w="2258" w:type="dxa"/>
            <w:shd w:val="clear" w:color="auto" w:fill="F5F7FA"/>
            <w:vAlign w:val="center"/>
          </w:tcPr>
          <w:p>
            <w:pPr>
              <w:jc w:val="both"/>
              <w:spacing w:before="30" w:after="30" w:line="280" w:lineRule="auto"/>
              <w:rPr>
                <w:sz w:val="18"/>
              </w:rPr>
            </w:pPr>
            <w:r>
              <w:t xml:space="preserve">XGBoost-SHAP</w:t>
            </w:r>
          </w:p>
        </w:tc>
        <w:tc>
          <w:tcPr>
            <w:tcW w:w="3200" w:type="dxa"/>
            <w:shd w:val="clear" w:color="auto" w:fill="F5F7FA"/>
            <w:vAlign w:val="center"/>
          </w:tcPr>
          <w:p>
            <w:pPr>
              <w:jc w:val="both"/>
              <w:spacing w:before="30" w:after="30" w:line="280" w:lineRule="auto"/>
              <w:rPr>
                <w:sz w:val="18"/>
              </w:rPr>
            </w:pPr>
            <w:r>
              <w:t xml:space="preserve">横截面边际贡献归因</w:t>
            </w:r>
          </w:p>
        </w:tc>
        <w:tc>
          <w:tcPr>
            <w:tcW w:w="3953" w:type="dxa"/>
            <w:shd w:val="clear" w:color="auto" w:fill="F5F7FA"/>
            <w:vAlign w:val="center"/>
          </w:tcPr>
          <w:p>
            <w:pPr>
              <w:jc w:val="both"/>
              <w:spacing w:before="30" w:after="30" w:line="280" w:lineRule="auto"/>
              <w:rPr>
                <w:sz w:val="18"/>
              </w:rPr>
            </w:pPr>
            <w:r>
              <w:t xml:space="preserve">去掉某因子，预测误差会变化多少</w:t>
            </w:r>
          </w:p>
        </w:tc>
      </w:tr>
      <w:tr>
        <w:tc>
          <w:tcPr>
            <w:tcW w:w="2258" w:type="dxa"/>
            <w:shd w:val="clear" w:color="auto" w:fill="FFFFFF"/>
            <w:vAlign w:val="center"/>
          </w:tcPr>
          <w:p>
            <w:pPr>
              <w:jc w:val="both"/>
              <w:spacing w:before="30" w:after="30" w:line="280" w:lineRule="auto"/>
              <w:rPr>
                <w:sz w:val="18"/>
              </w:rPr>
            </w:pPr>
            <w:r>
              <w:t xml:space="preserve">LSTM（基线）</w:t>
            </w:r>
          </w:p>
        </w:tc>
        <w:tc>
          <w:tcPr>
            <w:tcW w:w="3200" w:type="dxa"/>
            <w:shd w:val="clear" w:color="auto" w:fill="FFFFFF"/>
            <w:vAlign w:val="center"/>
          </w:tcPr>
          <w:p>
            <w:pPr>
              <w:jc w:val="both"/>
              <w:spacing w:before="30" w:after="30" w:line="280" w:lineRule="auto"/>
              <w:rPr>
                <w:sz w:val="18"/>
              </w:rPr>
            </w:pPr>
            <w:r>
              <w:t xml:space="preserve">时序拟合参照</w:t>
            </w:r>
          </w:p>
        </w:tc>
        <w:tc>
          <w:tcPr>
            <w:tcW w:w="3953" w:type="dxa"/>
            <w:shd w:val="clear" w:color="auto" w:fill="FFFFFF"/>
            <w:vAlign w:val="center"/>
          </w:tcPr>
          <w:p>
            <w:pPr>
              <w:jc w:val="both"/>
              <w:spacing w:before="30" w:after="30" w:line="280" w:lineRule="auto"/>
              <w:rPr>
                <w:sz w:val="18"/>
              </w:rPr>
            </w:pPr>
            <w:r>
              <w:t xml:space="preserve">作为注意力模型的同源对照基线</w:t>
            </w:r>
          </w:p>
        </w:tc>
      </w:tr>
      <w:tr>
        <w:tc>
          <w:tcPr>
            <w:tcW w:w="2258" w:type="dxa"/>
            <w:shd w:val="clear" w:color="auto" w:fill="F5F7FA"/>
            <w:vAlign w:val="center"/>
          </w:tcPr>
          <w:p>
            <w:pPr>
              <w:jc w:val="both"/>
              <w:spacing w:before="30" w:after="30" w:line="280" w:lineRule="auto"/>
              <w:rPr>
                <w:sz w:val="18"/>
              </w:rPr>
            </w:pPr>
            <w:r>
              <w:t xml:space="preserve">Attention-LSTM</w:t>
            </w:r>
          </w:p>
        </w:tc>
        <w:tc>
          <w:tcPr>
            <w:tcW w:w="3200" w:type="dxa"/>
            <w:shd w:val="clear" w:color="auto" w:fill="F5F7FA"/>
            <w:vAlign w:val="center"/>
          </w:tcPr>
          <w:p>
            <w:pPr>
              <w:jc w:val="both"/>
              <w:spacing w:before="30" w:after="30" w:line="280" w:lineRule="auto"/>
              <w:rPr>
                <w:sz w:val="18"/>
              </w:rPr>
            </w:pPr>
            <w:r>
              <w:t xml:space="preserve">内部 gating 偏好揭示</w:t>
            </w:r>
          </w:p>
        </w:tc>
        <w:tc>
          <w:tcPr>
            <w:tcW w:w="3953" w:type="dxa"/>
            <w:shd w:val="clear" w:color="auto" w:fill="F5F7FA"/>
            <w:vAlign w:val="center"/>
          </w:tcPr>
          <w:p>
            <w:pPr>
              <w:jc w:val="both"/>
              <w:spacing w:before="30" w:after="30" w:line="280" w:lineRule="auto"/>
              <w:rPr>
                <w:sz w:val="18"/>
              </w:rPr>
            </w:pPr>
            <w:r>
              <w:t xml:space="preserve">模型主动把权重分配给哪些因子</w:t>
            </w:r>
          </w:p>
        </w:tc>
      </w:tr>
    </w:tbl>
    <w:p>
      <w:pPr>
        <w:pStyle w:val="Body"/>
        <w:jc w:val="left"/>
        <w:spacing w:before="0" w:after="40" w:line="320" w:lineRule="auto"/>
      </w:pPr>
    </w:p>
    <w:p>
      <w:pPr>
        <w:pStyle w:val="Body"/>
        <w:jc w:val="both"/>
        <w:spacing w:before="0" w:after="80" w:line="320" w:lineRule="auto"/>
      </w:pPr>
      <w:r>
        <w:t xml:space="preserve">针对省级年度面板时间步退化为 1 的情况，将常规时间步注意力改造为</w:t>
      </w:r>
      <w:r>
        <w:rPr>
          <w:b/>
        </w:rPr>
        <w:t xml:space="preserve">特征级注意力门控</w:t>
      </w:r>
      <w:r>
        <w:t xml:space="preserve">：</w:t>
      </w:r>
    </w:p>
    <w:p>
      <w:pPr>
        <w:pStyle w:val="Body"/>
        <w:jc w:val="both"/>
        <w:spacing w:before="0" w:after="80" w:line="320" w:lineRule="auto"/>
      </w:pPr>
      <w:r>
        <w:t xml:space="preserve">e</w:t>
      </w:r>
      <w:r>
        <w:t xml:space="preserve">j</w:t>
      </w:r>
      <w:r>
        <w:t xml:space="preserve">= v</w:t>
      </w:r>
      <w:r>
        <w:t xml:space="preserve">T</w:t>
      </w:r>
      <w:r>
        <w:t xml:space="preserve">tanh(W</w:t>
      </w:r>
      <w:r>
        <w:t xml:space="preserve">h</w:t>
      </w:r>
      <w:r>
        <w:t xml:space="preserve">x</w:t>
      </w:r>
      <w:r>
        <w:t xml:space="preserve">j</w:t>
      </w:r>
      <w:r>
        <w:t xml:space="preserve">+ b</w:t>
      </w:r>
      <w:r>
        <w:t xml:space="preserve">h</w:t>
      </w:r>
      <w:r>
        <w:t xml:space="preserve">)　　α</w:t>
      </w:r>
      <w:r>
        <w:t xml:space="preserve">j</w:t>
      </w:r>
      <w:r>
        <w:t xml:space="preserve">= exp(e</w:t>
      </w:r>
      <w:r>
        <w:t xml:space="preserve">j</w:t>
      </w:r>
      <w:r>
        <w:t xml:space="preserve">) / Σ</w:t>
      </w:r>
      <w:r>
        <w:t xml:space="preserve">k</w:t>
      </w:r>
      <w:r>
        <w:t xml:space="preserve">exp(e</w:t>
      </w:r>
      <w:r>
        <w:t xml:space="preserve">k</w:t>
      </w:r>
      <w:r>
        <w:t xml:space="preserve">)　　x′</w:t>
      </w:r>
      <w:r>
        <w:t xml:space="preserve">j</w:t>
      </w:r>
      <w:r>
        <w:t xml:space="preserve">= α</w:t>
      </w:r>
      <w:r>
        <w:t xml:space="preserve">j</w:t>
      </w:r>
      <w:r>
        <w:t xml:space="preserve">· x</w:t>
      </w:r>
      <w:r>
        <w:t xml:space="preserve">j</w:t>
      </w:r>
    </w:p>
    <w:p>
      <w:pPr>
        <w:pStyle w:val="Body"/>
        <w:jc w:val="both"/>
        <w:spacing w:before="0" w:after="80" w:line="320" w:lineRule="auto"/>
      </w:pPr>
      <w:r>
        <w:t xml:space="preserve">α 满足归一化约束，因此可直接与 SHAP 排名做等级相关对照，形成"外部边际贡献"与"内部权重偏好"两个独立视角。</w:t>
      </w:r>
    </w:p>
    <w:p>
      <w:pPr>
        <w:pStyle w:val="Heading3"/>
        <w:jc w:val="left"/>
        <w:spacing w:before="0" w:after="100" w:line="320" w:lineRule="auto"/>
      </w:pPr>
      <w:r>
        <w:t xml:space="preserve">（4）边界验证与负结果披露</w:t>
      </w:r>
    </w:p>
    <w:p>
      <w:pPr>
        <w:pStyle w:val="Caption"/>
        <w:jc w:val="center"/>
        <w:spacing w:before="0" w:after="60" w:line="320" w:lineRule="auto"/>
      </w:pPr>
      <w:r>
        <w:rPr>
          <w:sz w:val="18"/>
          <w:szCs w:val="18"/>
        </w:rPr>
        <w:t xml:space="preserve">表 6　三套验证协议实测结果（XGBoost）</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2447"/>
        <w:gridCol w:w="2447"/>
        <w:gridCol w:w="4517"/>
      </w:tblGrid>
      <w:tr>
        <w:trPr>
          <w:tblHeader/>
        </w:trPr>
        <w:tc>
          <w:tcPr>
            <w:tcW w:w="2447" w:type="dxa"/>
            <w:shd w:val="clear" w:color="auto" w:fill="1F3864"/>
            <w:vAlign w:val="center"/>
          </w:tcPr>
          <w:p>
            <w:pPr>
              <w:jc w:val="center"/>
              <w:spacing w:before="30" w:after="30" w:line="280" w:lineRule="auto"/>
              <w:rPr>
                <w:sz w:val="18"/>
              </w:rPr>
            </w:pPr>
            <w:r>
              <w:rPr>
                <w:color w:val="FFFFFF"/>
                <w:b/>
              </w:rPr>
              <w:t xml:space="preserve">验证协议</w:t>
            </w:r>
          </w:p>
        </w:tc>
        <w:tc>
          <w:tcPr>
            <w:tcW w:w="2447" w:type="dxa"/>
            <w:shd w:val="clear" w:color="auto" w:fill="1F3864"/>
            <w:vAlign w:val="center"/>
          </w:tcPr>
          <w:p>
            <w:pPr>
              <w:jc w:val="center"/>
              <w:spacing w:before="30" w:after="30" w:line="280" w:lineRule="auto"/>
              <w:rPr>
                <w:sz w:val="18"/>
              </w:rPr>
            </w:pPr>
            <w:r>
              <w:rPr>
                <w:color w:val="FFFFFF"/>
                <w:b/>
              </w:rPr>
              <w:t xml:space="preserve">检验场景</w:t>
            </w:r>
          </w:p>
        </w:tc>
        <w:tc>
          <w:tcPr>
            <w:tcW w:w="4517" w:type="dxa"/>
            <w:shd w:val="clear" w:color="auto" w:fill="1F3864"/>
            <w:vAlign w:val="center"/>
          </w:tcPr>
          <w:p>
            <w:pPr>
              <w:jc w:val="center"/>
              <w:spacing w:before="30" w:after="30" w:line="280" w:lineRule="auto"/>
              <w:rPr>
                <w:sz w:val="18"/>
              </w:rPr>
            </w:pPr>
            <w:r>
              <w:rPr>
                <w:color w:val="FFFFFF"/>
                <w:b/>
              </w:rPr>
              <w:t xml:space="preserve">实测结果</w:t>
            </w:r>
          </w:p>
        </w:tc>
      </w:tr>
      <w:tr>
        <w:tc>
          <w:tcPr>
            <w:tcW w:w="2447" w:type="dxa"/>
            <w:shd w:val="clear" w:color="auto" w:fill="F5F7FA"/>
            <w:vAlign w:val="center"/>
          </w:tcPr>
          <w:p>
            <w:pPr>
              <w:jc w:val="both"/>
              <w:spacing w:before="30" w:after="30" w:line="280" w:lineRule="auto"/>
              <w:rPr>
                <w:sz w:val="18"/>
              </w:rPr>
            </w:pPr>
            <w:r>
              <w:t xml:space="preserve">random 8:2（10 种子）</w:t>
            </w:r>
          </w:p>
        </w:tc>
        <w:tc>
          <w:tcPr>
            <w:tcW w:w="2447" w:type="dxa"/>
            <w:shd w:val="clear" w:color="auto" w:fill="F5F7FA"/>
            <w:vAlign w:val="center"/>
          </w:tcPr>
          <w:p>
            <w:pPr>
              <w:jc w:val="both"/>
              <w:spacing w:before="30" w:after="30" w:line="280" w:lineRule="auto"/>
              <w:rPr>
                <w:sz w:val="18"/>
              </w:rPr>
            </w:pPr>
            <w:r>
              <w:t xml:space="preserve">已见省份相邻样本</w:t>
            </w:r>
          </w:p>
        </w:tc>
        <w:tc>
          <w:tcPr>
            <w:tcW w:w="4517" w:type="dxa"/>
            <w:shd w:val="clear" w:color="auto" w:fill="F5F7FA"/>
            <w:vAlign w:val="center"/>
          </w:tcPr>
          <w:p>
            <w:pPr>
              <w:jc w:val="both"/>
              <w:spacing w:before="30" w:after="30" w:line="280" w:lineRule="auto"/>
              <w:rPr>
                <w:sz w:val="18"/>
              </w:rPr>
            </w:pPr>
            <w:r>
              <w:t xml:space="preserve">R² = 0.907 ± 0.038；RMSE = 312.5 kg/ha</w:t>
            </w:r>
          </w:p>
        </w:tc>
      </w:tr>
      <w:tr>
        <w:tc>
          <w:tcPr>
            <w:tcW w:w="2447" w:type="dxa"/>
            <w:shd w:val="clear" w:color="auto" w:fill="FFFFFF"/>
            <w:vAlign w:val="center"/>
          </w:tcPr>
          <w:p>
            <w:pPr>
              <w:jc w:val="both"/>
              <w:spacing w:before="30" w:after="30" w:line="280" w:lineRule="auto"/>
              <w:rPr>
                <w:sz w:val="18"/>
              </w:rPr>
            </w:pPr>
            <w:r>
              <w:t xml:space="preserve">leave-year-out（13 折）</w:t>
            </w:r>
          </w:p>
        </w:tc>
        <w:tc>
          <w:tcPr>
            <w:tcW w:w="2447" w:type="dxa"/>
            <w:shd w:val="clear" w:color="auto" w:fill="FFFFFF"/>
            <w:vAlign w:val="center"/>
          </w:tcPr>
          <w:p>
            <w:pPr>
              <w:jc w:val="both"/>
              <w:spacing w:before="30" w:after="30" w:line="280" w:lineRule="auto"/>
              <w:rPr>
                <w:sz w:val="18"/>
              </w:rPr>
            </w:pPr>
            <w:r>
              <w:t xml:space="preserve">时间外推</w:t>
            </w:r>
          </w:p>
        </w:tc>
        <w:tc>
          <w:tcPr>
            <w:tcW w:w="4517" w:type="dxa"/>
            <w:shd w:val="clear" w:color="auto" w:fill="FFFFFF"/>
            <w:vAlign w:val="center"/>
          </w:tcPr>
          <w:p>
            <w:pPr>
              <w:jc w:val="both"/>
              <w:spacing w:before="30" w:after="30" w:line="280" w:lineRule="auto"/>
              <w:rPr>
                <w:sz w:val="18"/>
              </w:rPr>
            </w:pPr>
            <w:r>
              <w:t xml:space="preserve">R² = 0.894 ± 0.104</w:t>
            </w:r>
          </w:p>
        </w:tc>
      </w:tr>
      <w:tr>
        <w:tc>
          <w:tcPr>
            <w:tcW w:w="2447" w:type="dxa"/>
            <w:shd w:val="clear" w:color="auto" w:fill="F5F7FA"/>
            <w:vAlign w:val="center"/>
          </w:tcPr>
          <w:p>
            <w:pPr>
              <w:jc w:val="both"/>
              <w:spacing w:before="30" w:after="30" w:line="280" w:lineRule="auto"/>
              <w:rPr>
                <w:sz w:val="18"/>
              </w:rPr>
            </w:pPr>
            <w:r>
              <w:t xml:space="preserve">leave-province-out（31 折）</w:t>
            </w:r>
          </w:p>
        </w:tc>
        <w:tc>
          <w:tcPr>
            <w:tcW w:w="2447" w:type="dxa"/>
            <w:shd w:val="clear" w:color="auto" w:fill="F5F7FA"/>
            <w:vAlign w:val="center"/>
          </w:tcPr>
          <w:p>
            <w:pPr>
              <w:jc w:val="both"/>
              <w:spacing w:before="30" w:after="30" w:line="280" w:lineRule="auto"/>
              <w:rPr>
                <w:sz w:val="18"/>
              </w:rPr>
            </w:pPr>
            <w:r>
              <w:t xml:space="preserve">空间外推</w:t>
            </w:r>
          </w:p>
        </w:tc>
        <w:tc>
          <w:tcPr>
            <w:tcW w:w="4517" w:type="dxa"/>
            <w:shd w:val="clear" w:color="auto" w:fill="F5F7FA"/>
            <w:vAlign w:val="center"/>
          </w:tcPr>
          <w:p>
            <w:pPr>
              <w:jc w:val="both"/>
              <w:spacing w:before="30" w:after="30" w:line="280" w:lineRule="auto"/>
              <w:rPr>
                <w:sz w:val="18"/>
              </w:rPr>
            </w:pPr>
            <w:r>
              <w:t xml:space="preserve">中位 R² = −16.83，31 省仅 1 省 &gt; 0</w:t>
            </w:r>
          </w:p>
        </w:tc>
      </w:tr>
      <w:tr>
        <w:tc>
          <w:tcPr>
            <w:tcW w:w="2447" w:type="dxa"/>
            <w:shd w:val="clear" w:color="auto" w:fill="FFFFFF"/>
            <w:vAlign w:val="center"/>
          </w:tcPr>
          <w:p>
            <w:pPr>
              <w:jc w:val="both"/>
              <w:spacing w:before="30" w:after="30" w:line="280" w:lineRule="auto"/>
              <w:rPr>
                <w:sz w:val="18"/>
              </w:rPr>
            </w:pPr>
            <w:r>
              <w:t xml:space="preserve">县级 leave-county-out</w:t>
            </w:r>
          </w:p>
        </w:tc>
        <w:tc>
          <w:tcPr>
            <w:tcW w:w="2447" w:type="dxa"/>
            <w:shd w:val="clear" w:color="auto" w:fill="FFFFFF"/>
            <w:vAlign w:val="center"/>
          </w:tcPr>
          <w:p>
            <w:pPr>
              <w:jc w:val="both"/>
              <w:spacing w:before="30" w:after="30" w:line="280" w:lineRule="auto"/>
              <w:rPr>
                <w:sz w:val="18"/>
              </w:rPr>
            </w:pPr>
            <w:r>
              <w:t xml:space="preserve">空间单元下沉</w:t>
            </w:r>
          </w:p>
        </w:tc>
        <w:tc>
          <w:tcPr>
            <w:tcW w:w="4517" w:type="dxa"/>
            <w:shd w:val="clear" w:color="auto" w:fill="FFFFFF"/>
            <w:vAlign w:val="center"/>
          </w:tcPr>
          <w:p>
            <w:pPr>
              <w:jc w:val="both"/>
              <w:spacing w:before="30" w:after="30" w:line="280" w:lineRule="auto"/>
              <w:rPr>
                <w:sz w:val="18"/>
              </w:rPr>
            </w:pPr>
            <w:r>
              <w:t xml:space="preserve">合并 R² = 0.660</w:t>
            </w:r>
          </w:p>
        </w:tc>
      </w:tr>
    </w:tbl>
    <w:p>
      <w:pPr>
        <w:pStyle w:val="Body"/>
        <w:jc w:val="left"/>
        <w:spacing w:before="0" w:after="40" w:line="320" w:lineRule="auto"/>
      </w:pPr>
    </w:p>
    <w:p>
      <w:pPr>
        <w:pStyle w:val="Body"/>
        <w:jc w:val="both"/>
        <w:spacing w:before="0" w:after="80" w:line="320" w:lineRule="auto"/>
      </w:pPr>
      <w:r>
        <w:t xml:space="preserve">配套消融实验：移除植被指数后 R² 由 0.907 降至 0.904，</w:t>
      </w:r>
      <w:r>
        <w:rPr>
          <w:b/>
        </w:rPr>
        <w:t xml:space="preserve">边际贡献仅 0.003</w:t>
      </w:r>
      <w:r>
        <w:t xml:space="preserve">，据此主动修正"植被指数是核心驱动因子"的直觉判断——该特征在本数据集中的边际信息已被其他变量覆盖。</w:t>
      </w:r>
    </w:p>
    <w:p>
      <w:pPr>
        <w:pStyle w:val="Heading3"/>
        <w:jc w:val="left"/>
        <w:spacing w:before="0" w:after="100" w:line="320" w:lineRule="auto"/>
      </w:pPr>
      <w:r>
        <w:t xml:space="preserve">（5）方差分解校核：回答"高分从哪来"</w:t>
      </w:r>
    </w:p>
    <w:p>
      <w:pPr>
        <w:pStyle w:val="Body"/>
        <w:jc w:val="both"/>
        <w:spacing w:before="0" w:after="80" w:line="320" w:lineRule="auto"/>
      </w:pPr>
      <w:r>
        <w:t xml:space="preserve">以 y</w:t>
      </w:r>
      <w:r>
        <w:t xml:space="preserve">it</w:t>
      </w:r>
      <w:r>
        <w:t xml:space="preserve">= α</w:t>
      </w:r>
      <w:r>
        <w:t xml:space="preserve">i</w:t>
      </w:r>
      <w:r>
        <w:t xml:space="preserve">+ βX</w:t>
      </w:r>
      <w:r>
        <w:t xml:space="preserve">it</w:t>
      </w:r>
      <w:r>
        <w:t xml:space="preserve">+ ε</w:t>
      </w:r>
      <w:r>
        <w:t xml:space="preserve">it</w:t>
      </w:r>
      <w:r>
        <w:t xml:space="preserve">分解总方差，得到</w:t>
      </w:r>
      <w:r>
        <w:rPr>
          <w:b/>
        </w:rPr>
        <w:t xml:space="preserve">ICC = 0.9710</w:t>
      </w:r>
      <w:r>
        <w:t xml:space="preserve">（95% 置信区间 [0.9496, 0.9805]），即约</w:t>
      </w:r>
      <w:r>
        <w:rPr>
          <w:b/>
        </w:rPr>
        <w:t xml:space="preserve">97% 的总方差来自省份之间的固有单产差异</w:t>
      </w:r>
      <w:r>
        <w:t xml:space="preserve">，而非气候因子的边际效应。似然比检验对比混合效应模型与混合 OLS：LR = 741.59（p 远小于 0.001），确证省份基线不可忽略。11 维固定效应中 4 项在 5% 水平显著，植被指数项不显著（p = 0.570）。</w:t>
      </w:r>
    </w:p>
    <w:p>
      <w:pPr>
        <w:pStyle w:val="Body"/>
        <w:jc w:val="both"/>
        <w:spacing w:before="0" w:after="80" w:line="320" w:lineRule="auto"/>
      </w:pPr>
      <w:r>
        <w:t xml:space="preserve">这一步是本作品结论口径的核心：它把"R² = 0.907"从一句可能被误读的成绩，翻译成一句准确的结论——</w:t>
      </w:r>
      <w:r>
        <w:rPr>
          <w:b/>
        </w:rPr>
        <w:t xml:space="preserve">该分数衡量的是省内因子相对重要性识别能力，而不是跨省的气候—产量映射能力</w:t>
      </w:r>
      <w:r>
        <w:t xml:space="preserve">。由此，系统的定位被明确为"对已覆盖省份提供可解释的风险归因与情景推演"，并在界面上对超出该范围的询问主动说明边界。</w:t>
      </w:r>
    </w:p>
    <w:p>
      <w:pPr>
        <w:pStyle w:val="Heading3"/>
        <w:jc w:val="left"/>
        <w:spacing w:before="0" w:after="100" w:line="320" w:lineRule="auto"/>
      </w:pPr>
      <w:r>
        <w:t xml:space="preserve">（6）系统实现</w:t>
      </w:r>
    </w:p>
    <w:p>
      <w:pPr>
        <w:pStyle w:val="Body"/>
        <w:jc w:val="both"/>
        <w:spacing w:before="0" w:after="80" w:line="320" w:lineRule="auto"/>
      </w:pPr>
      <w:r>
        <w:t xml:space="preserve">前端 Vue 3 + ECharts，后端 Flask，全部模块由统一 API 对外服务。系统包含 7 个功能模块：系统总览（M00）、风险时空地图（M01）、归因看板（M02）、参数情景模拟（M03）、韧性路径推荐（M04）、推演监控（M05）、知识助手（M06）。其中韧性路径推荐由</w:t>
      </w:r>
      <w:r>
        <w:rPr>
          <w:b/>
        </w:rPr>
        <w:t xml:space="preserve">12 条白箱规则</w:t>
      </w:r>
      <w:r>
        <w:t xml:space="preserve">构成，触发阈值源自模型归因结果的分位拐点，输出按 0—1 年 / 1—3 年 / 3—5 年三阶段组织，全过程可审计、可调参，不使用不可解释的隐式打分。</w:t>
      </w:r>
    </w:p>
    <w:p>
      <w:pPr>
        <w:pStyle w:val="Heading1"/>
        <w:pageBreakBefore/>
        <w:jc w:val="left"/>
        <w:spacing w:before="0" w:after="100" w:line="320" w:lineRule="auto"/>
      </w:pPr>
      <w:r>
        <w:t xml:space="preserve">五、应用成效</w:t>
      </w:r>
    </w:p>
    <w:p>
      <w:pPr>
        <w:pStyle w:val="Heading2"/>
        <w:jc w:val="left"/>
        <w:spacing w:before="120" w:after="100" w:line="320" w:lineRule="auto"/>
      </w:pPr>
      <w:r>
        <w:t xml:space="preserve">5.1 成果展示</w:t>
      </w:r>
    </w:p>
    <w:p>
      <w:pPr>
        <w:pStyle w:val="Heading3"/>
        <w:jc w:val="left"/>
        <w:spacing w:before="0" w:after="100" w:line="320" w:lineRule="auto"/>
      </w:pPr>
      <w:r>
        <w:t xml:space="preserve">（1）数据成果</w:t>
      </w:r>
    </w:p>
    <w:p>
      <w:pPr>
        <w:pStyle w:val="Body"/>
        <w:jc w:val="both"/>
        <w:spacing w:before="0" w:after="80" w:line="320" w:lineRule="auto"/>
      </w:pPr>
      <w:r>
        <w:t xml:space="preserve">建成 31 省 × 13 年（2011—2023）× 11 维特征的多模态农业面板数据集（N = 403），涵盖气象致灾、遥感长势、生产投入与实际灾情四类变量；在此基础上扩展出城市级（148 个地级市 × 13 年）、县级建模（1 041 县 × 11 年）与县级社会经济（2 725 县 × 23 年，62 676 条记录）三套面板，用于空间尺度递进验证与县域查询。全部数据集配套逐字段的来源说明、单位、时空口径与质量审计结论，可直接被后续研究复用。</w:t>
      </w:r>
    </w:p>
    <w:p>
      <w:pPr>
        <w:pStyle w:val="Heading3"/>
        <w:jc w:val="left"/>
        <w:spacing w:before="0" w:after="100" w:line="320" w:lineRule="auto"/>
      </w:pPr>
      <w:r>
        <w:t xml:space="preserve">（2）模型与归因成果</w:t>
      </w:r>
    </w:p>
    <w:p>
      <w:pPr>
        <w:pStyle w:val="Caption"/>
        <w:jc w:val="center"/>
        <w:spacing w:before="0" w:after="60" w:line="320" w:lineRule="auto"/>
      </w:pPr>
      <w:r>
        <w:rPr>
          <w:sz w:val="18"/>
          <w:szCs w:val="18"/>
        </w:rPr>
        <w:t xml:space="preserve">表 7　双视角归因 Top-3 对照</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2823"/>
        <w:gridCol w:w="2823"/>
        <w:gridCol w:w="3764"/>
      </w:tblGrid>
      <w:tr>
        <w:trPr>
          <w:tblHeader/>
        </w:trPr>
        <w:tc>
          <w:tcPr>
            <w:tcW w:w="2823" w:type="dxa"/>
            <w:shd w:val="clear" w:color="auto" w:fill="1F3864"/>
            <w:vAlign w:val="center"/>
          </w:tcPr>
          <w:p>
            <w:pPr>
              <w:jc w:val="center"/>
              <w:spacing w:before="30" w:after="30" w:line="280" w:lineRule="auto"/>
              <w:rPr>
                <w:sz w:val="18"/>
              </w:rPr>
            </w:pPr>
            <w:r>
              <w:rPr>
                <w:color w:val="FFFFFF"/>
                <w:b/>
              </w:rPr>
              <w:t xml:space="preserve">视图</w:t>
            </w:r>
          </w:p>
        </w:tc>
        <w:tc>
          <w:tcPr>
            <w:tcW w:w="2823" w:type="dxa"/>
            <w:shd w:val="clear" w:color="auto" w:fill="1F3864"/>
            <w:vAlign w:val="center"/>
          </w:tcPr>
          <w:p>
            <w:pPr>
              <w:jc w:val="center"/>
              <w:spacing w:before="30" w:after="30" w:line="280" w:lineRule="auto"/>
              <w:rPr>
                <w:sz w:val="18"/>
              </w:rPr>
            </w:pPr>
            <w:r>
              <w:rPr>
                <w:color w:val="FFFFFF"/>
                <w:b/>
              </w:rPr>
              <w:t xml:space="preserve">方法</w:t>
            </w:r>
          </w:p>
        </w:tc>
        <w:tc>
          <w:tcPr>
            <w:tcW w:w="3764" w:type="dxa"/>
            <w:shd w:val="clear" w:color="auto" w:fill="1F3864"/>
            <w:vAlign w:val="center"/>
          </w:tcPr>
          <w:p>
            <w:pPr>
              <w:jc w:val="center"/>
              <w:spacing w:before="30" w:after="30" w:line="280" w:lineRule="auto"/>
              <w:rPr>
                <w:sz w:val="18"/>
              </w:rPr>
            </w:pPr>
            <w:r>
              <w:rPr>
                <w:color w:val="FFFFFF"/>
                <w:b/>
              </w:rPr>
              <w:t xml:space="preserve">Top-3 因子</w:t>
            </w:r>
          </w:p>
        </w:tc>
      </w:tr>
      <w:tr>
        <w:tc>
          <w:tcPr>
            <w:tcW w:w="2823" w:type="dxa"/>
            <w:shd w:val="clear" w:color="auto" w:fill="F5F7FA"/>
            <w:vAlign w:val="center"/>
          </w:tcPr>
          <w:p>
            <w:pPr>
              <w:jc w:val="both"/>
              <w:spacing w:before="30" w:after="30" w:line="280" w:lineRule="auto"/>
              <w:rPr>
                <w:sz w:val="18"/>
              </w:rPr>
            </w:pPr>
            <w:r>
              <w:t xml:space="preserve">横截面边际贡献</w:t>
            </w:r>
          </w:p>
        </w:tc>
        <w:tc>
          <w:tcPr>
            <w:tcW w:w="2823" w:type="dxa"/>
            <w:shd w:val="clear" w:color="auto" w:fill="F5F7FA"/>
            <w:vAlign w:val="center"/>
          </w:tcPr>
          <w:p>
            <w:pPr>
              <w:jc w:val="both"/>
              <w:spacing w:before="30" w:after="30" w:line="280" w:lineRule="auto"/>
              <w:rPr>
                <w:sz w:val="18"/>
              </w:rPr>
            </w:pPr>
            <w:r>
              <w:t xml:space="preserve">XGBoost-SHAP</w:t>
            </w:r>
          </w:p>
        </w:tc>
        <w:tc>
          <w:tcPr>
            <w:tcW w:w="3764" w:type="dxa"/>
            <w:shd w:val="clear" w:color="auto" w:fill="F5F7FA"/>
            <w:vAlign w:val="center"/>
          </w:tcPr>
          <w:p>
            <w:pPr>
              <w:jc w:val="both"/>
              <w:spacing w:before="30" w:after="30" w:line="280" w:lineRule="auto"/>
              <w:rPr>
                <w:sz w:val="18"/>
              </w:rPr>
            </w:pPr>
            <w:r>
              <w:t xml:space="preserve">植被指数 &gt; 降水 &gt; 气温</w:t>
            </w:r>
          </w:p>
        </w:tc>
      </w:tr>
      <w:tr>
        <w:tc>
          <w:tcPr>
            <w:tcW w:w="2823" w:type="dxa"/>
            <w:shd w:val="clear" w:color="auto" w:fill="FFFFFF"/>
            <w:vAlign w:val="center"/>
          </w:tcPr>
          <w:p>
            <w:pPr>
              <w:jc w:val="both"/>
              <w:spacing w:before="30" w:after="30" w:line="280" w:lineRule="auto"/>
              <w:rPr>
                <w:sz w:val="18"/>
              </w:rPr>
            </w:pPr>
            <w:r>
              <w:t xml:space="preserve">时序内部偏好</w:t>
            </w:r>
          </w:p>
        </w:tc>
        <w:tc>
          <w:tcPr>
            <w:tcW w:w="2823" w:type="dxa"/>
            <w:shd w:val="clear" w:color="auto" w:fill="FFFFFF"/>
            <w:vAlign w:val="center"/>
          </w:tcPr>
          <w:p>
            <w:pPr>
              <w:jc w:val="both"/>
              <w:spacing w:before="30" w:after="30" w:line="280" w:lineRule="auto"/>
              <w:rPr>
                <w:sz w:val="18"/>
              </w:rPr>
            </w:pPr>
            <w:r>
              <w:t xml:space="preserve">Attention-LSTM</w:t>
            </w:r>
          </w:p>
        </w:tc>
        <w:tc>
          <w:tcPr>
            <w:tcW w:w="3764" w:type="dxa"/>
            <w:shd w:val="clear" w:color="auto" w:fill="FFFFFF"/>
            <w:vAlign w:val="center"/>
          </w:tcPr>
          <w:p>
            <w:pPr>
              <w:jc w:val="both"/>
              <w:spacing w:before="30" w:after="30" w:line="280" w:lineRule="auto"/>
              <w:rPr>
                <w:sz w:val="18"/>
              </w:rPr>
            </w:pPr>
            <w:r>
              <w:t xml:space="preserve">旱灾面积 &gt; SPEI &gt; 气温</w:t>
            </w:r>
          </w:p>
        </w:tc>
      </w:tr>
    </w:tbl>
    <w:p>
      <w:pPr>
        <w:pStyle w:val="Body"/>
        <w:jc w:val="left"/>
        <w:spacing w:before="0" w:after="40" w:line="320" w:lineRule="auto"/>
      </w:pPr>
    </w:p>
    <w:p>
      <w:pPr>
        <w:pStyle w:val="Body"/>
        <w:jc w:val="both"/>
        <w:spacing w:before="0" w:after="80" w:line="320" w:lineRule="auto"/>
      </w:pPr>
      <w:r>
        <w:t xml:space="preserve">两套排名的 Spearman 等级相关 ρ =</w:t>
      </w:r>
      <w:r>
        <w:rPr>
          <w:b/>
        </w:rPr>
        <w:t xml:space="preserve">−0.055（p = 0.873）</w:t>
      </w:r>
      <w:r>
        <w:t xml:space="preserve">，Top-3 仅"气温"一项重合。这一结果对农业应用有直接含义：若只看 SHAP，会得到"植被指数最重要"的结论；若只看注意力权重，会得到"旱灾面积最重要"的结论。</w:t>
      </w:r>
      <w:r>
        <w:rPr>
          <w:b/>
        </w:rPr>
        <w:t xml:space="preserve">二者的近零相关说明单一归因方法不足以支撑政策结论</w:t>
      </w:r>
      <w:r>
        <w:t xml:space="preserve">，因此系统的韧性路径推荐未采用单一模型的排序，而是让两套视角并列进入加权排序，冲突时按各自权重竞争而非相互否决。</w:t>
      </w:r>
    </w:p>
    <w:p>
      <w:pPr>
        <w:jc w:val="center"/>
        <w:spacing w:before="60" w:after="40"/>
      </w:pPr>
      <w:r>
        <w:drawing>
          <wp:inline distT="0" distB="0" distL="0" distR="0">
            <wp:extent cx="5976000" cy="3558264"/>
            <wp:docPr id="1" name="image1.png"/>
            <a:graphic xmlns:a="http://schemas.openxmlformats.org/drawingml/2006/main">
              <a:graphicData uri="http://schemas.openxmlformats.org/drawingml/2006/main/picture">
                <pic:pic xmlns:pic="http://schemas.openxmlformats.org/drawingml/2006/picture">
                  <pic:nvPicPr>
                    <pic:cNvPr id="1" name="image1.png"/>
                    <pic:cNvPicPr/>
                  </pic:nvPicPr>
                  <pic:blipFill>
                    <a:blip r:embed="rId11"/>
                    <a:stretch>
                      <a:fillRect/>
                    </a:stretch>
                  </pic:blipFill>
                  <pic:spPr>
                    <a:xfrm>
                      <a:off x="0" y="0"/>
                      <a:ext cx="5976000" cy="3558264"/>
                    </a:xfrm>
                    <a:prstGeom prst="rect">
                      <a:avLst/>
                    </a:prstGeom>
                  </pic:spPr>
                </pic:pic>
              </a:graphicData>
            </a:graphic>
          </wp:inline>
        </w:drawing>
      </w:r>
    </w:p>
    <w:p>
      <w:pPr>
        <w:pStyle w:val="Caption"/>
        <w:jc w:val="center"/>
        <w:spacing w:before="0" w:after="80" w:line="320" w:lineRule="auto"/>
      </w:pPr>
      <w:r>
        <w:rPr>
          <w:sz w:val="18"/>
          <w:szCs w:val="18"/>
        </w:rPr>
        <w:t xml:space="preserve">图 1　全局因子边际贡献排序（XGBoost-SHAP）</w:t>
      </w:r>
    </w:p>
    <w:p>
      <w:pPr>
        <w:pStyle w:val="Heading3"/>
        <w:jc w:val="left"/>
        <w:spacing w:before="0" w:after="100" w:line="320" w:lineRule="auto"/>
      </w:pPr>
      <w:r>
        <w:t xml:space="preserve">（3）系统成果</w:t>
      </w:r>
    </w:p>
    <w:p>
      <w:pPr>
        <w:pStyle w:val="Body"/>
        <w:jc w:val="both"/>
        <w:spacing w:before="0" w:after="80" w:line="320" w:lineRule="auto"/>
      </w:pPr>
      <w:r>
        <w:t xml:space="preserve">交付 7 模块 Web 决策支持系统，包含风险时空地图（31 省 × 13 年时间轴）、单省归因分解、参数情景模拟（调整灌溉率 / 化肥 / 降水等因子实时反馈）、三阶段韧性路径输出、推演过程监控与知识问答能力。以下为系统主要界面的实际运行截图。</w:t>
      </w:r>
    </w:p>
    <w:p>
      <w:pPr>
        <w:jc w:val="center"/>
        <w:spacing w:before="60" w:after="40"/>
      </w:pPr>
      <w:r>
        <w:drawing>
          <wp:inline distT="0" distB="0" distL="0" distR="0">
            <wp:extent cx="5976000" cy="3361500"/>
            <wp:docPr id="2" name="image2.png"/>
            <a:graphic xmlns:a="http://schemas.openxmlformats.org/drawingml/2006/main">
              <a:graphicData uri="http://schemas.openxmlformats.org/drawingml/2006/main/picture">
                <pic:pic xmlns:pic="http://schemas.openxmlformats.org/drawingml/2006/picture">
                  <pic:nvPicPr>
                    <pic:cNvPr id="2" name="image2.png"/>
                    <pic:cNvPicPr/>
                  </pic:nvPicPr>
                  <pic:blipFill>
                    <a:blip r:embed="rId12"/>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2　风险时空地图（M01）：分省年度风险等级与历史演化</w:t>
      </w:r>
    </w:p>
    <w:p>
      <w:pPr>
        <w:jc w:val="center"/>
        <w:spacing w:before="60" w:after="40"/>
      </w:pPr>
      <w:r>
        <w:drawing>
          <wp:inline distT="0" distB="0" distL="0" distR="0">
            <wp:extent cx="5976000" cy="3361500"/>
            <wp:docPr id="3" name="image3.png"/>
            <a:graphic xmlns:a="http://schemas.openxmlformats.org/drawingml/2006/main">
              <a:graphicData uri="http://schemas.openxmlformats.org/drawingml/2006/main/picture">
                <pic:pic xmlns:pic="http://schemas.openxmlformats.org/drawingml/2006/picture">
                  <pic:nvPicPr>
                    <pic:cNvPr id="3" name="image3.png"/>
                    <pic:cNvPicPr/>
                  </pic:nvPicPr>
                  <pic:blipFill>
                    <a:blip r:embed="rId13"/>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3　归因看板（M02）：全局与单样本因子贡献度分解</w:t>
      </w:r>
    </w:p>
    <w:p>
      <w:pPr>
        <w:jc w:val="center"/>
        <w:spacing w:before="60" w:after="40"/>
      </w:pPr>
      <w:r>
        <w:drawing>
          <wp:inline distT="0" distB="0" distL="0" distR="0">
            <wp:extent cx="5976000" cy="3361500"/>
            <wp:docPr id="4" name="image4.png"/>
            <a:graphic xmlns:a="http://schemas.openxmlformats.org/drawingml/2006/main">
              <a:graphicData uri="http://schemas.openxmlformats.org/drawingml/2006/main/picture">
                <pic:pic xmlns:pic="http://schemas.openxmlformats.org/drawingml/2006/picture">
                  <pic:nvPicPr>
                    <pic:cNvPr id="4" name="image4.png"/>
                    <pic:cNvPicPr/>
                  </pic:nvPicPr>
                  <pic:blipFill>
                    <a:blip r:embed="rId14"/>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4　参数情景模拟（M03）：调整投入与气象参数后的反事实推演</w:t>
      </w:r>
    </w:p>
    <w:p>
      <w:pPr>
        <w:jc w:val="center"/>
        <w:spacing w:before="60" w:after="40"/>
      </w:pPr>
      <w:r>
        <w:drawing>
          <wp:inline distT="0" distB="0" distL="0" distR="0">
            <wp:extent cx="5976000" cy="3361500"/>
            <wp:docPr id="5" name="image5.png"/>
            <a:graphic xmlns:a="http://schemas.openxmlformats.org/drawingml/2006/main">
              <a:graphicData uri="http://schemas.openxmlformats.org/drawingml/2006/main/picture">
                <pic:pic xmlns:pic="http://schemas.openxmlformats.org/drawingml/2006/picture">
                  <pic:nvPicPr>
                    <pic:cNvPr id="5" name="image5.png"/>
                    <pic:cNvPicPr/>
                  </pic:nvPicPr>
                  <pic:blipFill>
                    <a:blip r:embed="rId15"/>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5　韧性路径推荐（M04）：分阶段措施、优先级与参数</w:t>
      </w:r>
    </w:p>
    <w:p>
      <w:pPr>
        <w:jc w:val="center"/>
        <w:spacing w:before="60" w:after="40"/>
      </w:pPr>
      <w:r>
        <w:drawing>
          <wp:inline distT="0" distB="0" distL="0" distR="0">
            <wp:extent cx="5976000" cy="3361500"/>
            <wp:docPr id="6" name="image6.png"/>
            <a:graphic xmlns:a="http://schemas.openxmlformats.org/drawingml/2006/main">
              <a:graphicData uri="http://schemas.openxmlformats.org/drawingml/2006/main/picture">
                <pic:pic xmlns:pic="http://schemas.openxmlformats.org/drawingml/2006/picture">
                  <pic:nvPicPr>
                    <pic:cNvPr id="6" name="image6.png"/>
                    <pic:cNvPicPr/>
                  </pic:nvPicPr>
                  <pic:blipFill>
                    <a:blip r:embed="rId16"/>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6　推演监控（M05）：三模型实时协同与过程留痕</w:t>
      </w:r>
    </w:p>
    <w:p>
      <w:pPr>
        <w:pStyle w:val="Heading3"/>
        <w:jc w:val="left"/>
        <w:spacing w:before="0" w:after="100" w:line="320" w:lineRule="auto"/>
      </w:pPr>
      <w:r>
        <w:t xml:space="preserve">（4）实测指标</w:t>
      </w:r>
    </w:p>
    <w:p>
      <w:pPr>
        <w:pStyle w:val="Caption"/>
        <w:jc w:val="center"/>
        <w:spacing w:before="0" w:after="60" w:line="320" w:lineRule="auto"/>
      </w:pPr>
      <w:r>
        <w:rPr>
          <w:sz w:val="18"/>
          <w:szCs w:val="18"/>
        </w:rPr>
        <w:t xml:space="preserve">表 8　关键实测指标</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4329"/>
        <w:gridCol w:w="5082"/>
      </w:tblGrid>
      <w:tr>
        <w:trPr>
          <w:tblHeader/>
        </w:trPr>
        <w:tc>
          <w:tcPr>
            <w:tcW w:w="4329" w:type="dxa"/>
            <w:shd w:val="clear" w:color="auto" w:fill="1F3864"/>
            <w:vAlign w:val="center"/>
          </w:tcPr>
          <w:p>
            <w:pPr>
              <w:jc w:val="center"/>
              <w:spacing w:before="30" w:after="30" w:line="280" w:lineRule="auto"/>
              <w:rPr>
                <w:sz w:val="18"/>
              </w:rPr>
            </w:pPr>
            <w:r>
              <w:rPr>
                <w:color w:val="FFFFFF"/>
                <w:b/>
              </w:rPr>
              <w:t xml:space="preserve">指标</w:t>
            </w:r>
          </w:p>
        </w:tc>
        <w:tc>
          <w:tcPr>
            <w:tcW w:w="5082" w:type="dxa"/>
            <w:shd w:val="clear" w:color="auto" w:fill="1F3864"/>
            <w:vAlign w:val="center"/>
          </w:tcPr>
          <w:p>
            <w:pPr>
              <w:jc w:val="center"/>
              <w:spacing w:before="30" w:after="30" w:line="280" w:lineRule="auto"/>
              <w:rPr>
                <w:sz w:val="18"/>
              </w:rPr>
            </w:pPr>
            <w:r>
              <w:rPr>
                <w:color w:val="FFFFFF"/>
                <w:b/>
              </w:rPr>
              <w:t xml:space="preserve">实测值</w:t>
            </w:r>
          </w:p>
        </w:tc>
      </w:tr>
      <w:tr>
        <w:tc>
          <w:tcPr>
            <w:tcW w:w="4329" w:type="dxa"/>
            <w:shd w:val="clear" w:color="auto" w:fill="F5F7FA"/>
            <w:vAlign w:val="center"/>
          </w:tcPr>
          <w:p>
            <w:pPr>
              <w:jc w:val="both"/>
              <w:spacing w:before="30" w:after="30" w:line="280" w:lineRule="auto"/>
              <w:rPr>
                <w:sz w:val="18"/>
              </w:rPr>
            </w:pPr>
            <w:r>
              <w:t xml:space="preserve">单次推理响应时间</w:t>
            </w:r>
          </w:p>
        </w:tc>
        <w:tc>
          <w:tcPr>
            <w:tcW w:w="5082" w:type="dxa"/>
            <w:shd w:val="clear" w:color="auto" w:fill="F5F7FA"/>
            <w:vAlign w:val="center"/>
          </w:tcPr>
          <w:p>
            <w:pPr>
              <w:jc w:val="both"/>
              <w:spacing w:before="30" w:after="30" w:line="280" w:lineRule="auto"/>
              <w:rPr>
                <w:sz w:val="18"/>
              </w:rPr>
            </w:pPr>
            <w:r>
              <w:t xml:space="preserve">秒级完成（普通云主机，无 GPU）</w:t>
            </w:r>
          </w:p>
        </w:tc>
      </w:tr>
      <w:tr>
        <w:tc>
          <w:tcPr>
            <w:tcW w:w="4329" w:type="dxa"/>
            <w:shd w:val="clear" w:color="auto" w:fill="FFFFFF"/>
            <w:vAlign w:val="center"/>
          </w:tcPr>
          <w:p>
            <w:pPr>
              <w:jc w:val="both"/>
              <w:spacing w:before="30" w:after="30" w:line="280" w:lineRule="auto"/>
              <w:rPr>
                <w:sz w:val="18"/>
              </w:rPr>
            </w:pPr>
            <w:r>
              <w:t xml:space="preserve">主报告协议预测精度</w:t>
            </w:r>
          </w:p>
        </w:tc>
        <w:tc>
          <w:tcPr>
            <w:tcW w:w="5082" w:type="dxa"/>
            <w:shd w:val="clear" w:color="auto" w:fill="FFFFFF"/>
            <w:vAlign w:val="center"/>
          </w:tcPr>
          <w:p>
            <w:pPr>
              <w:jc w:val="both"/>
              <w:spacing w:before="30" w:after="30" w:line="280" w:lineRule="auto"/>
              <w:rPr>
                <w:sz w:val="18"/>
              </w:rPr>
            </w:pPr>
            <w:r>
              <w:t xml:space="preserve">R² = 0.907 ± 0.038（10 种子），RMSE = 312.5 kg/ha</w:t>
            </w:r>
          </w:p>
        </w:tc>
      </w:tr>
      <w:tr>
        <w:tc>
          <w:tcPr>
            <w:tcW w:w="4329" w:type="dxa"/>
            <w:shd w:val="clear" w:color="auto" w:fill="F5F7FA"/>
            <w:vAlign w:val="center"/>
          </w:tcPr>
          <w:p>
            <w:pPr>
              <w:jc w:val="both"/>
              <w:spacing w:before="30" w:after="30" w:line="280" w:lineRule="auto"/>
              <w:rPr>
                <w:sz w:val="18"/>
              </w:rPr>
            </w:pPr>
            <w:r>
              <w:t xml:space="preserve">时间外推表现</w:t>
            </w:r>
          </w:p>
        </w:tc>
        <w:tc>
          <w:tcPr>
            <w:tcW w:w="5082" w:type="dxa"/>
            <w:shd w:val="clear" w:color="auto" w:fill="F5F7FA"/>
            <w:vAlign w:val="center"/>
          </w:tcPr>
          <w:p>
            <w:pPr>
              <w:jc w:val="both"/>
              <w:spacing w:before="30" w:after="30" w:line="280" w:lineRule="auto"/>
              <w:rPr>
                <w:sz w:val="18"/>
              </w:rPr>
            </w:pPr>
            <w:r>
              <w:t xml:space="preserve">R² = 0.894 ± 0.104（leave-year-out）</w:t>
            </w:r>
          </w:p>
        </w:tc>
      </w:tr>
      <w:tr>
        <w:tc>
          <w:tcPr>
            <w:tcW w:w="4329" w:type="dxa"/>
            <w:shd w:val="clear" w:color="auto" w:fill="FFFFFF"/>
            <w:vAlign w:val="center"/>
          </w:tcPr>
          <w:p>
            <w:pPr>
              <w:jc w:val="both"/>
              <w:spacing w:before="30" w:after="30" w:line="280" w:lineRule="auto"/>
              <w:rPr>
                <w:sz w:val="18"/>
              </w:rPr>
            </w:pPr>
            <w:r>
              <w:t xml:space="preserve">空间外推表现</w:t>
            </w:r>
          </w:p>
        </w:tc>
        <w:tc>
          <w:tcPr>
            <w:tcW w:w="5082" w:type="dxa"/>
            <w:shd w:val="clear" w:color="auto" w:fill="FFFFFF"/>
            <w:vAlign w:val="center"/>
          </w:tcPr>
          <w:p>
            <w:pPr>
              <w:jc w:val="both"/>
              <w:spacing w:before="30" w:after="30" w:line="280" w:lineRule="auto"/>
              <w:rPr>
                <w:sz w:val="18"/>
              </w:rPr>
            </w:pPr>
            <w:r>
              <w:t xml:space="preserve">中位 R² = −16.83（leave-province-out，31 省仅 1 省 &gt; 0）</w:t>
            </w:r>
          </w:p>
        </w:tc>
      </w:tr>
      <w:tr>
        <w:tc>
          <w:tcPr>
            <w:tcW w:w="4329" w:type="dxa"/>
            <w:shd w:val="clear" w:color="auto" w:fill="F5F7FA"/>
            <w:vAlign w:val="center"/>
          </w:tcPr>
          <w:p>
            <w:pPr>
              <w:jc w:val="both"/>
              <w:spacing w:before="30" w:after="30" w:line="280" w:lineRule="auto"/>
              <w:rPr>
                <w:sz w:val="18"/>
              </w:rPr>
            </w:pPr>
            <w:r>
              <w:t xml:space="preserve">空间单元下沉表现</w:t>
            </w:r>
          </w:p>
        </w:tc>
        <w:tc>
          <w:tcPr>
            <w:tcW w:w="5082" w:type="dxa"/>
            <w:shd w:val="clear" w:color="auto" w:fill="F5F7FA"/>
            <w:vAlign w:val="center"/>
          </w:tcPr>
          <w:p>
            <w:pPr>
              <w:jc w:val="both"/>
              <w:spacing w:before="30" w:after="30" w:line="280" w:lineRule="auto"/>
              <w:rPr>
                <w:sz w:val="18"/>
              </w:rPr>
            </w:pPr>
            <w:r>
              <w:t xml:space="preserve">县级合并 R² = 0.660（leave-county-out）</w:t>
            </w:r>
          </w:p>
        </w:tc>
      </w:tr>
      <w:tr>
        <w:tc>
          <w:tcPr>
            <w:tcW w:w="4329" w:type="dxa"/>
            <w:shd w:val="clear" w:color="auto" w:fill="FFFFFF"/>
            <w:vAlign w:val="center"/>
          </w:tcPr>
          <w:p>
            <w:pPr>
              <w:jc w:val="both"/>
              <w:spacing w:before="30" w:after="30" w:line="280" w:lineRule="auto"/>
              <w:rPr>
                <w:sz w:val="18"/>
              </w:rPr>
            </w:pPr>
            <w:r>
              <w:t xml:space="preserve">单点真值校验</w:t>
            </w:r>
          </w:p>
        </w:tc>
        <w:tc>
          <w:tcPr>
            <w:tcW w:w="5082" w:type="dxa"/>
            <w:shd w:val="clear" w:color="auto" w:fill="FFFFFF"/>
            <w:vAlign w:val="center"/>
          </w:tcPr>
          <w:p>
            <w:pPr>
              <w:jc w:val="both"/>
              <w:spacing w:before="30" w:after="30" w:line="280" w:lineRule="auto"/>
              <w:rPr>
                <w:sz w:val="18"/>
              </w:rPr>
            </w:pPr>
            <w:r>
              <w:t xml:space="preserve">某主产省某年实际单产 4 615 kg/ha：XGBoost 偏 −227.5，LSTM 偏 −441.6，Attention-LSTM 偏 +42.6</w:t>
            </w:r>
          </w:p>
        </w:tc>
      </w:tr>
      <w:tr>
        <w:tc>
          <w:tcPr>
            <w:tcW w:w="4329" w:type="dxa"/>
            <w:shd w:val="clear" w:color="auto" w:fill="F5F7FA"/>
            <w:vAlign w:val="center"/>
          </w:tcPr>
          <w:p>
            <w:pPr>
              <w:jc w:val="both"/>
              <w:spacing w:before="30" w:after="30" w:line="280" w:lineRule="auto"/>
              <w:rPr>
                <w:sz w:val="18"/>
              </w:rPr>
            </w:pPr>
            <w:r>
              <w:t xml:space="preserve">方差分解</w:t>
            </w:r>
          </w:p>
        </w:tc>
        <w:tc>
          <w:tcPr>
            <w:tcW w:w="5082" w:type="dxa"/>
            <w:shd w:val="clear" w:color="auto" w:fill="F5F7FA"/>
            <w:vAlign w:val="center"/>
          </w:tcPr>
          <w:p>
            <w:pPr>
              <w:jc w:val="both"/>
              <w:spacing w:before="30" w:after="30" w:line="280" w:lineRule="auto"/>
              <w:rPr>
                <w:sz w:val="18"/>
              </w:rPr>
            </w:pPr>
            <w:r>
              <w:t xml:space="preserve">ICC = 0.9710，95% CI [0.9496, 0.9805]；LR = 741.59</w:t>
            </w:r>
          </w:p>
        </w:tc>
      </w:tr>
      <w:tr>
        <w:tc>
          <w:tcPr>
            <w:tcW w:w="4329" w:type="dxa"/>
            <w:shd w:val="clear" w:color="auto" w:fill="FFFFFF"/>
            <w:vAlign w:val="center"/>
          </w:tcPr>
          <w:p>
            <w:pPr>
              <w:jc w:val="both"/>
              <w:spacing w:before="30" w:after="30" w:line="280" w:lineRule="auto"/>
              <w:rPr>
                <w:sz w:val="18"/>
              </w:rPr>
            </w:pPr>
            <w:r>
              <w:t xml:space="preserve">无障碍规范</w:t>
            </w:r>
          </w:p>
        </w:tc>
        <w:tc>
          <w:tcPr>
            <w:tcW w:w="5082" w:type="dxa"/>
            <w:shd w:val="clear" w:color="auto" w:fill="FFFFFF"/>
            <w:vAlign w:val="center"/>
          </w:tcPr>
          <w:p>
            <w:pPr>
              <w:jc w:val="both"/>
              <w:spacing w:before="30" w:after="30" w:line="280" w:lineRule="auto"/>
              <w:rPr>
                <w:sz w:val="18"/>
              </w:rPr>
            </w:pPr>
            <w:r>
              <w:t xml:space="preserve">满足 WCAG 2.2 AA</w:t>
            </w:r>
          </w:p>
        </w:tc>
      </w:tr>
      <w:tr>
        <w:tc>
          <w:tcPr>
            <w:tcW w:w="4329" w:type="dxa"/>
            <w:shd w:val="clear" w:color="auto" w:fill="F5F7FA"/>
            <w:vAlign w:val="center"/>
          </w:tcPr>
          <w:p>
            <w:pPr>
              <w:jc w:val="both"/>
              <w:spacing w:before="30" w:after="30" w:line="280" w:lineRule="auto"/>
              <w:rPr>
                <w:sz w:val="18"/>
              </w:rPr>
            </w:pPr>
            <w:r>
              <w:t xml:space="preserve">系统安全</w:t>
            </w:r>
          </w:p>
        </w:tc>
        <w:tc>
          <w:tcPr>
            <w:tcW w:w="5082" w:type="dxa"/>
            <w:shd w:val="clear" w:color="auto" w:fill="F5F7FA"/>
            <w:vAlign w:val="center"/>
          </w:tcPr>
          <w:p>
            <w:pPr>
              <w:jc w:val="both"/>
              <w:spacing w:before="30" w:after="30" w:line="280" w:lineRule="auto"/>
              <w:rPr>
                <w:sz w:val="18"/>
              </w:rPr>
            </w:pPr>
            <w:r>
              <w:t xml:space="preserve">6 项安全响应头 + 请求分级限流</w:t>
            </w:r>
          </w:p>
        </w:tc>
      </w:tr>
    </w:tbl>
    <w:p>
      <w:pPr>
        <w:pStyle w:val="Body"/>
        <w:jc w:val="left"/>
        <w:spacing w:before="0" w:after="40" w:line="320" w:lineRule="auto"/>
      </w:pPr>
    </w:p>
    <w:p>
      <w:pPr>
        <w:pStyle w:val="Heading2"/>
        <w:jc w:val="left"/>
        <w:spacing w:before="120" w:after="100" w:line="320" w:lineRule="auto"/>
      </w:pPr>
      <w:r>
        <w:t xml:space="preserve">5.2 效益分析</w:t>
      </w:r>
    </w:p>
    <w:p>
      <w:pPr>
        <w:pStyle w:val="Heading3"/>
        <w:jc w:val="left"/>
        <w:spacing w:before="0" w:after="100" w:line="320" w:lineRule="auto"/>
      </w:pPr>
      <w:r>
        <w:t xml:space="preserve">（1）经济效益</w:t>
      </w:r>
    </w:p>
    <w:p>
      <w:pPr>
        <w:pStyle w:val="Body"/>
        <w:jc w:val="both"/>
        <w:spacing w:before="0" w:after="80" w:line="320" w:lineRule="auto"/>
      </w:pPr>
      <w:r>
        <w:t xml:space="preserve">本作品对农业生产的经济价值体现为</w:t>
      </w:r>
      <w:r>
        <w:rPr>
          <w:b/>
        </w:rPr>
        <w:t xml:space="preserve">降低决策试错成本</w:t>
      </w:r>
      <w:r>
        <w:t xml:space="preserve">：</w:t>
      </w:r>
    </w:p>
    <w:p>
      <w:pPr>
        <w:pStyle w:val="Body"/>
        <w:jc w:val="both"/>
        <w:spacing w:before="0" w:after="80" w:line="320" w:lineRule="auto"/>
        <w:ind w:left="340"/>
      </w:pPr>
      <w:r>
        <w:t xml:space="preserve">· </w:t>
      </w:r>
      <w:r>
        <w:t xml:space="preserve">情景模拟模块可在不实际调整生产的前提下，定量推演"灌溉率提高 / 化肥投入变化 / 降水增减"对区域单产风险的影响方向与量级，为投入决策提供前置参考；</w:t>
      </w:r>
    </w:p>
    <w:p>
      <w:pPr>
        <w:pStyle w:val="Body"/>
        <w:jc w:val="both"/>
        <w:spacing w:before="0" w:after="80" w:line="320" w:lineRule="auto"/>
        <w:ind w:left="340"/>
      </w:pPr>
      <w:r>
        <w:t xml:space="preserve">· </w:t>
      </w:r>
      <w:r>
        <w:t xml:space="preserve">数据与系统的边际复制成本极低：新增省份只需补充数据重新训练，系统无需改造，具备规模推广的经济可行性；</w:t>
      </w:r>
    </w:p>
    <w:p>
      <w:pPr>
        <w:pStyle w:val="Body"/>
        <w:jc w:val="both"/>
        <w:spacing w:before="0" w:after="80" w:line="320" w:lineRule="auto"/>
        <w:ind w:left="340"/>
      </w:pPr>
      <w:r>
        <w:t xml:space="preserve">· </w:t>
      </w:r>
      <w:r>
        <w:t xml:space="preserve">对农业保险基层机构而言，可解释的分省风险归因可作为差异化产品设计与费率复核的参考依据。</w:t>
      </w:r>
    </w:p>
    <w:p>
      <w:pPr>
        <w:pStyle w:val="Body"/>
        <w:jc w:val="both"/>
        <w:spacing w:before="0" w:after="80" w:line="320" w:lineRule="auto"/>
      </w:pPr>
      <w:r>
        <w:t xml:space="preserve">需要说明的是，成本—收益的定量测算需结合试点单位的实际投入与赔付数据，现阶段以定性论证为主；作品不作脱离数据的收益承诺。</w:t>
      </w:r>
    </w:p>
    <w:p>
      <w:pPr>
        <w:pStyle w:val="Heading3"/>
        <w:jc w:val="left"/>
        <w:spacing w:before="0" w:after="100" w:line="320" w:lineRule="auto"/>
      </w:pPr>
      <w:r>
        <w:t xml:space="preserve">（2）社会效益</w:t>
      </w:r>
    </w:p>
    <w:p>
      <w:pPr>
        <w:pStyle w:val="Body"/>
        <w:jc w:val="both"/>
        <w:spacing w:before="0" w:after="80" w:line="320" w:lineRule="auto"/>
        <w:ind w:left="340"/>
      </w:pPr>
      <w:r>
        <w:t xml:space="preserve">· </w:t>
      </w:r>
      <w:r>
        <w:rPr>
          <w:b/>
        </w:rPr>
        <w:t xml:space="preserve">服务粮食安全：</w:t>
      </w:r>
      <w:r>
        <w:t xml:space="preserve">为区域农业管理部门提供极端气候情境下的风险识别与因子归因工具，支撑防灾减灾资源的精准投放；</w:t>
      </w:r>
    </w:p>
    <w:p>
      <w:pPr>
        <w:pStyle w:val="Body"/>
        <w:jc w:val="both"/>
        <w:spacing w:before="0" w:after="80" w:line="320" w:lineRule="auto"/>
        <w:ind w:left="340"/>
      </w:pPr>
      <w:r>
        <w:t xml:space="preserve">· </w:t>
      </w:r>
      <w:r>
        <w:rPr>
          <w:b/>
        </w:rPr>
        <w:t xml:space="preserve">降低技术门槛：</w:t>
      </w:r>
      <w:r>
        <w:t xml:space="preserve">全中文网页形态、无需安装、无需 GPU 服务器，适配基层使用环境；知识助手（M06）让不具备建模背景的使用者也能检索方法细节与数据口径；</w:t>
      </w:r>
    </w:p>
    <w:p>
      <w:pPr>
        <w:pStyle w:val="Body"/>
        <w:jc w:val="both"/>
        <w:spacing w:before="0" w:after="80" w:line="320" w:lineRule="auto"/>
        <w:ind w:left="340"/>
      </w:pPr>
      <w:r>
        <w:t xml:space="preserve">· </w:t>
      </w:r>
      <w:r>
        <w:rPr>
          <w:b/>
        </w:rPr>
        <w:t xml:space="preserve">推动结论规范使用：</w:t>
      </w:r>
      <w:r>
        <w:t xml:space="preserve">通过主动披露空间外推上限（中位 R² = −16.83），避免"AI 预测全国产量"式的过度宣传，这是对农业 AI 应用生态的正向贡献。</w:t>
      </w:r>
    </w:p>
    <w:p>
      <w:pPr>
        <w:pStyle w:val="Heading3"/>
        <w:jc w:val="left"/>
        <w:spacing w:before="0" w:after="100" w:line="320" w:lineRule="auto"/>
      </w:pPr>
      <w:r>
        <w:t xml:space="preserve">（3）学科建设与科研效益</w:t>
      </w:r>
    </w:p>
    <w:p>
      <w:pPr>
        <w:pStyle w:val="Body"/>
        <w:jc w:val="both"/>
        <w:spacing w:before="0" w:after="80" w:line="320" w:lineRule="auto"/>
        <w:ind w:left="340"/>
      </w:pPr>
      <w:r>
        <w:t xml:space="preserve">· </w:t>
      </w:r>
      <w:r>
        <w:rPr>
          <w:b/>
        </w:rPr>
        <w:t xml:space="preserve">方法可迁移：</w:t>
      </w:r>
      <w:r>
        <w:t xml:space="preserve">三模型互补归因 + 多协议披露的框架与具体作物无关，可迁移至其他"气候—生产"研究议题；</w:t>
      </w:r>
    </w:p>
    <w:p>
      <w:pPr>
        <w:pStyle w:val="Body"/>
        <w:jc w:val="both"/>
        <w:spacing w:before="0" w:after="80" w:line="320" w:lineRule="auto"/>
        <w:ind w:left="340"/>
      </w:pPr>
      <w:r>
        <w:t xml:space="preserve">· </w:t>
      </w:r>
      <w:r>
        <w:rPr>
          <w:b/>
        </w:rPr>
        <w:t xml:space="preserve">流程可复用：</w:t>
      </w:r>
      <w:r>
        <w:t xml:space="preserve">四模态数据对齐与耕地像元加权聚合流程可复用于同类省级面板研究；</w:t>
      </w:r>
    </w:p>
    <w:p>
      <w:pPr>
        <w:pStyle w:val="Body"/>
        <w:jc w:val="both"/>
        <w:spacing w:before="0" w:after="80" w:line="320" w:lineRule="auto"/>
        <w:ind w:left="340"/>
      </w:pPr>
      <w:r>
        <w:t xml:space="preserve">· </w:t>
      </w:r>
      <w:r>
        <w:rPr>
          <w:b/>
        </w:rPr>
        <w:t xml:space="preserve">教学可用：</w:t>
      </w:r>
      <w:r>
        <w:t xml:space="preserve">交互式归因看板与情景模拟适合作为农学、农业气象、数据科学相关课程的实训模块；</w:t>
      </w:r>
    </w:p>
    <w:p>
      <w:pPr>
        <w:pStyle w:val="Body"/>
        <w:jc w:val="both"/>
        <w:spacing w:before="0" w:after="80" w:line="320" w:lineRule="auto"/>
        <w:ind w:left="340"/>
      </w:pPr>
      <w:r>
        <w:t xml:space="preserve">· </w:t>
      </w:r>
      <w:r>
        <w:rPr>
          <w:b/>
        </w:rPr>
        <w:t xml:space="preserve">结论可检验：</w:t>
      </w:r>
      <w:r>
        <w:t xml:space="preserve">全部超参、随机种子与模型卡片齐备，结论可被独立复现。</w:t>
      </w:r>
    </w:p>
    <w:p>
      <w:pPr>
        <w:pStyle w:val="Heading1"/>
        <w:pageBreakBefore/>
        <w:jc w:val="left"/>
        <w:spacing w:before="0" w:after="100" w:line="320" w:lineRule="auto"/>
      </w:pPr>
      <w:r>
        <w:t xml:space="preserve">六、总结与展望</w:t>
      </w:r>
    </w:p>
    <w:p>
      <w:pPr>
        <w:pStyle w:val="Heading2"/>
        <w:jc w:val="left"/>
        <w:spacing w:before="120" w:after="100" w:line="320" w:lineRule="auto"/>
      </w:pPr>
      <w:r>
        <w:t xml:space="preserve">6.1 经验总结</w:t>
      </w:r>
    </w:p>
    <w:p>
      <w:pPr>
        <w:pStyle w:val="Body"/>
        <w:jc w:val="both"/>
        <w:spacing w:before="0" w:after="80" w:line="320" w:lineRule="auto"/>
      </w:pPr>
      <w:r>
        <w:rPr>
          <w:b/>
        </w:rPr>
        <w:t xml:space="preserve">成功经验：</w:t>
      </w:r>
    </w:p>
    <w:p>
      <w:pPr>
        <w:pStyle w:val="Body"/>
        <w:jc w:val="both"/>
        <w:spacing w:before="0" w:after="80" w:line="320" w:lineRule="auto"/>
        <w:ind w:left="340"/>
      </w:pPr>
      <w:r>
        <w:t xml:space="preserve">1. </w:t>
      </w:r>
      <w:r>
        <w:rPr>
          <w:b/>
        </w:rPr>
        <w:t xml:space="preserve">痛点定位决定了作品价值。</w:t>
      </w:r>
      <w:r>
        <w:t xml:space="preserve">本作品没有从"用最新模型"出发，而是从"同一气候冲击在不同区域方向相反"这一农业真实痛点出发，因此归因能力比预测精度更有价值；</w:t>
      </w:r>
    </w:p>
    <w:p>
      <w:pPr>
        <w:pStyle w:val="Body"/>
        <w:jc w:val="both"/>
        <w:spacing w:before="0" w:after="80" w:line="320" w:lineRule="auto"/>
        <w:ind w:left="340"/>
      </w:pPr>
      <w:r>
        <w:t xml:space="preserve">2. </w:t>
      </w:r>
      <w:r>
        <w:rPr>
          <w:b/>
        </w:rPr>
        <w:t xml:space="preserve">把负结果当作产出。</w:t>
      </w:r>
      <w:r>
        <w:t xml:space="preserve">空间外推失败（中位 R² = −16.83）与植被指数边际贡献接近零（ΔR² = 0.003）两项负结果，反而构成了作品最有说服力的部分——它们让模型的使用边界变得清晰，也让系统的定位不易被质疑穿透；</w:t>
      </w:r>
    </w:p>
    <w:p>
      <w:pPr>
        <w:pStyle w:val="Body"/>
        <w:jc w:val="both"/>
        <w:spacing w:before="0" w:after="80" w:line="320" w:lineRule="auto"/>
        <w:ind w:left="340"/>
      </w:pPr>
      <w:r>
        <w:t xml:space="preserve">3. </w:t>
      </w:r>
      <w:r>
        <w:rPr>
          <w:b/>
        </w:rPr>
        <w:t xml:space="preserve">可解释性是农业场景的刚需。</w:t>
      </w:r>
      <w:r>
        <w:t xml:space="preserve">SHAP 双视角对照与白箱规则引擎的设计，直接对应"基层使用者需要知道依据"这一调研结论。</w:t>
      </w:r>
    </w:p>
    <w:p>
      <w:pPr>
        <w:pStyle w:val="Body"/>
        <w:jc w:val="both"/>
        <w:spacing w:before="0" w:after="80" w:line="320" w:lineRule="auto"/>
      </w:pPr>
      <w:r>
        <w:rPr>
          <w:b/>
        </w:rPr>
        <w:t xml:space="preserve">不足之处：</w:t>
      </w:r>
    </w:p>
    <w:p>
      <w:pPr>
        <w:pStyle w:val="Body"/>
        <w:jc w:val="both"/>
        <w:spacing w:before="0" w:after="80" w:line="320" w:lineRule="auto"/>
        <w:ind w:left="340"/>
      </w:pPr>
      <w:r>
        <w:t xml:space="preserve">· </w:t>
      </w:r>
      <w:r>
        <w:t xml:space="preserve">空间粒度以省级为主，县域层面虽有面板与验证结果，但尚未形成逐县的地块级建议；</w:t>
      </w:r>
    </w:p>
    <w:p>
      <w:pPr>
        <w:pStyle w:val="Body"/>
        <w:jc w:val="both"/>
        <w:spacing w:before="0" w:after="80" w:line="320" w:lineRule="auto"/>
        <w:ind w:left="340"/>
      </w:pPr>
      <w:r>
        <w:t xml:space="preserve">· </w:t>
      </w:r>
      <w:r>
        <w:t xml:space="preserve">时间覆盖至 2023 年，未纳入最新年份数据；</w:t>
      </w:r>
    </w:p>
    <w:p>
      <w:pPr>
        <w:pStyle w:val="Body"/>
        <w:jc w:val="both"/>
        <w:spacing w:before="0" w:after="80" w:line="320" w:lineRule="auto"/>
        <w:ind w:left="340"/>
      </w:pPr>
      <w:r>
        <w:t xml:space="preserve">· </w:t>
      </w:r>
      <w:r>
        <w:t xml:space="preserve">需求调研以文献、数据实践与场景分析为主，一线访谈记录仍有待规模化补充；</w:t>
      </w:r>
    </w:p>
    <w:p>
      <w:pPr>
        <w:pStyle w:val="Body"/>
        <w:jc w:val="both"/>
        <w:spacing w:before="0" w:after="80" w:line="320" w:lineRule="auto"/>
        <w:ind w:left="340"/>
      </w:pPr>
      <w:r>
        <w:t xml:space="preserve">· </w:t>
      </w:r>
      <w:r>
        <w:t xml:space="preserve">生产投入类因子的边际方向存在反向因果嫌疑（投入可能是对差年景的事后补救），当前回归框架无法识别；</w:t>
      </w:r>
    </w:p>
    <w:p>
      <w:pPr>
        <w:pStyle w:val="Body"/>
        <w:jc w:val="both"/>
        <w:spacing w:before="0" w:after="80" w:line="320" w:lineRule="auto"/>
        <w:ind w:left="340"/>
      </w:pPr>
      <w:r>
        <w:t xml:space="preserve">· </w:t>
      </w:r>
      <w:r>
        <w:t xml:space="preserve">尚缺来自生产一线的规模化使用反馈。</w:t>
      </w:r>
    </w:p>
    <w:p>
      <w:pPr>
        <w:pStyle w:val="Heading2"/>
        <w:jc w:val="left"/>
        <w:spacing w:before="120" w:after="100" w:line="320" w:lineRule="auto"/>
      </w:pPr>
      <w:r>
        <w:t xml:space="preserve">6.2 未来规划</w:t>
      </w:r>
    </w:p>
    <w:p>
      <w:pPr>
        <w:pStyle w:val="Caption"/>
        <w:jc w:val="center"/>
        <w:spacing w:before="0" w:after="60" w:line="320" w:lineRule="auto"/>
      </w:pPr>
      <w:r>
        <w:rPr>
          <w:sz w:val="18"/>
          <w:szCs w:val="18"/>
        </w:rPr>
        <w:t xml:space="preserve">表 9　后续演进规划</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317"/>
        <w:gridCol w:w="4141"/>
        <w:gridCol w:w="3953"/>
      </w:tblGrid>
      <w:tr>
        <w:trPr>
          <w:tblHeader/>
        </w:trPr>
        <w:tc>
          <w:tcPr>
            <w:tcW w:w="1317" w:type="dxa"/>
            <w:shd w:val="clear" w:color="auto" w:fill="1F3864"/>
            <w:vAlign w:val="center"/>
          </w:tcPr>
          <w:p>
            <w:pPr>
              <w:jc w:val="center"/>
              <w:spacing w:before="30" w:after="30" w:line="280" w:lineRule="auto"/>
              <w:rPr>
                <w:sz w:val="18"/>
              </w:rPr>
            </w:pPr>
            <w:r>
              <w:rPr>
                <w:color w:val="FFFFFF"/>
                <w:b/>
              </w:rPr>
              <w:t xml:space="preserve">阶段</w:t>
            </w:r>
          </w:p>
        </w:tc>
        <w:tc>
          <w:tcPr>
            <w:tcW w:w="4141" w:type="dxa"/>
            <w:shd w:val="clear" w:color="auto" w:fill="1F3864"/>
            <w:vAlign w:val="center"/>
          </w:tcPr>
          <w:p>
            <w:pPr>
              <w:jc w:val="center"/>
              <w:spacing w:before="30" w:after="30" w:line="280" w:lineRule="auto"/>
              <w:rPr>
                <w:sz w:val="18"/>
              </w:rPr>
            </w:pPr>
            <w:r>
              <w:rPr>
                <w:color w:val="FFFFFF"/>
                <w:b/>
              </w:rPr>
              <w:t xml:space="preserve">规划</w:t>
            </w:r>
          </w:p>
        </w:tc>
        <w:tc>
          <w:tcPr>
            <w:tcW w:w="3953" w:type="dxa"/>
            <w:shd w:val="clear" w:color="auto" w:fill="1F3864"/>
            <w:vAlign w:val="center"/>
          </w:tcPr>
          <w:p>
            <w:pPr>
              <w:jc w:val="center"/>
              <w:spacing w:before="30" w:after="30" w:line="280" w:lineRule="auto"/>
              <w:rPr>
                <w:sz w:val="18"/>
              </w:rPr>
            </w:pPr>
            <w:r>
              <w:rPr>
                <w:color w:val="FFFFFF"/>
                <w:b/>
              </w:rPr>
              <w:t xml:space="preserve">目标</w:t>
            </w:r>
          </w:p>
        </w:tc>
      </w:tr>
      <w:tr>
        <w:tc>
          <w:tcPr>
            <w:tcW w:w="1317" w:type="dxa"/>
            <w:shd w:val="clear" w:color="auto" w:fill="F5F7FA"/>
            <w:vAlign w:val="center"/>
          </w:tcPr>
          <w:p>
            <w:pPr>
              <w:jc w:val="both"/>
              <w:spacing w:before="30" w:after="30" w:line="280" w:lineRule="auto"/>
              <w:rPr>
                <w:sz w:val="18"/>
              </w:rPr>
            </w:pPr>
            <w:r>
              <w:t xml:space="preserve">近期</w:t>
            </w:r>
          </w:p>
        </w:tc>
        <w:tc>
          <w:tcPr>
            <w:tcW w:w="4141" w:type="dxa"/>
            <w:shd w:val="clear" w:color="auto" w:fill="F5F7FA"/>
            <w:vAlign w:val="center"/>
          </w:tcPr>
          <w:p>
            <w:pPr>
              <w:jc w:val="both"/>
              <w:spacing w:before="30" w:after="30" w:line="280" w:lineRule="auto"/>
              <w:rPr>
                <w:sz w:val="18"/>
              </w:rPr>
            </w:pPr>
            <w:r>
              <w:t xml:space="preserve">补充一线使用反馈；完善样本级归因接口与操作手册</w:t>
            </w:r>
          </w:p>
        </w:tc>
        <w:tc>
          <w:tcPr>
            <w:tcW w:w="3953" w:type="dxa"/>
            <w:shd w:val="clear" w:color="auto" w:fill="F5F7FA"/>
            <w:vAlign w:val="center"/>
          </w:tcPr>
          <w:p>
            <w:pPr>
              <w:jc w:val="both"/>
              <w:spacing w:before="30" w:after="30" w:line="280" w:lineRule="auto"/>
              <w:rPr>
                <w:sz w:val="18"/>
              </w:rPr>
            </w:pPr>
            <w:r>
              <w:t xml:space="preserve">把效果验证从团队内部实测扩展为外部佐证</w:t>
            </w:r>
          </w:p>
        </w:tc>
      </w:tr>
      <w:tr>
        <w:tc>
          <w:tcPr>
            <w:tcW w:w="1317" w:type="dxa"/>
            <w:shd w:val="clear" w:color="auto" w:fill="FFFFFF"/>
            <w:vAlign w:val="center"/>
          </w:tcPr>
          <w:p>
            <w:pPr>
              <w:jc w:val="both"/>
              <w:spacing w:before="30" w:after="30" w:line="280" w:lineRule="auto"/>
              <w:rPr>
                <w:sz w:val="18"/>
              </w:rPr>
            </w:pPr>
            <w:r>
              <w:t xml:space="preserve">中期</w:t>
            </w:r>
          </w:p>
        </w:tc>
        <w:tc>
          <w:tcPr>
            <w:tcW w:w="4141" w:type="dxa"/>
            <w:shd w:val="clear" w:color="auto" w:fill="FFFFFF"/>
            <w:vAlign w:val="center"/>
          </w:tcPr>
          <w:p>
            <w:pPr>
              <w:jc w:val="both"/>
              <w:spacing w:before="30" w:after="30" w:line="280" w:lineRule="auto"/>
              <w:rPr>
                <w:sz w:val="18"/>
              </w:rPr>
            </w:pPr>
            <w:r>
              <w:t xml:space="preserve">空间粒度由省级下移至县域；纳入新年份数据，形成滚动更新机制</w:t>
            </w:r>
          </w:p>
        </w:tc>
        <w:tc>
          <w:tcPr>
            <w:tcW w:w="3953" w:type="dxa"/>
            <w:shd w:val="clear" w:color="auto" w:fill="FFFFFF"/>
            <w:vAlign w:val="center"/>
          </w:tcPr>
          <w:p>
            <w:pPr>
              <w:jc w:val="both"/>
              <w:spacing w:before="30" w:after="30" w:line="280" w:lineRule="auto"/>
              <w:rPr>
                <w:sz w:val="18"/>
              </w:rPr>
            </w:pPr>
            <w:r>
              <w:t xml:space="preserve">提高省内变异占比，使气候—产量关系具备更强的可辨识性</w:t>
            </w:r>
          </w:p>
        </w:tc>
      </w:tr>
      <w:tr>
        <w:tc>
          <w:tcPr>
            <w:tcW w:w="1317" w:type="dxa"/>
            <w:shd w:val="clear" w:color="auto" w:fill="F5F7FA"/>
            <w:vAlign w:val="center"/>
          </w:tcPr>
          <w:p>
            <w:pPr>
              <w:jc w:val="both"/>
              <w:spacing w:before="30" w:after="30" w:line="280" w:lineRule="auto"/>
              <w:rPr>
                <w:sz w:val="18"/>
              </w:rPr>
            </w:pPr>
            <w:r>
              <w:t xml:space="preserve">中期</w:t>
            </w:r>
          </w:p>
        </w:tc>
        <w:tc>
          <w:tcPr>
            <w:tcW w:w="4141" w:type="dxa"/>
            <w:shd w:val="clear" w:color="auto" w:fill="F5F7FA"/>
            <w:vAlign w:val="center"/>
          </w:tcPr>
          <w:p>
            <w:pPr>
              <w:jc w:val="both"/>
              <w:spacing w:before="30" w:after="30" w:line="280" w:lineRule="auto"/>
              <w:rPr>
                <w:sz w:val="18"/>
              </w:rPr>
            </w:pPr>
            <w:r>
              <w:t xml:space="preserve">引入随机斜率等结构检验区域异质性；尝试准实验设计处理反向因果</w:t>
            </w:r>
          </w:p>
        </w:tc>
        <w:tc>
          <w:tcPr>
            <w:tcW w:w="3953" w:type="dxa"/>
            <w:shd w:val="clear" w:color="auto" w:fill="F5F7FA"/>
            <w:vAlign w:val="center"/>
          </w:tcPr>
          <w:p>
            <w:pPr>
              <w:jc w:val="both"/>
              <w:spacing w:before="30" w:after="30" w:line="280" w:lineRule="auto"/>
              <w:rPr>
                <w:sz w:val="18"/>
              </w:rPr>
            </w:pPr>
            <w:r>
              <w:t xml:space="preserve">从"相关归因"走向"因果归因"，支撑更硬的政策建议</w:t>
            </w:r>
          </w:p>
        </w:tc>
      </w:tr>
      <w:tr>
        <w:tc>
          <w:tcPr>
            <w:tcW w:w="1317" w:type="dxa"/>
            <w:shd w:val="clear" w:color="auto" w:fill="FFFFFF"/>
            <w:vAlign w:val="center"/>
          </w:tcPr>
          <w:p>
            <w:pPr>
              <w:jc w:val="both"/>
              <w:spacing w:before="30" w:after="30" w:line="280" w:lineRule="auto"/>
              <w:rPr>
                <w:sz w:val="18"/>
              </w:rPr>
            </w:pPr>
            <w:r>
              <w:t xml:space="preserve">远期</w:t>
            </w:r>
          </w:p>
        </w:tc>
        <w:tc>
          <w:tcPr>
            <w:tcW w:w="4141" w:type="dxa"/>
            <w:shd w:val="clear" w:color="auto" w:fill="FFFFFF"/>
            <w:vAlign w:val="center"/>
          </w:tcPr>
          <w:p>
            <w:pPr>
              <w:jc w:val="both"/>
              <w:spacing w:before="30" w:after="30" w:line="280" w:lineRule="auto"/>
              <w:rPr>
                <w:sz w:val="18"/>
              </w:rPr>
            </w:pPr>
            <w:r>
              <w:t xml:space="preserve">与农技推广、农业保险等场景对接，形成"风险识别—归因—对策—效果回访"闭环</w:t>
            </w:r>
          </w:p>
        </w:tc>
        <w:tc>
          <w:tcPr>
            <w:tcW w:w="3953" w:type="dxa"/>
            <w:shd w:val="clear" w:color="auto" w:fill="FFFFFF"/>
            <w:vAlign w:val="center"/>
          </w:tcPr>
          <w:p>
            <w:pPr>
              <w:jc w:val="both"/>
              <w:spacing w:before="30" w:after="30" w:line="280" w:lineRule="auto"/>
              <w:rPr>
                <w:sz w:val="18"/>
              </w:rPr>
            </w:pPr>
            <w:r>
              <w:t xml:space="preserve">建立可复制、可推广的农业气候风险服务模式</w:t>
            </w:r>
          </w:p>
        </w:tc>
      </w:tr>
    </w:tbl>
    <w:p>
      <w:pPr>
        <w:pStyle w:val="Body"/>
        <w:jc w:val="left"/>
        <w:spacing w:before="0" w:after="40" w:line="320" w:lineRule="auto"/>
      </w:pPr>
    </w:p>
    <w:p>
      <w:pPr>
        <w:pStyle w:val="Body"/>
        <w:jc w:val="both"/>
        <w:spacing w:before="0" w:after="80" w:line="320" w:lineRule="auto"/>
      </w:pPr>
      <w:r>
        <w:rPr>
          <w:b/>
        </w:rPr>
        <w:t xml:space="preserve">产业推广策略：</w:t>
      </w:r>
    </w:p>
    <w:p>
      <w:pPr>
        <w:pStyle w:val="Body"/>
        <w:jc w:val="both"/>
        <w:spacing w:before="0" w:after="80" w:line="320" w:lineRule="auto"/>
        <w:ind w:left="340"/>
      </w:pPr>
      <w:r>
        <w:t xml:space="preserve">1. </w:t>
      </w:r>
      <w:r>
        <w:rPr>
          <w:b/>
        </w:rPr>
        <w:t xml:space="preserve">由点及面：</w:t>
      </w:r>
      <w:r>
        <w:t xml:space="preserve">先在 1—2 个主产省做深度试点，形成可展示的应用案例，再横向复制；</w:t>
      </w:r>
    </w:p>
    <w:p>
      <w:pPr>
        <w:pStyle w:val="Body"/>
        <w:jc w:val="both"/>
        <w:spacing w:before="0" w:after="80" w:line="320" w:lineRule="auto"/>
        <w:ind w:left="340"/>
      </w:pPr>
      <w:r>
        <w:t xml:space="preserve">2. </w:t>
      </w:r>
      <w:r>
        <w:rPr>
          <w:b/>
        </w:rPr>
        <w:t xml:space="preserve">轻量化交付：</w:t>
      </w:r>
      <w:r>
        <w:t xml:space="preserve">坚持无需 GPU、单体部署的技术路线，降低基层单位的落地门槛；</w:t>
      </w:r>
    </w:p>
    <w:p>
      <w:pPr>
        <w:pStyle w:val="Body"/>
        <w:jc w:val="both"/>
        <w:spacing w:before="0" w:after="80" w:line="320" w:lineRule="auto"/>
        <w:ind w:left="340"/>
      </w:pPr>
      <w:r>
        <w:t xml:space="preserve">3. </w:t>
      </w:r>
      <w:r>
        <w:rPr>
          <w:b/>
        </w:rPr>
        <w:t xml:space="preserve">开放数据与接口：</w:t>
      </w:r>
      <w:r>
        <w:t xml:space="preserve">数据集说明与 API 接口对外开放，吸引同类研究复用，形成方法层面的行业共识；</w:t>
      </w:r>
    </w:p>
    <w:p>
      <w:pPr>
        <w:pStyle w:val="Body"/>
        <w:jc w:val="both"/>
        <w:spacing w:before="0" w:after="80" w:line="320" w:lineRule="auto"/>
        <w:ind w:left="340"/>
      </w:pPr>
      <w:r>
        <w:t xml:space="preserve">4. </w:t>
      </w:r>
      <w:r>
        <w:rPr>
          <w:b/>
        </w:rPr>
        <w:t xml:space="preserve">规范先行：</w:t>
      </w:r>
      <w:r>
        <w:t xml:space="preserve">在推广中坚持"边界清晰"的表达方式，把诚实的适用边界作为产品的可信度资产。</w:t>
      </w:r>
    </w:p>
    <w:p>
      <w:pPr>
        <w:pStyle w:val="Heading1"/>
        <w:pageBreakBefore/>
        <w:jc w:val="left"/>
        <w:spacing w:before="0" w:after="100" w:line="320" w:lineRule="auto"/>
      </w:pPr>
      <w:r>
        <w:t xml:space="preserve">七、附录</w:t>
      </w:r>
    </w:p>
    <w:p>
      <w:pPr>
        <w:pStyle w:val="Heading2"/>
        <w:jc w:val="left"/>
        <w:spacing w:before="120" w:after="100" w:line="320" w:lineRule="auto"/>
      </w:pPr>
      <w:r>
        <w:t xml:space="preserve">7.1 数据资料</w:t>
      </w:r>
    </w:p>
    <w:p>
      <w:pPr>
        <w:pStyle w:val="Body"/>
        <w:jc w:val="both"/>
        <w:spacing w:before="0" w:after="80" w:line="320" w:lineRule="auto"/>
        <w:ind w:left="340"/>
      </w:pPr>
      <w:r>
        <w:t xml:space="preserve">· </w:t>
      </w:r>
      <w:r>
        <w:rPr>
          <w:b/>
        </w:rPr>
        <w:t xml:space="preserve">数据来源：</w:t>
      </w:r>
      <w:r>
        <w:t xml:space="preserve">国家统计局及各省统计公报、中国农村统计年鉴类的公开统计数据；国家级气象数据服务（再分析气象要素）；MODIS 遥感产品（NASA EARTHDATA，植被指数与地表温度）；标准化降水蒸散指数数据集；中国水旱灾害公报；国家地球系统科学数据中心的地表覆盖与行政区划矢量数据（含审图号）；中国县域统计年鉴（公开出版物）。</w:t>
      </w:r>
    </w:p>
    <w:p>
      <w:pPr>
        <w:pStyle w:val="Body"/>
        <w:jc w:val="both"/>
        <w:spacing w:before="0" w:after="80" w:line="320" w:lineRule="auto"/>
        <w:ind w:left="340"/>
      </w:pPr>
      <w:r>
        <w:t xml:space="preserve">· </w:t>
      </w:r>
      <w:r>
        <w:rPr>
          <w:b/>
        </w:rPr>
        <w:t xml:space="preserve">处理后的数据：</w:t>
      </w:r>
      <w:r>
        <w:t xml:space="preserve">省级年度面板（403 条记录 × 27 字段），含 11 维入模特征、目标变量与派生列；城市级、县级建模面板与县级社会经济面板。</w:t>
      </w:r>
    </w:p>
    <w:p>
      <w:pPr>
        <w:pStyle w:val="Body"/>
        <w:jc w:val="both"/>
        <w:spacing w:before="0" w:after="80" w:line="320" w:lineRule="auto"/>
        <w:ind w:left="340"/>
      </w:pPr>
      <w:r>
        <w:t xml:space="preserve">· </w:t>
      </w:r>
      <w:r>
        <w:rPr>
          <w:b/>
        </w:rPr>
        <w:t xml:space="preserve">数据来源说明：</w:t>
      </w:r>
      <w:r>
        <w:t xml:space="preserve">逐字段标注来源、单位、时空口径与质量审计结论，第三方数据均在授权范围内使用并标注来源。</w:t>
      </w:r>
    </w:p>
    <w:p>
      <w:pPr>
        <w:pStyle w:val="Heading2"/>
        <w:jc w:val="left"/>
        <w:spacing w:before="120" w:after="100" w:line="320" w:lineRule="auto"/>
      </w:pPr>
      <w:r>
        <w:t xml:space="preserve">7.2 代码与模型</w:t>
      </w:r>
    </w:p>
    <w:p>
      <w:pPr>
        <w:pStyle w:val="Body"/>
        <w:jc w:val="both"/>
        <w:spacing w:before="0" w:after="80" w:line="320" w:lineRule="auto"/>
        <w:ind w:left="340"/>
      </w:pPr>
      <w:r>
        <w:t xml:space="preserve">· </w:t>
      </w:r>
      <w:r>
        <w:t xml:space="preserve">数据管线脚本、三模型训练与评估脚本、SHAP 归因脚本、API 服务代码、前端 7 模块代码；</w:t>
      </w:r>
    </w:p>
    <w:p>
      <w:pPr>
        <w:pStyle w:val="Body"/>
        <w:jc w:val="both"/>
        <w:spacing w:before="0" w:after="80" w:line="320" w:lineRule="auto"/>
        <w:ind w:left="340"/>
      </w:pPr>
      <w:r>
        <w:t xml:space="preserve">· </w:t>
      </w:r>
      <w:r>
        <w:t xml:space="preserve">三套模型文件及配套标准化器；</w:t>
      </w:r>
    </w:p>
    <w:p>
      <w:pPr>
        <w:pStyle w:val="Body"/>
        <w:jc w:val="both"/>
        <w:spacing w:before="0" w:after="80" w:line="320" w:lineRule="auto"/>
        <w:ind w:left="340"/>
      </w:pPr>
      <w:r>
        <w:t xml:space="preserve">· </w:t>
      </w:r>
      <w:r>
        <w:t xml:space="preserve">模型卡片（数据版本、超参、随机种子、评价指标、已知局限）。</w:t>
      </w:r>
    </w:p>
    <w:p>
      <w:pPr>
        <w:pStyle w:val="Heading2"/>
        <w:jc w:val="left"/>
        <w:spacing w:before="120" w:after="100" w:line="320" w:lineRule="auto"/>
      </w:pPr>
      <w:r>
        <w:t xml:space="preserve">7.3 参考文献</w:t>
      </w:r>
    </w:p>
    <w:p>
      <w:pPr>
        <w:pStyle w:val="Body"/>
        <w:jc w:val="both"/>
        <w:spacing w:before="0" w:after="40" w:line="320" w:lineRule="auto"/>
      </w:pPr>
      <w:r>
        <w:t xml:space="preserve">[1] Schlenker W, Roberts M J. Nonlinear temperature effects indicate severe damages to U.S. crop yields under climate change.</w:t>
      </w:r>
      <w:r>
        <w:t xml:space="preserve">PNAS</w:t>
      </w:r>
      <w:r>
        <w:t xml:space="preserve">, 2009, 106(37): 15594-15598.</w:t>
      </w:r>
    </w:p>
    <w:p>
      <w:pPr>
        <w:pStyle w:val="Body"/>
        <w:jc w:val="both"/>
        <w:spacing w:before="0" w:after="40" w:line="320" w:lineRule="auto"/>
      </w:pPr>
      <w:r>
        <w:t xml:space="preserve">[2] Lobell D B, Roberts M J, Schlenker W, et al. Greater sensitivity to drought accompanies maize yield increase in the U.S. Midwest.</w:t>
      </w:r>
      <w:r>
        <w:t xml:space="preserve">Science</w:t>
      </w:r>
      <w:r>
        <w:t xml:space="preserve">, 2014, 344(6183): 516-519.</w:t>
      </w:r>
    </w:p>
    <w:p>
      <w:pPr>
        <w:pStyle w:val="Body"/>
        <w:jc w:val="both"/>
        <w:spacing w:before="0" w:after="40" w:line="320" w:lineRule="auto"/>
      </w:pPr>
      <w:r>
        <w:t xml:space="preserve">[3] Chen T, Guestrin C. XGBoost: A scalable tree boosting system.</w:t>
      </w:r>
      <w:r>
        <w:t xml:space="preserve">KDD</w:t>
      </w:r>
      <w:r>
        <w:t xml:space="preserve">, 2016: 785-794.</w:t>
      </w:r>
    </w:p>
    <w:p>
      <w:pPr>
        <w:pStyle w:val="Body"/>
        <w:jc w:val="both"/>
        <w:spacing w:before="0" w:after="40" w:line="320" w:lineRule="auto"/>
      </w:pPr>
      <w:r>
        <w:t xml:space="preserve">[4] Lundberg S M, Lee S I. A unified approach to interpreting model predictions.</w:t>
      </w:r>
      <w:r>
        <w:t xml:space="preserve">NeurIPS</w:t>
      </w:r>
      <w:r>
        <w:t xml:space="preserve">, 2017: 4765-4774.</w:t>
      </w:r>
    </w:p>
    <w:p>
      <w:pPr>
        <w:pStyle w:val="Body"/>
        <w:jc w:val="both"/>
        <w:spacing w:before="0" w:after="40" w:line="320" w:lineRule="auto"/>
      </w:pPr>
      <w:r>
        <w:t xml:space="preserve">[5] Hochreiter S, Schmidhuber J. Long short-term memory.</w:t>
      </w:r>
      <w:r>
        <w:t xml:space="preserve">Neural Computation</w:t>
      </w:r>
      <w:r>
        <w:t xml:space="preserve">, 1997, 9(8): 1735-1780.</w:t>
      </w:r>
    </w:p>
    <w:p>
      <w:pPr>
        <w:pStyle w:val="Body"/>
        <w:jc w:val="both"/>
        <w:spacing w:before="0" w:after="40" w:line="320" w:lineRule="auto"/>
      </w:pPr>
      <w:r>
        <w:t xml:space="preserve">[6] Vaswani A, Shazeer N, Parmar N, et al. Attention is all you need.</w:t>
      </w:r>
      <w:r>
        <w:t xml:space="preserve">NeurIPS</w:t>
      </w:r>
      <w:r>
        <w:t xml:space="preserve">, 2017: 5998-6008.</w:t>
      </w:r>
    </w:p>
    <w:p>
      <w:pPr>
        <w:pStyle w:val="Body"/>
        <w:jc w:val="both"/>
        <w:spacing w:before="0" w:after="40" w:line="320" w:lineRule="auto"/>
      </w:pPr>
      <w:r>
        <w:t xml:space="preserve">[7] Krishna S, Han T, Gu A, et al. The disagreement problem in explainable machine learning: A practitioner's perspective.</w:t>
      </w:r>
      <w:r>
        <w:t xml:space="preserve">arXiv:2202.01602</w:t>
      </w:r>
      <w:r>
        <w:t xml:space="preserve">, 2022.</w:t>
      </w:r>
    </w:p>
    <w:p>
      <w:pPr>
        <w:pStyle w:val="Body"/>
        <w:jc w:val="both"/>
        <w:spacing w:before="0" w:after="40" w:line="320" w:lineRule="auto"/>
      </w:pPr>
      <w:r>
        <w:t xml:space="preserve">[8] Roberts D R, Bahn V, Ciuti S, et al. Cross-validation strategies for data with temporal, spatial, hierarchical, or phylogenetic structure.</w:t>
      </w:r>
      <w:r>
        <w:t xml:space="preserve">Ecography</w:t>
      </w:r>
      <w:r>
        <w:t xml:space="preserve">, 2017, 40(8): 913-929.</w:t>
      </w:r>
    </w:p>
    <w:p>
      <w:pPr>
        <w:pStyle w:val="Heading2"/>
        <w:jc w:val="left"/>
        <w:spacing w:before="120" w:after="100" w:line="320" w:lineRule="auto"/>
      </w:pPr>
      <w:r>
        <w:t xml:space="preserve">7.4 其他材料</w:t>
      </w:r>
    </w:p>
    <w:p>
      <w:pPr>
        <w:pStyle w:val="Body"/>
        <w:jc w:val="both"/>
        <w:spacing w:before="0" w:after="80" w:line="320" w:lineRule="auto"/>
        <w:ind w:left="340"/>
      </w:pPr>
      <w:r>
        <w:t xml:space="preserve">· </w:t>
      </w:r>
      <w:r>
        <w:t xml:space="preserve">系统测试记录与性能实测截图（不含任何单位信息）；</w:t>
      </w:r>
    </w:p>
    <w:p>
      <w:pPr>
        <w:pStyle w:val="Body"/>
        <w:jc w:val="both"/>
        <w:spacing w:before="0" w:after="80" w:line="320" w:lineRule="auto"/>
        <w:ind w:left="340"/>
      </w:pPr>
      <w:r>
        <w:t xml:space="preserve">· </w:t>
      </w:r>
      <w:r>
        <w:t xml:space="preserve">系统操作手册；</w:t>
      </w:r>
    </w:p>
    <w:p>
      <w:pPr>
        <w:pStyle w:val="Body"/>
        <w:jc w:val="both"/>
        <w:spacing w:before="0" w:after="80" w:line="320" w:lineRule="auto"/>
        <w:ind w:left="340"/>
      </w:pPr>
      <w:r>
        <w:t xml:space="preserve">· </w:t>
      </w:r>
      <w:r>
        <w:t xml:space="preserve">模型卡与交叉验证分折结果；</w:t>
      </w:r>
    </w:p>
    <w:p>
      <w:pPr>
        <w:pStyle w:val="Body"/>
        <w:jc w:val="both"/>
        <w:spacing w:before="0" w:after="80" w:line="320" w:lineRule="auto"/>
        <w:ind w:left="340"/>
      </w:pPr>
      <w:r>
        <w:t xml:space="preserve">· </w:t>
      </w:r>
      <w:r>
        <w:t xml:space="preserve">演示视频（3—5 分钟，MP4）与答辩 PPT（PDF）。</w:t>
      </w:r>
    </w:p>
    <w:sectPr>
      <w:pgSz w:w="11906" w:h="16838"/>
      <w:pgMar w:top="1247" w:right="1247" w:bottom="1134" w:left="1247" w:header="851" w:footer="992" w:gutter="0"/>
    </w:sectPr>
  </w:body>
</w:document>
</file>

<file path=word/styles.xml><?xml version="1.0" encoding="utf-8"?>
<w:styles xmlns:w="http://schemas.openxmlformats.org/wordprocessingml/2006/main">
  <w:docDefaults>
    <w:rPrDefault>
      <w:rPr>
        <w:rFonts w:ascii="Times New Roman" w:hAnsi="Times New Roman" w:eastAsia="宋体" w:cs="Times New Roman"/>
        <w:sz w:val="21"/>
        <w:szCs w:val="21"/>
      </w:rPr>
    </w:rPrDefault>
    <w:pPrDefault>
      <w:pPr>
        <w:spacing w:line="320" w:lineRule="auto"/>
      </w:pPr>
    </w:pPrDefault>
  </w:docDefaults>
  <w:style w:type="paragraph" w:styleId="Title">
    <w:name w:val="标题"/>
    <w:basedOn w:val="Normal"/>
    <w:qFormat/>
    <w:pPr>
      <w:jc w:val="center"/>
      <w:spacing w:before="0" w:after="200" w:line="320" w:lineRule="auto"/>
    </w:pPr>
    <w:rPr>
      <w:rFonts w:ascii="微软雅黑" w:hAnsi="微软雅黑" w:eastAsia="微软雅黑"/>
      <w:b/>
      <w:sz w:val="44"/>
      <w:szCs w:val="44"/>
    </w:rPr>
  </w:style>
  <w:style w:type="paragraph" w:styleId="Heading1">
    <w:name w:val="标题 1"/>
    <w:basedOn w:val="Normal"/>
    <w:qFormat/>
    <w:pPr>
      <w:jc w:val="both"/>
      <w:spacing w:before="240" w:after="140" w:line="320" w:lineRule="auto"/>
    </w:pPr>
    <w:rPr>
      <w:rFonts w:ascii="微软雅黑" w:hAnsi="微软雅黑" w:eastAsia="微软雅黑"/>
      <w:b/>
      <w:sz w:val="30"/>
      <w:szCs w:val="30"/>
    </w:rPr>
  </w:style>
  <w:style w:type="paragraph" w:styleId="Heading2">
    <w:name w:val="标题 2"/>
    <w:basedOn w:val="Normal"/>
    <w:qFormat/>
    <w:pPr>
      <w:jc w:val="both"/>
      <w:spacing w:before="200" w:after="100" w:line="320" w:lineRule="auto"/>
    </w:pPr>
    <w:rPr>
      <w:rFonts w:ascii="微软雅黑" w:hAnsi="微软雅黑" w:eastAsia="微软雅黑"/>
      <w:b/>
      <w:sz w:val="24"/>
      <w:szCs w:val="24"/>
    </w:rPr>
  </w:style>
  <w:style w:type="paragraph" w:styleId="Heading3">
    <w:name w:val="标题 3"/>
    <w:basedOn w:val="Normal"/>
    <w:qFormat/>
    <w:pPr>
      <w:jc w:val="both"/>
      <w:spacing w:before="160" w:after="90" w:line="320" w:lineRule="auto"/>
    </w:pPr>
    <w:rPr>
      <w:rFonts w:ascii="微软雅黑" w:hAnsi="微软雅黑" w:eastAsia="微软雅黑"/>
      <w:b/>
      <w:sz w:val="22"/>
      <w:szCs w:val="22"/>
    </w:rPr>
  </w:style>
  <w:style w:type="paragraph" w:styleId="Body">
    <w:name w:val="正文"/>
    <w:basedOn w:val="Normal"/>
    <w:qFormat/>
    <w:pPr>
      <w:jc w:val="both"/>
      <w:spacing w:before="0" w:after="90" w:line="320" w:lineRule="auto"/>
    </w:pPr>
    <w:rPr>
      <w:rFonts w:ascii="宋体" w:hAnsi="宋体" w:eastAsia="宋体"/>
      <w:sz w:val="21"/>
      <w:szCs w:val="21"/>
    </w:rPr>
  </w:style>
  <w:style w:type="paragraph" w:styleId="Caption">
    <w:name w:val="图注"/>
    <w:basedOn w:val="Normal"/>
    <w:qFormat/>
    <w:pPr>
      <w:jc w:val="center"/>
      <w:spacing w:before="40" w:after="120" w:line="320" w:lineRule="auto"/>
    </w:pPr>
    <w:rPr>
      <w:rFonts w:ascii="微软雅黑" w:hAnsi="微软雅黑" w:eastAsia="微软雅黑"/>
      <w:sz w:val="18"/>
      <w:szCs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禾衡·农业智能体决策服务平台</dc:title>
  <dc:creator/>
  <cp:lastModifiedBy/>
</cp:coreProperties>
</file>