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8A36" w14:textId="77777777" w:rsidR="003D20DE" w:rsidRDefault="003D20DE" w:rsidP="003D20DE">
      <w:pPr>
        <w:widowControl/>
        <w:jc w:val="left"/>
        <w:rPr>
          <w:b/>
          <w:bCs/>
          <w:sz w:val="24"/>
        </w:rPr>
      </w:pPr>
    </w:p>
    <w:p w14:paraId="54E3F7E2" w14:textId="77777777" w:rsidR="003D20DE" w:rsidRDefault="003D20DE" w:rsidP="003D20DE">
      <w:pPr>
        <w:adjustRightInd w:val="0"/>
        <w:snapToGrid w:val="0"/>
        <w:spacing w:line="520" w:lineRule="exact"/>
        <w:jc w:val="center"/>
        <w:rPr>
          <w:rFonts w:ascii="黑体" w:eastAsia="黑体" w:hAnsi="黑体" w:hint="eastAsia"/>
          <w:bCs/>
          <w:sz w:val="24"/>
        </w:rPr>
      </w:pPr>
    </w:p>
    <w:p w14:paraId="48A970C4" w14:textId="77777777" w:rsidR="003D20DE" w:rsidRDefault="003D20DE" w:rsidP="003D20DE">
      <w:pPr>
        <w:spacing w:beforeLines="50" w:before="156" w:afterLines="150" w:after="468"/>
        <w:jc w:val="center"/>
        <w:rPr>
          <w:rFonts w:ascii="黑体" w:eastAsia="黑体" w:hAnsi="黑体" w:hint="eastAsia"/>
          <w:bCs/>
          <w:sz w:val="30"/>
          <w:szCs w:val="30"/>
        </w:rPr>
      </w:pPr>
      <w:r>
        <w:rPr>
          <w:rFonts w:ascii="黑体" w:eastAsia="黑体" w:hAnsi="黑体" w:hint="eastAsia"/>
          <w:bCs/>
          <w:sz w:val="30"/>
          <w:szCs w:val="30"/>
        </w:rPr>
        <w:t>山西农业大学中国国际大学生创新大赛（2026）</w:t>
      </w:r>
    </w:p>
    <w:p w14:paraId="2757FCFA" w14:textId="77777777" w:rsidR="003D20DE" w:rsidRDefault="003D20DE" w:rsidP="003D20DE">
      <w:pPr>
        <w:spacing w:beforeLines="50" w:before="156" w:afterLines="150" w:after="468"/>
        <w:jc w:val="center"/>
        <w:rPr>
          <w:rFonts w:ascii="黑体" w:eastAsia="黑体" w:hAnsi="黑体" w:hint="eastAsia"/>
          <w:b/>
          <w:bCs/>
          <w:sz w:val="32"/>
          <w:szCs w:val="32"/>
        </w:rPr>
      </w:pPr>
      <w:r>
        <w:rPr>
          <w:rFonts w:ascii="黑体" w:eastAsia="黑体" w:hAnsi="黑体" w:hint="eastAsia"/>
          <w:b/>
          <w:bCs/>
          <w:sz w:val="32"/>
          <w:szCs w:val="32"/>
        </w:rPr>
        <w:t>项目计划书</w:t>
      </w:r>
    </w:p>
    <w:p w14:paraId="7590BA44" w14:textId="77777777" w:rsidR="003D20DE" w:rsidRDefault="003D20DE" w:rsidP="003D20DE"/>
    <w:p w14:paraId="4C46AC6D" w14:textId="77777777" w:rsidR="003D20DE" w:rsidRDefault="003D20DE" w:rsidP="003D20DE"/>
    <w:p w14:paraId="4E51B6D3" w14:textId="77777777" w:rsidR="003D20DE" w:rsidRDefault="003D20DE" w:rsidP="003D20DE"/>
    <w:p w14:paraId="2FDFA5B4" w14:textId="77777777" w:rsidR="003D20DE" w:rsidRDefault="003D20DE" w:rsidP="003D20DE"/>
    <w:p w14:paraId="31E4B731" w14:textId="77777777" w:rsidR="003D20DE" w:rsidRDefault="003D20DE" w:rsidP="003D20DE"/>
    <w:p w14:paraId="2E54B39C" w14:textId="77777777" w:rsidR="003D20DE" w:rsidRDefault="003D20DE" w:rsidP="003D20DE"/>
    <w:p w14:paraId="027B353A" w14:textId="77777777" w:rsidR="003D20DE" w:rsidRDefault="003D20DE" w:rsidP="003D20DE"/>
    <w:p w14:paraId="4BB5A579" w14:textId="77777777" w:rsidR="003D20DE" w:rsidRDefault="003D20DE" w:rsidP="003D20DE"/>
    <w:p w14:paraId="1299DDAA" w14:textId="77777777" w:rsidR="003D20DE" w:rsidRDefault="003D20DE" w:rsidP="003D20DE"/>
    <w:p w14:paraId="33D990E9" w14:textId="77777777" w:rsidR="003D20DE" w:rsidRDefault="003D20DE" w:rsidP="003D20DE"/>
    <w:p w14:paraId="3C98FF6E" w14:textId="77777777" w:rsidR="003D20DE" w:rsidRDefault="003D20DE" w:rsidP="003D20DE"/>
    <w:p w14:paraId="548BEF0F" w14:textId="77777777" w:rsidR="003D20DE" w:rsidRDefault="003D20DE" w:rsidP="003D20DE"/>
    <w:p w14:paraId="175EF2F6" w14:textId="77777777" w:rsidR="003D20DE" w:rsidRDefault="003D20DE" w:rsidP="003D20DE"/>
    <w:p w14:paraId="309B790C" w14:textId="5BE4E64C" w:rsidR="003D20DE" w:rsidRDefault="003D20DE" w:rsidP="003D20DE">
      <w:pPr>
        <w:ind w:firstLineChars="100" w:firstLine="280"/>
        <w:rPr>
          <w:sz w:val="28"/>
          <w:szCs w:val="28"/>
        </w:rPr>
      </w:pPr>
      <w:r>
        <w:rPr>
          <w:rFonts w:hint="eastAsia"/>
          <w:sz w:val="28"/>
          <w:szCs w:val="28"/>
        </w:rPr>
        <w:t>项目名称：</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577F853E" w14:textId="77777777" w:rsidR="003D20DE" w:rsidRDefault="003D20DE" w:rsidP="003D20DE">
      <w:pPr>
        <w:ind w:firstLineChars="100" w:firstLine="280"/>
        <w:rPr>
          <w:sz w:val="28"/>
          <w:szCs w:val="28"/>
        </w:rPr>
      </w:pPr>
      <w:r>
        <w:rPr>
          <w:rFonts w:hint="eastAsia"/>
          <w:sz w:val="28"/>
          <w:szCs w:val="28"/>
        </w:rPr>
        <w:t>项目负责人：</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52278B17" w14:textId="77777777" w:rsidR="003D20DE" w:rsidRDefault="003D20DE" w:rsidP="003D20DE">
      <w:pPr>
        <w:ind w:firstLineChars="100" w:firstLine="280"/>
        <w:rPr>
          <w:sz w:val="28"/>
          <w:szCs w:val="28"/>
        </w:rPr>
      </w:pPr>
      <w:r>
        <w:rPr>
          <w:rFonts w:hint="eastAsia"/>
          <w:sz w:val="28"/>
          <w:szCs w:val="28"/>
        </w:rPr>
        <w:t>赛道类型：</w:t>
      </w:r>
      <w:r>
        <w:rPr>
          <w:sz w:val="28"/>
          <w:szCs w:val="28"/>
        </w:rPr>
        <w:t xml:space="preserve">   </w:t>
      </w:r>
      <w:r>
        <w:rPr>
          <w:rFonts w:hint="eastAsia"/>
          <w:sz w:val="28"/>
          <w:szCs w:val="28"/>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520FDCF4" w14:textId="77777777" w:rsidR="003D20DE" w:rsidRDefault="003D20DE" w:rsidP="003D20DE">
      <w:pPr>
        <w:ind w:firstLineChars="100" w:firstLine="280"/>
        <w:rPr>
          <w:sz w:val="28"/>
          <w:szCs w:val="28"/>
        </w:rPr>
      </w:pPr>
      <w:r>
        <w:rPr>
          <w:rFonts w:hint="eastAsia"/>
          <w:sz w:val="28"/>
          <w:szCs w:val="28"/>
        </w:rPr>
        <w:t>参赛组别：</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459C5030" w14:textId="77777777" w:rsidR="003D20DE" w:rsidRDefault="003D20DE" w:rsidP="003D20DE">
      <w:pPr>
        <w:ind w:firstLineChars="100" w:firstLine="280"/>
        <w:rPr>
          <w:sz w:val="28"/>
          <w:szCs w:val="28"/>
          <w:u w:val="single"/>
        </w:rPr>
      </w:pPr>
      <w:r>
        <w:rPr>
          <w:rFonts w:hint="eastAsia"/>
          <w:sz w:val="28"/>
          <w:szCs w:val="28"/>
        </w:rPr>
        <w:t>项目类型：</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18BD0939" w14:textId="77777777" w:rsidR="003D20DE" w:rsidRDefault="003D20DE" w:rsidP="003D20DE">
      <w:pPr>
        <w:ind w:firstLineChars="100" w:firstLine="280"/>
        <w:rPr>
          <w:sz w:val="28"/>
          <w:szCs w:val="28"/>
        </w:rPr>
      </w:pPr>
      <w:r>
        <w:rPr>
          <w:rFonts w:hint="eastAsia"/>
          <w:sz w:val="28"/>
          <w:szCs w:val="28"/>
        </w:rPr>
        <w:t>联系方式：</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271783A2" w14:textId="77777777" w:rsidR="003D20DE" w:rsidRDefault="003D20DE" w:rsidP="003D20DE">
      <w:pPr>
        <w:ind w:firstLineChars="100" w:firstLine="280"/>
        <w:rPr>
          <w:sz w:val="28"/>
          <w:szCs w:val="28"/>
          <w:u w:val="single"/>
        </w:rPr>
      </w:pPr>
      <w:r>
        <w:rPr>
          <w:rFonts w:hint="eastAsia"/>
          <w:sz w:val="28"/>
          <w:szCs w:val="28"/>
        </w:rPr>
        <w:t>指导教师：</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4C21B2F8" w14:textId="77777777" w:rsidR="003D20DE" w:rsidRDefault="003D20DE" w:rsidP="003D20DE">
      <w:pPr>
        <w:ind w:firstLineChars="100" w:firstLine="280"/>
        <w:rPr>
          <w:sz w:val="28"/>
          <w:szCs w:val="28"/>
          <w:u w:val="single"/>
        </w:rPr>
      </w:pPr>
    </w:p>
    <w:p w14:paraId="43DBBB1F" w14:textId="77777777" w:rsidR="003D20DE" w:rsidRDefault="003D20DE" w:rsidP="003D20DE">
      <w:pPr>
        <w:rPr>
          <w:sz w:val="28"/>
          <w:szCs w:val="28"/>
          <w:u w:val="single"/>
        </w:rPr>
      </w:pPr>
    </w:p>
    <w:p w14:paraId="5FA664BC" w14:textId="77777777" w:rsidR="003D20DE" w:rsidRDefault="003D20DE" w:rsidP="003D20DE">
      <w:pPr>
        <w:adjustRightInd w:val="0"/>
        <w:snapToGrid w:val="0"/>
        <w:spacing w:line="520" w:lineRule="exact"/>
        <w:rPr>
          <w:b/>
          <w:bCs/>
          <w:sz w:val="24"/>
        </w:rPr>
      </w:pPr>
    </w:p>
    <w:p w14:paraId="33E32EAF" w14:textId="77777777" w:rsidR="003D20DE" w:rsidRPr="003D20DE" w:rsidRDefault="003D20DE">
      <w:pPr>
        <w:jc w:val="center"/>
        <w:rPr>
          <w:rFonts w:ascii="宋体" w:hAnsi="宋体" w:hint="eastAsia"/>
        </w:rPr>
      </w:pPr>
    </w:p>
    <w:sdt>
      <w:sdtPr>
        <w:rPr>
          <w:rFonts w:ascii="宋体" w:hAnsi="宋体"/>
        </w:rPr>
        <w:id w:val="147477031"/>
        <w15:color w:val="DBDBDB"/>
        <w:docPartObj>
          <w:docPartGallery w:val="Table of Contents"/>
          <w:docPartUnique/>
        </w:docPartObj>
      </w:sdtPr>
      <w:sdtEndPr>
        <w:rPr>
          <w:rFonts w:ascii="Times New Roman" w:eastAsia="仿宋_GB2312" w:hAnsi="Times New Roman" w:cs="Times New Roman" w:hint="eastAsia"/>
          <w:szCs w:val="30"/>
        </w:rPr>
      </w:sdtEndPr>
      <w:sdtContent>
        <w:p w14:paraId="1B3EA053" w14:textId="2D82BDCD" w:rsidR="00E93FEF" w:rsidRDefault="00000000">
          <w:pPr>
            <w:jc w:val="center"/>
          </w:pPr>
          <w:r>
            <w:rPr>
              <w:rFonts w:ascii="宋体" w:hAnsi="宋体"/>
            </w:rPr>
            <w:t>目录</w:t>
          </w:r>
        </w:p>
        <w:p w14:paraId="4C9957EF" w14:textId="77777777" w:rsidR="00E93FEF" w:rsidRDefault="00000000">
          <w:pPr>
            <w:pStyle w:val="TOC1"/>
            <w:tabs>
              <w:tab w:val="right" w:leader="dot" w:pos="8306"/>
            </w:tabs>
          </w:pPr>
          <w:r>
            <w:rPr>
              <w:rFonts w:ascii="Times New Roman" w:eastAsia="仿宋_GB2312" w:hAnsi="Times New Roman" w:cs="Times New Roman" w:hint="eastAsia"/>
              <w:sz w:val="30"/>
              <w:szCs w:val="30"/>
            </w:rPr>
            <w:fldChar w:fldCharType="begin"/>
          </w:r>
          <w:r>
            <w:rPr>
              <w:rFonts w:ascii="Times New Roman" w:eastAsia="仿宋_GB2312" w:hAnsi="Times New Roman" w:cs="Times New Roman" w:hint="eastAsia"/>
              <w:sz w:val="30"/>
              <w:szCs w:val="30"/>
            </w:rPr>
            <w:instrText xml:space="preserve">TOC \o "1-3" \h \u </w:instrText>
          </w:r>
          <w:r>
            <w:rPr>
              <w:rFonts w:ascii="Times New Roman" w:eastAsia="仿宋_GB2312" w:hAnsi="Times New Roman" w:cs="Times New Roman" w:hint="eastAsia"/>
              <w:sz w:val="30"/>
              <w:szCs w:val="30"/>
            </w:rPr>
            <w:fldChar w:fldCharType="separate"/>
          </w:r>
          <w:hyperlink w:anchor="_Toc23711" w:history="1">
            <w:r w:rsidR="00E93FEF">
              <w:rPr>
                <w:rFonts w:ascii="Times New Roman" w:eastAsia="仿宋_GB2312" w:hAnsi="Times New Roman" w:cs="Times New Roman" w:hint="eastAsia"/>
                <w:szCs w:val="30"/>
              </w:rPr>
              <w:t>一、项目概述</w:t>
            </w:r>
            <w:r w:rsidR="00E93FEF">
              <w:tab/>
            </w:r>
            <w:r w:rsidR="00E93FEF">
              <w:fldChar w:fldCharType="begin"/>
            </w:r>
            <w:r w:rsidR="00E93FEF">
              <w:instrText xml:space="preserve"> PAGEREF _Toc23711 \h </w:instrText>
            </w:r>
            <w:r w:rsidR="00E93FEF">
              <w:fldChar w:fldCharType="separate"/>
            </w:r>
            <w:r w:rsidR="00E93FEF">
              <w:t>3</w:t>
            </w:r>
            <w:r w:rsidR="00E93FEF">
              <w:fldChar w:fldCharType="end"/>
            </w:r>
          </w:hyperlink>
        </w:p>
        <w:p w14:paraId="31CF461D" w14:textId="77777777" w:rsidR="00E93FEF" w:rsidRDefault="00E93FEF">
          <w:pPr>
            <w:pStyle w:val="TOC2"/>
            <w:tabs>
              <w:tab w:val="right" w:leader="dot" w:pos="8306"/>
            </w:tabs>
          </w:pPr>
          <w:hyperlink w:anchor="_Toc16281" w:history="1">
            <w:r>
              <w:rPr>
                <w:rFonts w:ascii="Times New Roman" w:eastAsia="楷体_GB2312" w:hAnsi="Times New Roman" w:cs="Times New Roman" w:hint="eastAsia"/>
                <w:szCs w:val="28"/>
              </w:rPr>
              <w:t xml:space="preserve">1.1 </w:t>
            </w:r>
            <w:r>
              <w:rPr>
                <w:rFonts w:ascii="Times New Roman" w:eastAsia="楷体_GB2312" w:hAnsi="Times New Roman" w:cs="Times New Roman" w:hint="eastAsia"/>
                <w:szCs w:val="28"/>
              </w:rPr>
              <w:t>项目背景</w:t>
            </w:r>
            <w:r>
              <w:tab/>
            </w:r>
            <w:r>
              <w:fldChar w:fldCharType="begin"/>
            </w:r>
            <w:r>
              <w:instrText xml:space="preserve"> PAGEREF _Toc16281 \h </w:instrText>
            </w:r>
            <w:r>
              <w:fldChar w:fldCharType="separate"/>
            </w:r>
            <w:r>
              <w:t>3</w:t>
            </w:r>
            <w:r>
              <w:fldChar w:fldCharType="end"/>
            </w:r>
          </w:hyperlink>
        </w:p>
        <w:p w14:paraId="77C19BA7" w14:textId="77777777" w:rsidR="00E93FEF" w:rsidRDefault="00E93FEF">
          <w:pPr>
            <w:pStyle w:val="TOC2"/>
            <w:tabs>
              <w:tab w:val="right" w:leader="dot" w:pos="8306"/>
            </w:tabs>
          </w:pPr>
          <w:hyperlink w:anchor="_Toc21548" w:history="1">
            <w:r>
              <w:rPr>
                <w:rFonts w:ascii="Times New Roman" w:eastAsia="楷体_GB2312" w:hAnsi="Times New Roman" w:cs="Times New Roman" w:hint="eastAsia"/>
                <w:szCs w:val="28"/>
              </w:rPr>
              <w:t xml:space="preserve">1.2 </w:t>
            </w:r>
            <w:r>
              <w:rPr>
                <w:rFonts w:ascii="Times New Roman" w:eastAsia="楷体_GB2312" w:hAnsi="Times New Roman" w:cs="Times New Roman" w:hint="eastAsia"/>
                <w:szCs w:val="28"/>
              </w:rPr>
              <w:t>项目来源</w:t>
            </w:r>
            <w:r>
              <w:tab/>
            </w:r>
            <w:r>
              <w:fldChar w:fldCharType="begin"/>
            </w:r>
            <w:r>
              <w:instrText xml:space="preserve"> PAGEREF _Toc21548 \h </w:instrText>
            </w:r>
            <w:r>
              <w:fldChar w:fldCharType="separate"/>
            </w:r>
            <w:r>
              <w:t>3</w:t>
            </w:r>
            <w:r>
              <w:fldChar w:fldCharType="end"/>
            </w:r>
          </w:hyperlink>
        </w:p>
        <w:p w14:paraId="597D3CB1" w14:textId="77777777" w:rsidR="00E93FEF" w:rsidRDefault="00E93FEF">
          <w:pPr>
            <w:pStyle w:val="TOC2"/>
            <w:tabs>
              <w:tab w:val="right" w:leader="dot" w:pos="8306"/>
            </w:tabs>
          </w:pPr>
          <w:hyperlink w:anchor="_Toc14046" w:history="1">
            <w:r>
              <w:rPr>
                <w:rFonts w:ascii="Times New Roman" w:eastAsia="楷体_GB2312" w:hAnsi="Times New Roman" w:cs="Times New Roman" w:hint="eastAsia"/>
                <w:szCs w:val="28"/>
              </w:rPr>
              <w:t xml:space="preserve">1.3 </w:t>
            </w:r>
            <w:r>
              <w:rPr>
                <w:rFonts w:ascii="Times New Roman" w:eastAsia="楷体_GB2312" w:hAnsi="Times New Roman" w:cs="Times New Roman" w:hint="eastAsia"/>
                <w:szCs w:val="28"/>
              </w:rPr>
              <w:t>产品介绍</w:t>
            </w:r>
            <w:r>
              <w:tab/>
            </w:r>
            <w:r>
              <w:fldChar w:fldCharType="begin"/>
            </w:r>
            <w:r>
              <w:instrText xml:space="preserve"> PAGEREF _Toc14046 \h </w:instrText>
            </w:r>
            <w:r>
              <w:fldChar w:fldCharType="separate"/>
            </w:r>
            <w:r>
              <w:t>4</w:t>
            </w:r>
            <w:r>
              <w:fldChar w:fldCharType="end"/>
            </w:r>
          </w:hyperlink>
        </w:p>
        <w:p w14:paraId="348E4937" w14:textId="77777777" w:rsidR="00E93FEF" w:rsidRDefault="00E93FEF">
          <w:pPr>
            <w:pStyle w:val="TOC2"/>
            <w:tabs>
              <w:tab w:val="right" w:leader="dot" w:pos="8306"/>
            </w:tabs>
          </w:pPr>
          <w:hyperlink w:anchor="_Toc25269" w:history="1">
            <w:r>
              <w:rPr>
                <w:rFonts w:ascii="Times New Roman" w:eastAsia="楷体_GB2312" w:hAnsi="Times New Roman" w:cs="Times New Roman" w:hint="eastAsia"/>
                <w:szCs w:val="28"/>
              </w:rPr>
              <w:t xml:space="preserve">1.4 </w:t>
            </w:r>
            <w:r>
              <w:rPr>
                <w:rFonts w:ascii="Times New Roman" w:eastAsia="楷体_GB2312" w:hAnsi="Times New Roman" w:cs="Times New Roman" w:hint="eastAsia"/>
                <w:szCs w:val="28"/>
              </w:rPr>
              <w:t>产品优势</w:t>
            </w:r>
            <w:r>
              <w:tab/>
            </w:r>
            <w:r>
              <w:fldChar w:fldCharType="begin"/>
            </w:r>
            <w:r>
              <w:instrText xml:space="preserve"> PAGEREF _Toc25269 \h </w:instrText>
            </w:r>
            <w:r>
              <w:fldChar w:fldCharType="separate"/>
            </w:r>
            <w:r>
              <w:t>4</w:t>
            </w:r>
            <w:r>
              <w:fldChar w:fldCharType="end"/>
            </w:r>
          </w:hyperlink>
        </w:p>
        <w:p w14:paraId="519B8092" w14:textId="77777777" w:rsidR="00E93FEF" w:rsidRDefault="00E93FEF">
          <w:pPr>
            <w:pStyle w:val="TOC2"/>
            <w:tabs>
              <w:tab w:val="right" w:leader="dot" w:pos="8306"/>
            </w:tabs>
          </w:pPr>
          <w:hyperlink w:anchor="_Toc983" w:history="1">
            <w:r>
              <w:rPr>
                <w:rFonts w:ascii="Times New Roman" w:eastAsia="楷体_GB2312" w:hAnsi="Times New Roman" w:cs="Times New Roman" w:hint="eastAsia"/>
                <w:szCs w:val="28"/>
              </w:rPr>
              <w:t>1.5</w:t>
            </w:r>
            <w:r>
              <w:rPr>
                <w:rFonts w:ascii="Times New Roman" w:eastAsia="楷体_GB2312" w:hAnsi="Times New Roman" w:cs="Times New Roman" w:hint="eastAsia"/>
                <w:szCs w:val="28"/>
              </w:rPr>
              <w:t>项目意义</w:t>
            </w:r>
            <w:r>
              <w:tab/>
            </w:r>
            <w:r>
              <w:fldChar w:fldCharType="begin"/>
            </w:r>
            <w:r>
              <w:instrText xml:space="preserve"> PAGEREF _Toc983 \h </w:instrText>
            </w:r>
            <w:r>
              <w:fldChar w:fldCharType="separate"/>
            </w:r>
            <w:r>
              <w:t>4</w:t>
            </w:r>
            <w:r>
              <w:fldChar w:fldCharType="end"/>
            </w:r>
          </w:hyperlink>
        </w:p>
        <w:p w14:paraId="55A046B7" w14:textId="77777777" w:rsidR="00E93FEF" w:rsidRDefault="00E93FEF">
          <w:pPr>
            <w:pStyle w:val="TOC3"/>
            <w:tabs>
              <w:tab w:val="right" w:leader="dot" w:pos="8306"/>
            </w:tabs>
          </w:pPr>
          <w:hyperlink w:anchor="_Toc4394" w:history="1">
            <w:r>
              <w:rPr>
                <w:rFonts w:hint="eastAsia"/>
              </w:rPr>
              <w:t>1.5.1</w:t>
            </w:r>
            <w:r>
              <w:t>社会价值</w:t>
            </w:r>
            <w:r>
              <w:tab/>
            </w:r>
            <w:r>
              <w:fldChar w:fldCharType="begin"/>
            </w:r>
            <w:r>
              <w:instrText xml:space="preserve"> PAGEREF _Toc4394 \h </w:instrText>
            </w:r>
            <w:r>
              <w:fldChar w:fldCharType="separate"/>
            </w:r>
            <w:r>
              <w:t>4</w:t>
            </w:r>
            <w:r>
              <w:fldChar w:fldCharType="end"/>
            </w:r>
          </w:hyperlink>
        </w:p>
        <w:p w14:paraId="00C5C6FB" w14:textId="77777777" w:rsidR="00E93FEF" w:rsidRDefault="00E93FEF">
          <w:pPr>
            <w:pStyle w:val="TOC3"/>
            <w:tabs>
              <w:tab w:val="right" w:leader="dot" w:pos="8306"/>
            </w:tabs>
          </w:pPr>
          <w:hyperlink w:anchor="_Toc15098" w:history="1">
            <w:r>
              <w:rPr>
                <w:rFonts w:hint="eastAsia"/>
              </w:rPr>
              <w:t>1.5.2</w:t>
            </w:r>
            <w:r>
              <w:t>经济价值</w:t>
            </w:r>
            <w:r>
              <w:tab/>
            </w:r>
            <w:r>
              <w:fldChar w:fldCharType="begin"/>
            </w:r>
            <w:r>
              <w:instrText xml:space="preserve"> PAGEREF _Toc15098 \h </w:instrText>
            </w:r>
            <w:r>
              <w:fldChar w:fldCharType="separate"/>
            </w:r>
            <w:r>
              <w:t>5</w:t>
            </w:r>
            <w:r>
              <w:fldChar w:fldCharType="end"/>
            </w:r>
          </w:hyperlink>
        </w:p>
        <w:p w14:paraId="3E6F3F42" w14:textId="77777777" w:rsidR="00E93FEF" w:rsidRDefault="00E93FEF">
          <w:pPr>
            <w:pStyle w:val="TOC3"/>
            <w:tabs>
              <w:tab w:val="right" w:leader="dot" w:pos="8306"/>
            </w:tabs>
          </w:pPr>
          <w:hyperlink w:anchor="_Toc7267" w:history="1">
            <w:r>
              <w:rPr>
                <w:rFonts w:hint="eastAsia"/>
              </w:rPr>
              <w:t>1.5.3</w:t>
            </w:r>
            <w:r>
              <w:t>技术价值</w:t>
            </w:r>
            <w:r>
              <w:tab/>
            </w:r>
            <w:r>
              <w:fldChar w:fldCharType="begin"/>
            </w:r>
            <w:r>
              <w:instrText xml:space="preserve"> PAGEREF _Toc7267 \h </w:instrText>
            </w:r>
            <w:r>
              <w:fldChar w:fldCharType="separate"/>
            </w:r>
            <w:r>
              <w:t>5</w:t>
            </w:r>
            <w:r>
              <w:fldChar w:fldCharType="end"/>
            </w:r>
          </w:hyperlink>
        </w:p>
        <w:p w14:paraId="4CDAAA08" w14:textId="77777777" w:rsidR="00E93FEF" w:rsidRDefault="00E93FEF">
          <w:pPr>
            <w:pStyle w:val="TOC1"/>
            <w:tabs>
              <w:tab w:val="right" w:leader="dot" w:pos="8306"/>
            </w:tabs>
          </w:pPr>
          <w:hyperlink w:anchor="_Toc7946" w:history="1">
            <w:r>
              <w:rPr>
                <w:rFonts w:ascii="Times New Roman" w:eastAsia="仿宋_GB2312" w:hAnsi="Times New Roman" w:cs="Times New Roman" w:hint="eastAsia"/>
                <w:szCs w:val="30"/>
              </w:rPr>
              <w:t>二、项目设计</w:t>
            </w:r>
            <w:r>
              <w:tab/>
            </w:r>
            <w:r>
              <w:fldChar w:fldCharType="begin"/>
            </w:r>
            <w:r>
              <w:instrText xml:space="preserve"> PAGEREF _Toc7946 \h </w:instrText>
            </w:r>
            <w:r>
              <w:fldChar w:fldCharType="separate"/>
            </w:r>
            <w:r>
              <w:t>5</w:t>
            </w:r>
            <w:r>
              <w:fldChar w:fldCharType="end"/>
            </w:r>
          </w:hyperlink>
        </w:p>
        <w:p w14:paraId="7BB9DF27" w14:textId="77777777" w:rsidR="00E93FEF" w:rsidRDefault="00E93FEF">
          <w:pPr>
            <w:pStyle w:val="TOC2"/>
            <w:tabs>
              <w:tab w:val="right" w:leader="dot" w:pos="8306"/>
            </w:tabs>
          </w:pPr>
          <w:hyperlink w:anchor="_Toc6177" w:history="1">
            <w:r>
              <w:rPr>
                <w:rFonts w:ascii="Times New Roman" w:eastAsia="楷体_GB2312" w:hAnsi="Times New Roman" w:cs="Times New Roman" w:hint="eastAsia"/>
                <w:szCs w:val="28"/>
              </w:rPr>
              <w:t xml:space="preserve">2.1 </w:t>
            </w:r>
            <w:r>
              <w:rPr>
                <w:rFonts w:ascii="Times New Roman" w:eastAsia="楷体_GB2312" w:hAnsi="Times New Roman" w:cs="Times New Roman" w:hint="eastAsia"/>
                <w:szCs w:val="28"/>
              </w:rPr>
              <w:t>产品整体架构</w:t>
            </w:r>
            <w:r>
              <w:tab/>
            </w:r>
            <w:r>
              <w:fldChar w:fldCharType="begin"/>
            </w:r>
            <w:r>
              <w:instrText xml:space="preserve"> PAGEREF _Toc6177 \h </w:instrText>
            </w:r>
            <w:r>
              <w:fldChar w:fldCharType="separate"/>
            </w:r>
            <w:r>
              <w:t>5</w:t>
            </w:r>
            <w:r>
              <w:fldChar w:fldCharType="end"/>
            </w:r>
          </w:hyperlink>
        </w:p>
        <w:p w14:paraId="24B2CABD" w14:textId="77777777" w:rsidR="00E93FEF" w:rsidRDefault="00E93FEF">
          <w:pPr>
            <w:pStyle w:val="TOC3"/>
            <w:tabs>
              <w:tab w:val="right" w:leader="dot" w:pos="8306"/>
            </w:tabs>
          </w:pPr>
          <w:hyperlink w:anchor="_Toc2217" w:history="1">
            <w:r>
              <w:rPr>
                <w:rFonts w:hint="eastAsia"/>
              </w:rPr>
              <w:t>2.1.1</w:t>
            </w:r>
            <w:r>
              <w:rPr>
                <w:rFonts w:hint="eastAsia"/>
              </w:rPr>
              <w:t>硬件</w:t>
            </w:r>
            <w:r>
              <w:tab/>
            </w:r>
            <w:r>
              <w:fldChar w:fldCharType="begin"/>
            </w:r>
            <w:r>
              <w:instrText xml:space="preserve"> PAGEREF _Toc2217 \h </w:instrText>
            </w:r>
            <w:r>
              <w:fldChar w:fldCharType="separate"/>
            </w:r>
            <w:r>
              <w:t>5</w:t>
            </w:r>
            <w:r>
              <w:fldChar w:fldCharType="end"/>
            </w:r>
          </w:hyperlink>
        </w:p>
        <w:p w14:paraId="7A1879F7" w14:textId="77777777" w:rsidR="00E93FEF" w:rsidRDefault="00E93FEF">
          <w:pPr>
            <w:pStyle w:val="TOC3"/>
            <w:tabs>
              <w:tab w:val="right" w:leader="dot" w:pos="8306"/>
            </w:tabs>
          </w:pPr>
          <w:hyperlink w:anchor="_Toc18132" w:history="1">
            <w:r>
              <w:rPr>
                <w:rFonts w:hint="eastAsia"/>
              </w:rPr>
              <w:t>2.1.2</w:t>
            </w:r>
            <w:r>
              <w:rPr>
                <w:rFonts w:hint="eastAsia"/>
              </w:rPr>
              <w:t>软件</w:t>
            </w:r>
            <w:r>
              <w:tab/>
            </w:r>
            <w:r>
              <w:fldChar w:fldCharType="begin"/>
            </w:r>
            <w:r>
              <w:instrText xml:space="preserve"> PAGEREF _Toc18132 \h </w:instrText>
            </w:r>
            <w:r>
              <w:fldChar w:fldCharType="separate"/>
            </w:r>
            <w:r>
              <w:t>5</w:t>
            </w:r>
            <w:r>
              <w:fldChar w:fldCharType="end"/>
            </w:r>
          </w:hyperlink>
        </w:p>
        <w:p w14:paraId="180BF99C" w14:textId="77777777" w:rsidR="00E93FEF" w:rsidRDefault="00E93FEF">
          <w:pPr>
            <w:pStyle w:val="TOC3"/>
            <w:tabs>
              <w:tab w:val="right" w:leader="dot" w:pos="8306"/>
            </w:tabs>
          </w:pPr>
          <w:hyperlink w:anchor="_Toc13179" w:history="1">
            <w:r>
              <w:rPr>
                <w:rFonts w:hint="eastAsia"/>
              </w:rPr>
              <w:t>2.1.3</w:t>
            </w:r>
            <w:r>
              <w:rPr>
                <w:rFonts w:hint="eastAsia"/>
              </w:rPr>
              <w:t>服务</w:t>
            </w:r>
            <w:r>
              <w:tab/>
            </w:r>
            <w:r>
              <w:fldChar w:fldCharType="begin"/>
            </w:r>
            <w:r>
              <w:instrText xml:space="preserve"> PAGEREF _Toc13179 \h </w:instrText>
            </w:r>
            <w:r>
              <w:fldChar w:fldCharType="separate"/>
            </w:r>
            <w:r>
              <w:t>5</w:t>
            </w:r>
            <w:r>
              <w:fldChar w:fldCharType="end"/>
            </w:r>
          </w:hyperlink>
        </w:p>
        <w:p w14:paraId="1E739956" w14:textId="77777777" w:rsidR="00E93FEF" w:rsidRDefault="00E93FEF">
          <w:pPr>
            <w:pStyle w:val="TOC2"/>
            <w:tabs>
              <w:tab w:val="right" w:leader="dot" w:pos="8306"/>
            </w:tabs>
          </w:pPr>
          <w:hyperlink w:anchor="_Toc13505" w:history="1">
            <w:r>
              <w:rPr>
                <w:rFonts w:ascii="Times New Roman" w:eastAsia="楷体_GB2312" w:hAnsi="Times New Roman" w:cs="Times New Roman" w:hint="eastAsia"/>
                <w:szCs w:val="28"/>
              </w:rPr>
              <w:t xml:space="preserve">2.2 </w:t>
            </w:r>
            <w:r>
              <w:rPr>
                <w:rFonts w:ascii="Times New Roman" w:eastAsia="楷体_GB2312" w:hAnsi="Times New Roman" w:cs="Times New Roman" w:hint="eastAsia"/>
                <w:szCs w:val="28"/>
              </w:rPr>
              <w:t>核心硬件系统</w:t>
            </w:r>
            <w:r>
              <w:tab/>
            </w:r>
            <w:r>
              <w:fldChar w:fldCharType="begin"/>
            </w:r>
            <w:r>
              <w:instrText xml:space="preserve"> PAGEREF _Toc13505 \h </w:instrText>
            </w:r>
            <w:r>
              <w:fldChar w:fldCharType="separate"/>
            </w:r>
            <w:r>
              <w:t>6</w:t>
            </w:r>
            <w:r>
              <w:fldChar w:fldCharType="end"/>
            </w:r>
          </w:hyperlink>
        </w:p>
        <w:p w14:paraId="53CE2C8B" w14:textId="77777777" w:rsidR="00E93FEF" w:rsidRDefault="00E93FEF">
          <w:pPr>
            <w:pStyle w:val="TOC2"/>
            <w:tabs>
              <w:tab w:val="right" w:leader="dot" w:pos="8306"/>
            </w:tabs>
          </w:pPr>
          <w:hyperlink w:anchor="_Toc25906" w:history="1">
            <w:r>
              <w:rPr>
                <w:rFonts w:ascii="Times New Roman" w:eastAsia="楷体_GB2312" w:hAnsi="Times New Roman" w:cs="Times New Roman" w:hint="eastAsia"/>
                <w:szCs w:val="28"/>
              </w:rPr>
              <w:t xml:space="preserve">2.3 </w:t>
            </w:r>
            <w:r>
              <w:rPr>
                <w:rFonts w:ascii="Times New Roman" w:eastAsia="楷体_GB2312" w:hAnsi="Times New Roman" w:cs="Times New Roman" w:hint="eastAsia"/>
                <w:szCs w:val="28"/>
              </w:rPr>
              <w:t>软件与算法系统</w:t>
            </w:r>
            <w:r>
              <w:tab/>
            </w:r>
            <w:r>
              <w:fldChar w:fldCharType="begin"/>
            </w:r>
            <w:r>
              <w:instrText xml:space="preserve"> PAGEREF _Toc25906 \h </w:instrText>
            </w:r>
            <w:r>
              <w:fldChar w:fldCharType="separate"/>
            </w:r>
            <w:r>
              <w:t>6</w:t>
            </w:r>
            <w:r>
              <w:fldChar w:fldCharType="end"/>
            </w:r>
          </w:hyperlink>
        </w:p>
        <w:p w14:paraId="278FA218" w14:textId="77777777" w:rsidR="00E93FEF" w:rsidRDefault="00E93FEF">
          <w:pPr>
            <w:pStyle w:val="TOC2"/>
            <w:tabs>
              <w:tab w:val="right" w:leader="dot" w:pos="8306"/>
            </w:tabs>
          </w:pPr>
          <w:hyperlink w:anchor="_Toc22853" w:history="1">
            <w:r>
              <w:rPr>
                <w:rFonts w:ascii="Times New Roman" w:eastAsia="楷体_GB2312" w:hAnsi="Times New Roman" w:cs="Times New Roman" w:hint="eastAsia"/>
                <w:szCs w:val="28"/>
              </w:rPr>
              <w:t xml:space="preserve">2.4 </w:t>
            </w:r>
            <w:r>
              <w:rPr>
                <w:rFonts w:ascii="Times New Roman" w:eastAsia="楷体_GB2312" w:hAnsi="Times New Roman" w:cs="Times New Roman" w:hint="eastAsia"/>
                <w:szCs w:val="28"/>
              </w:rPr>
              <w:t>技术创新点</w:t>
            </w:r>
            <w:r>
              <w:tab/>
            </w:r>
            <w:r>
              <w:fldChar w:fldCharType="begin"/>
            </w:r>
            <w:r>
              <w:instrText xml:space="preserve"> PAGEREF _Toc22853 \h </w:instrText>
            </w:r>
            <w:r>
              <w:fldChar w:fldCharType="separate"/>
            </w:r>
            <w:r>
              <w:t>7</w:t>
            </w:r>
            <w:r>
              <w:fldChar w:fldCharType="end"/>
            </w:r>
          </w:hyperlink>
        </w:p>
        <w:p w14:paraId="4C4A4524" w14:textId="77777777" w:rsidR="00E93FEF" w:rsidRDefault="00E93FEF">
          <w:pPr>
            <w:pStyle w:val="TOC1"/>
            <w:tabs>
              <w:tab w:val="right" w:leader="dot" w:pos="8306"/>
            </w:tabs>
          </w:pPr>
          <w:hyperlink w:anchor="_Toc32278" w:history="1">
            <w:r>
              <w:rPr>
                <w:rFonts w:ascii="Times New Roman" w:eastAsia="仿宋_GB2312" w:hAnsi="Times New Roman" w:cs="Times New Roman" w:hint="eastAsia"/>
                <w:szCs w:val="30"/>
              </w:rPr>
              <w:t>三、市场分析</w:t>
            </w:r>
            <w:r>
              <w:tab/>
            </w:r>
            <w:r>
              <w:fldChar w:fldCharType="begin"/>
            </w:r>
            <w:r>
              <w:instrText xml:space="preserve"> PAGEREF _Toc32278 \h </w:instrText>
            </w:r>
            <w:r>
              <w:fldChar w:fldCharType="separate"/>
            </w:r>
            <w:r>
              <w:t>7</w:t>
            </w:r>
            <w:r>
              <w:fldChar w:fldCharType="end"/>
            </w:r>
          </w:hyperlink>
        </w:p>
        <w:p w14:paraId="584B486C" w14:textId="77777777" w:rsidR="00E93FEF" w:rsidRDefault="00E93FEF">
          <w:pPr>
            <w:pStyle w:val="TOC2"/>
            <w:tabs>
              <w:tab w:val="right" w:leader="dot" w:pos="8306"/>
            </w:tabs>
          </w:pPr>
          <w:hyperlink w:anchor="_Toc9240" w:history="1">
            <w:r>
              <w:rPr>
                <w:rFonts w:ascii="Times New Roman" w:eastAsia="楷体_GB2312" w:hAnsi="Times New Roman" w:cs="Times New Roman" w:hint="eastAsia"/>
                <w:szCs w:val="28"/>
              </w:rPr>
              <w:t xml:space="preserve">3.1 </w:t>
            </w:r>
            <w:r>
              <w:rPr>
                <w:rFonts w:ascii="Times New Roman" w:eastAsia="楷体_GB2312" w:hAnsi="Times New Roman" w:cs="Times New Roman" w:hint="eastAsia"/>
                <w:szCs w:val="28"/>
              </w:rPr>
              <w:t>政策支持</w:t>
            </w:r>
            <w:r>
              <w:tab/>
            </w:r>
            <w:r>
              <w:fldChar w:fldCharType="begin"/>
            </w:r>
            <w:r>
              <w:instrText xml:space="preserve"> PAGEREF _Toc9240 \h </w:instrText>
            </w:r>
            <w:r>
              <w:fldChar w:fldCharType="separate"/>
            </w:r>
            <w:r>
              <w:t>7</w:t>
            </w:r>
            <w:r>
              <w:fldChar w:fldCharType="end"/>
            </w:r>
          </w:hyperlink>
        </w:p>
        <w:p w14:paraId="5B2648F9" w14:textId="77777777" w:rsidR="00E93FEF" w:rsidRDefault="00E93FEF">
          <w:pPr>
            <w:pStyle w:val="TOC2"/>
            <w:tabs>
              <w:tab w:val="right" w:leader="dot" w:pos="8306"/>
            </w:tabs>
          </w:pPr>
          <w:hyperlink w:anchor="_Toc30269" w:history="1">
            <w:r>
              <w:rPr>
                <w:rFonts w:ascii="Times New Roman" w:eastAsia="楷体_GB2312" w:hAnsi="Times New Roman" w:cs="Times New Roman" w:hint="eastAsia"/>
                <w:szCs w:val="28"/>
              </w:rPr>
              <w:t xml:space="preserve">3.2 </w:t>
            </w:r>
            <w:r>
              <w:rPr>
                <w:rFonts w:ascii="Times New Roman" w:eastAsia="楷体_GB2312" w:hAnsi="Times New Roman" w:cs="Times New Roman" w:hint="eastAsia"/>
                <w:szCs w:val="28"/>
              </w:rPr>
              <w:t>市场定位</w:t>
            </w:r>
            <w:r>
              <w:tab/>
            </w:r>
            <w:r>
              <w:fldChar w:fldCharType="begin"/>
            </w:r>
            <w:r>
              <w:instrText xml:space="preserve"> PAGEREF _Toc30269 \h </w:instrText>
            </w:r>
            <w:r>
              <w:fldChar w:fldCharType="separate"/>
            </w:r>
            <w:r>
              <w:t>7</w:t>
            </w:r>
            <w:r>
              <w:fldChar w:fldCharType="end"/>
            </w:r>
          </w:hyperlink>
        </w:p>
        <w:p w14:paraId="66CA6E51" w14:textId="77777777" w:rsidR="00E93FEF" w:rsidRDefault="00E93FEF">
          <w:pPr>
            <w:pStyle w:val="TOC2"/>
            <w:tabs>
              <w:tab w:val="right" w:leader="dot" w:pos="8306"/>
            </w:tabs>
          </w:pPr>
          <w:hyperlink w:anchor="_Toc25406" w:history="1">
            <w:r>
              <w:rPr>
                <w:rFonts w:ascii="Times New Roman" w:eastAsia="楷体_GB2312" w:hAnsi="Times New Roman" w:cs="Times New Roman"/>
                <w:szCs w:val="28"/>
              </w:rPr>
              <w:t xml:space="preserve">3.3 </w:t>
            </w:r>
            <w:r>
              <w:rPr>
                <w:rFonts w:ascii="Times New Roman" w:eastAsia="楷体_GB2312" w:hAnsi="Times New Roman" w:cs="Times New Roman"/>
                <w:szCs w:val="28"/>
              </w:rPr>
              <w:t>目标用户</w:t>
            </w:r>
            <w:r>
              <w:tab/>
            </w:r>
            <w:r>
              <w:fldChar w:fldCharType="begin"/>
            </w:r>
            <w:r>
              <w:instrText xml:space="preserve"> PAGEREF _Toc25406 \h </w:instrText>
            </w:r>
            <w:r>
              <w:fldChar w:fldCharType="separate"/>
            </w:r>
            <w:r>
              <w:t>8</w:t>
            </w:r>
            <w:r>
              <w:fldChar w:fldCharType="end"/>
            </w:r>
          </w:hyperlink>
        </w:p>
        <w:p w14:paraId="7EF70EE9" w14:textId="77777777" w:rsidR="00E93FEF" w:rsidRDefault="00E93FEF">
          <w:pPr>
            <w:pStyle w:val="TOC2"/>
            <w:tabs>
              <w:tab w:val="right" w:leader="dot" w:pos="8306"/>
            </w:tabs>
          </w:pPr>
          <w:hyperlink w:anchor="_Toc14987" w:history="1">
            <w:r>
              <w:rPr>
                <w:rFonts w:ascii="Times New Roman" w:eastAsia="楷体_GB2312" w:hAnsi="Times New Roman" w:cs="Times New Roman" w:hint="eastAsia"/>
                <w:szCs w:val="28"/>
              </w:rPr>
              <w:t xml:space="preserve">3.4 </w:t>
            </w:r>
            <w:r>
              <w:rPr>
                <w:rFonts w:ascii="Times New Roman" w:eastAsia="楷体_GB2312" w:hAnsi="Times New Roman" w:cs="Times New Roman" w:hint="eastAsia"/>
                <w:szCs w:val="28"/>
              </w:rPr>
              <w:t>市场容量</w:t>
            </w:r>
            <w:r>
              <w:tab/>
            </w:r>
            <w:r>
              <w:fldChar w:fldCharType="begin"/>
            </w:r>
            <w:r>
              <w:instrText xml:space="preserve"> PAGEREF _Toc14987 \h </w:instrText>
            </w:r>
            <w:r>
              <w:fldChar w:fldCharType="separate"/>
            </w:r>
            <w:r>
              <w:t>8</w:t>
            </w:r>
            <w:r>
              <w:fldChar w:fldCharType="end"/>
            </w:r>
          </w:hyperlink>
        </w:p>
        <w:p w14:paraId="6703F9A7" w14:textId="77777777" w:rsidR="00E93FEF" w:rsidRDefault="00E93FEF">
          <w:pPr>
            <w:pStyle w:val="TOC2"/>
            <w:tabs>
              <w:tab w:val="right" w:leader="dot" w:pos="8306"/>
            </w:tabs>
          </w:pPr>
          <w:hyperlink w:anchor="_Toc3658" w:history="1">
            <w:r>
              <w:rPr>
                <w:rFonts w:ascii="Times New Roman" w:eastAsia="楷体_GB2312" w:hAnsi="Times New Roman" w:cs="Times New Roman"/>
                <w:szCs w:val="28"/>
              </w:rPr>
              <w:t xml:space="preserve">3.5 </w:t>
            </w:r>
            <w:r>
              <w:rPr>
                <w:rFonts w:ascii="Times New Roman" w:eastAsia="楷体_GB2312" w:hAnsi="Times New Roman" w:cs="Times New Roman"/>
                <w:szCs w:val="28"/>
              </w:rPr>
              <w:t>竞</w:t>
            </w:r>
            <w:r>
              <w:rPr>
                <w:rFonts w:ascii="Times New Roman" w:eastAsia="楷体_GB2312" w:hAnsi="Times New Roman" w:cs="Times New Roman" w:hint="eastAsia"/>
                <w:szCs w:val="28"/>
              </w:rPr>
              <w:t>争</w:t>
            </w:r>
            <w:r>
              <w:rPr>
                <w:rFonts w:ascii="Times New Roman" w:eastAsia="楷体_GB2312" w:hAnsi="Times New Roman" w:cs="Times New Roman"/>
                <w:szCs w:val="28"/>
              </w:rPr>
              <w:t>分析</w:t>
            </w:r>
            <w:r>
              <w:tab/>
            </w:r>
            <w:r>
              <w:fldChar w:fldCharType="begin"/>
            </w:r>
            <w:r>
              <w:instrText xml:space="preserve"> PAGEREF _Toc3658 \h </w:instrText>
            </w:r>
            <w:r>
              <w:fldChar w:fldCharType="separate"/>
            </w:r>
            <w:r>
              <w:t>8</w:t>
            </w:r>
            <w:r>
              <w:fldChar w:fldCharType="end"/>
            </w:r>
          </w:hyperlink>
        </w:p>
        <w:p w14:paraId="1E8D62FF" w14:textId="77777777" w:rsidR="00E93FEF" w:rsidRDefault="00E93FEF">
          <w:pPr>
            <w:pStyle w:val="TOC2"/>
            <w:tabs>
              <w:tab w:val="right" w:leader="dot" w:pos="8306"/>
            </w:tabs>
          </w:pPr>
          <w:hyperlink w:anchor="_Toc1732" w:history="1">
            <w:r>
              <w:rPr>
                <w:rFonts w:ascii="Times New Roman" w:eastAsia="楷体_GB2312" w:hAnsi="Times New Roman" w:cs="Times New Roman" w:hint="eastAsia"/>
                <w:szCs w:val="28"/>
              </w:rPr>
              <w:t xml:space="preserve">3.6 </w:t>
            </w:r>
            <w:r>
              <w:rPr>
                <w:rFonts w:ascii="Times New Roman" w:eastAsia="楷体_GB2312" w:hAnsi="Times New Roman" w:cs="Times New Roman" w:hint="eastAsia"/>
                <w:szCs w:val="28"/>
              </w:rPr>
              <w:t>发展趋势及潜力</w:t>
            </w:r>
            <w:r>
              <w:tab/>
            </w:r>
            <w:r>
              <w:fldChar w:fldCharType="begin"/>
            </w:r>
            <w:r>
              <w:instrText xml:space="preserve"> PAGEREF _Toc1732 \h </w:instrText>
            </w:r>
            <w:r>
              <w:fldChar w:fldCharType="separate"/>
            </w:r>
            <w:r>
              <w:t>9</w:t>
            </w:r>
            <w:r>
              <w:fldChar w:fldCharType="end"/>
            </w:r>
          </w:hyperlink>
        </w:p>
        <w:p w14:paraId="311B969F" w14:textId="77777777" w:rsidR="00E93FEF" w:rsidRDefault="00E93FEF">
          <w:pPr>
            <w:pStyle w:val="TOC1"/>
            <w:tabs>
              <w:tab w:val="right" w:leader="dot" w:pos="8306"/>
            </w:tabs>
          </w:pPr>
          <w:hyperlink w:anchor="_Toc31459" w:history="1">
            <w:r>
              <w:rPr>
                <w:rFonts w:ascii="Times New Roman" w:eastAsia="仿宋_GB2312" w:hAnsi="Times New Roman" w:cs="Times New Roman" w:hint="eastAsia"/>
                <w:szCs w:val="30"/>
              </w:rPr>
              <w:t>四、商业模式与盈利模式</w:t>
            </w:r>
            <w:r>
              <w:tab/>
            </w:r>
            <w:r>
              <w:fldChar w:fldCharType="begin"/>
            </w:r>
            <w:r>
              <w:instrText xml:space="preserve"> PAGEREF _Toc31459 \h </w:instrText>
            </w:r>
            <w:r>
              <w:fldChar w:fldCharType="separate"/>
            </w:r>
            <w:r>
              <w:t>10</w:t>
            </w:r>
            <w:r>
              <w:fldChar w:fldCharType="end"/>
            </w:r>
          </w:hyperlink>
        </w:p>
        <w:p w14:paraId="0A6E1E44" w14:textId="77777777" w:rsidR="00E93FEF" w:rsidRDefault="00E93FEF">
          <w:pPr>
            <w:pStyle w:val="TOC2"/>
            <w:tabs>
              <w:tab w:val="right" w:leader="dot" w:pos="8306"/>
            </w:tabs>
          </w:pPr>
          <w:hyperlink w:anchor="_Toc7121" w:history="1">
            <w:r>
              <w:rPr>
                <w:rFonts w:ascii="Times New Roman" w:eastAsia="楷体_GB2312" w:hAnsi="Times New Roman" w:cs="Times New Roman" w:hint="eastAsia"/>
                <w:szCs w:val="28"/>
              </w:rPr>
              <w:t xml:space="preserve">4.1 </w:t>
            </w:r>
            <w:r>
              <w:rPr>
                <w:rFonts w:ascii="Times New Roman" w:eastAsia="楷体_GB2312" w:hAnsi="Times New Roman" w:cs="Times New Roman" w:hint="eastAsia"/>
                <w:szCs w:val="28"/>
              </w:rPr>
              <w:t>总体商业模式</w:t>
            </w:r>
            <w:r>
              <w:tab/>
            </w:r>
            <w:r>
              <w:fldChar w:fldCharType="begin"/>
            </w:r>
            <w:r>
              <w:instrText xml:space="preserve"> PAGEREF _Toc7121 \h </w:instrText>
            </w:r>
            <w:r>
              <w:fldChar w:fldCharType="separate"/>
            </w:r>
            <w:r>
              <w:t>10</w:t>
            </w:r>
            <w:r>
              <w:fldChar w:fldCharType="end"/>
            </w:r>
          </w:hyperlink>
        </w:p>
        <w:p w14:paraId="3D8BDBA3" w14:textId="77777777" w:rsidR="00E93FEF" w:rsidRDefault="00E93FEF">
          <w:pPr>
            <w:pStyle w:val="TOC2"/>
            <w:tabs>
              <w:tab w:val="right" w:leader="dot" w:pos="8306"/>
            </w:tabs>
          </w:pPr>
          <w:hyperlink w:anchor="_Toc16215" w:history="1">
            <w:r>
              <w:rPr>
                <w:rFonts w:ascii="Times New Roman" w:eastAsia="楷体_GB2312" w:hAnsi="Times New Roman" w:cs="Times New Roman" w:hint="eastAsia"/>
                <w:szCs w:val="28"/>
              </w:rPr>
              <w:t xml:space="preserve">4.2 </w:t>
            </w:r>
            <w:r>
              <w:rPr>
                <w:rFonts w:ascii="Times New Roman" w:eastAsia="楷体_GB2312" w:hAnsi="Times New Roman" w:cs="Times New Roman" w:hint="eastAsia"/>
                <w:szCs w:val="28"/>
              </w:rPr>
              <w:t>多元化盈利模式</w:t>
            </w:r>
            <w:r>
              <w:tab/>
            </w:r>
            <w:r>
              <w:fldChar w:fldCharType="begin"/>
            </w:r>
            <w:r>
              <w:instrText xml:space="preserve"> PAGEREF _Toc16215 \h </w:instrText>
            </w:r>
            <w:r>
              <w:fldChar w:fldCharType="separate"/>
            </w:r>
            <w:r>
              <w:t>10</w:t>
            </w:r>
            <w:r>
              <w:fldChar w:fldCharType="end"/>
            </w:r>
          </w:hyperlink>
        </w:p>
        <w:p w14:paraId="3975DA40" w14:textId="77777777" w:rsidR="00E93FEF" w:rsidRDefault="00E93FEF">
          <w:pPr>
            <w:pStyle w:val="TOC2"/>
            <w:tabs>
              <w:tab w:val="right" w:leader="dot" w:pos="8306"/>
            </w:tabs>
          </w:pPr>
          <w:hyperlink w:anchor="_Toc1854" w:history="1">
            <w:r>
              <w:rPr>
                <w:rFonts w:ascii="Times New Roman" w:eastAsia="楷体_GB2312" w:hAnsi="Times New Roman" w:cs="Times New Roman" w:hint="eastAsia"/>
                <w:szCs w:val="28"/>
              </w:rPr>
              <w:t xml:space="preserve">4.3 </w:t>
            </w:r>
            <w:r>
              <w:rPr>
                <w:rFonts w:ascii="Times New Roman" w:eastAsia="楷体_GB2312" w:hAnsi="Times New Roman" w:cs="Times New Roman" w:hint="eastAsia"/>
                <w:szCs w:val="28"/>
              </w:rPr>
              <w:t>定价策略</w:t>
            </w:r>
            <w:r>
              <w:tab/>
            </w:r>
            <w:r>
              <w:fldChar w:fldCharType="begin"/>
            </w:r>
            <w:r>
              <w:instrText xml:space="preserve"> PAGEREF _Toc1854 \h </w:instrText>
            </w:r>
            <w:r>
              <w:fldChar w:fldCharType="separate"/>
            </w:r>
            <w:r>
              <w:t>11</w:t>
            </w:r>
            <w:r>
              <w:fldChar w:fldCharType="end"/>
            </w:r>
          </w:hyperlink>
        </w:p>
        <w:p w14:paraId="7942A183" w14:textId="77777777" w:rsidR="00E93FEF" w:rsidRDefault="00E93FEF">
          <w:pPr>
            <w:pStyle w:val="TOC2"/>
            <w:tabs>
              <w:tab w:val="right" w:leader="dot" w:pos="8306"/>
            </w:tabs>
          </w:pPr>
          <w:hyperlink w:anchor="_Toc2003" w:history="1">
            <w:r>
              <w:rPr>
                <w:rFonts w:ascii="Times New Roman" w:eastAsia="楷体_GB2312" w:hAnsi="Times New Roman" w:cs="Times New Roman" w:hint="eastAsia"/>
                <w:szCs w:val="28"/>
              </w:rPr>
              <w:t xml:space="preserve">4.4 </w:t>
            </w:r>
            <w:r>
              <w:rPr>
                <w:rFonts w:ascii="Times New Roman" w:eastAsia="楷体_GB2312" w:hAnsi="Times New Roman" w:cs="Times New Roman" w:hint="eastAsia"/>
                <w:szCs w:val="28"/>
              </w:rPr>
              <w:t>渠道策略</w:t>
            </w:r>
            <w:r>
              <w:tab/>
            </w:r>
            <w:r>
              <w:fldChar w:fldCharType="begin"/>
            </w:r>
            <w:r>
              <w:instrText xml:space="preserve"> PAGEREF _Toc2003 \h </w:instrText>
            </w:r>
            <w:r>
              <w:fldChar w:fldCharType="separate"/>
            </w:r>
            <w:r>
              <w:t>11</w:t>
            </w:r>
            <w:r>
              <w:fldChar w:fldCharType="end"/>
            </w:r>
          </w:hyperlink>
        </w:p>
        <w:p w14:paraId="0C3B1DBF" w14:textId="77777777" w:rsidR="00E93FEF" w:rsidRDefault="00E93FEF">
          <w:pPr>
            <w:pStyle w:val="TOC1"/>
            <w:tabs>
              <w:tab w:val="right" w:leader="dot" w:pos="8306"/>
            </w:tabs>
          </w:pPr>
          <w:hyperlink w:anchor="_Toc28205" w:history="1">
            <w:r>
              <w:rPr>
                <w:rFonts w:ascii="Times New Roman" w:eastAsia="仿宋_GB2312" w:hAnsi="Times New Roman" w:cs="Times New Roman" w:hint="eastAsia"/>
                <w:szCs w:val="30"/>
              </w:rPr>
              <w:t>五、财务分析</w:t>
            </w:r>
            <w:r>
              <w:tab/>
            </w:r>
            <w:r>
              <w:fldChar w:fldCharType="begin"/>
            </w:r>
            <w:r>
              <w:instrText xml:space="preserve"> PAGEREF _Toc28205 \h </w:instrText>
            </w:r>
            <w:r>
              <w:fldChar w:fldCharType="separate"/>
            </w:r>
            <w:r>
              <w:t>11</w:t>
            </w:r>
            <w:r>
              <w:fldChar w:fldCharType="end"/>
            </w:r>
          </w:hyperlink>
        </w:p>
        <w:p w14:paraId="52F0E54D" w14:textId="77777777" w:rsidR="00E93FEF" w:rsidRDefault="00E93FEF">
          <w:pPr>
            <w:pStyle w:val="TOC2"/>
            <w:tabs>
              <w:tab w:val="right" w:leader="dot" w:pos="8306"/>
            </w:tabs>
          </w:pPr>
          <w:hyperlink w:anchor="_Toc28675" w:history="1">
            <w:r>
              <w:rPr>
                <w:rFonts w:ascii="Times New Roman" w:eastAsia="楷体_GB2312" w:hAnsi="Times New Roman" w:cs="Times New Roman" w:hint="eastAsia"/>
                <w:szCs w:val="28"/>
              </w:rPr>
              <w:t xml:space="preserve">5.1 </w:t>
            </w:r>
            <w:r>
              <w:rPr>
                <w:rFonts w:ascii="Times New Roman" w:eastAsia="楷体_GB2312" w:hAnsi="Times New Roman" w:cs="Times New Roman" w:hint="eastAsia"/>
                <w:szCs w:val="28"/>
              </w:rPr>
              <w:t>资金来源</w:t>
            </w:r>
            <w:r>
              <w:tab/>
            </w:r>
            <w:r>
              <w:fldChar w:fldCharType="begin"/>
            </w:r>
            <w:r>
              <w:instrText xml:space="preserve"> PAGEREF _Toc28675 \h </w:instrText>
            </w:r>
            <w:r>
              <w:fldChar w:fldCharType="separate"/>
            </w:r>
            <w:r>
              <w:t>11</w:t>
            </w:r>
            <w:r>
              <w:fldChar w:fldCharType="end"/>
            </w:r>
          </w:hyperlink>
        </w:p>
        <w:p w14:paraId="7E99AEA9" w14:textId="77777777" w:rsidR="00E93FEF" w:rsidRDefault="00E93FEF">
          <w:pPr>
            <w:pStyle w:val="TOC2"/>
            <w:tabs>
              <w:tab w:val="right" w:leader="dot" w:pos="8306"/>
            </w:tabs>
          </w:pPr>
          <w:hyperlink w:anchor="_Toc17479" w:history="1">
            <w:r>
              <w:rPr>
                <w:rFonts w:ascii="Times New Roman" w:eastAsia="楷体_GB2312" w:hAnsi="Times New Roman" w:cs="Times New Roman" w:hint="eastAsia"/>
                <w:szCs w:val="28"/>
              </w:rPr>
              <w:t xml:space="preserve">5.2 </w:t>
            </w:r>
            <w:r>
              <w:rPr>
                <w:rFonts w:ascii="Times New Roman" w:eastAsia="楷体_GB2312" w:hAnsi="Times New Roman" w:cs="Times New Roman" w:hint="eastAsia"/>
                <w:szCs w:val="28"/>
              </w:rPr>
              <w:t>成本结构分析</w:t>
            </w:r>
            <w:r>
              <w:tab/>
            </w:r>
            <w:r>
              <w:fldChar w:fldCharType="begin"/>
            </w:r>
            <w:r>
              <w:instrText xml:space="preserve"> PAGEREF _Toc17479 \h </w:instrText>
            </w:r>
            <w:r>
              <w:fldChar w:fldCharType="separate"/>
            </w:r>
            <w:r>
              <w:t>11</w:t>
            </w:r>
            <w:r>
              <w:fldChar w:fldCharType="end"/>
            </w:r>
          </w:hyperlink>
        </w:p>
        <w:p w14:paraId="68CE749D" w14:textId="77777777" w:rsidR="00E93FEF" w:rsidRDefault="00E93FEF">
          <w:pPr>
            <w:pStyle w:val="TOC2"/>
            <w:tabs>
              <w:tab w:val="right" w:leader="dot" w:pos="8306"/>
            </w:tabs>
          </w:pPr>
          <w:hyperlink w:anchor="_Toc4313" w:history="1">
            <w:r>
              <w:rPr>
                <w:rFonts w:ascii="Times New Roman" w:eastAsia="楷体_GB2312" w:hAnsi="Times New Roman" w:cs="Times New Roman" w:hint="eastAsia"/>
                <w:szCs w:val="28"/>
              </w:rPr>
              <w:t xml:space="preserve">5.3 </w:t>
            </w:r>
            <w:r>
              <w:rPr>
                <w:rFonts w:ascii="Times New Roman" w:eastAsia="楷体_GB2312" w:hAnsi="Times New Roman" w:cs="Times New Roman" w:hint="eastAsia"/>
                <w:szCs w:val="28"/>
              </w:rPr>
              <w:t>财务预支出及预收入分析</w:t>
            </w:r>
            <w:r>
              <w:tab/>
            </w:r>
            <w:r>
              <w:fldChar w:fldCharType="begin"/>
            </w:r>
            <w:r>
              <w:instrText xml:space="preserve"> PAGEREF _Toc4313 \h </w:instrText>
            </w:r>
            <w:r>
              <w:fldChar w:fldCharType="separate"/>
            </w:r>
            <w:r>
              <w:t>12</w:t>
            </w:r>
            <w:r>
              <w:fldChar w:fldCharType="end"/>
            </w:r>
          </w:hyperlink>
        </w:p>
        <w:p w14:paraId="535CA88A" w14:textId="77777777" w:rsidR="00E93FEF" w:rsidRDefault="00E93FEF">
          <w:pPr>
            <w:pStyle w:val="TOC3"/>
            <w:tabs>
              <w:tab w:val="right" w:leader="dot" w:pos="8306"/>
            </w:tabs>
          </w:pPr>
          <w:hyperlink w:anchor="_Toc2807" w:history="1">
            <w:r>
              <w:rPr>
                <w:rFonts w:hint="eastAsia"/>
              </w:rPr>
              <w:t>5.3.1</w:t>
            </w:r>
            <w:r>
              <w:rPr>
                <w:rFonts w:hint="eastAsia"/>
              </w:rPr>
              <w:t>财务预测收入</w:t>
            </w:r>
            <w:r>
              <w:tab/>
            </w:r>
            <w:r>
              <w:fldChar w:fldCharType="begin"/>
            </w:r>
            <w:r>
              <w:instrText xml:space="preserve"> PAGEREF _Toc2807 \h </w:instrText>
            </w:r>
            <w:r>
              <w:fldChar w:fldCharType="separate"/>
            </w:r>
            <w:r>
              <w:t>12</w:t>
            </w:r>
            <w:r>
              <w:fldChar w:fldCharType="end"/>
            </w:r>
          </w:hyperlink>
        </w:p>
        <w:p w14:paraId="24BA997D" w14:textId="77777777" w:rsidR="00E93FEF" w:rsidRDefault="00E93FEF">
          <w:pPr>
            <w:pStyle w:val="TOC3"/>
            <w:tabs>
              <w:tab w:val="right" w:leader="dot" w:pos="8306"/>
            </w:tabs>
          </w:pPr>
          <w:hyperlink w:anchor="_Toc2381" w:history="1">
            <w:r>
              <w:rPr>
                <w:rFonts w:hint="eastAsia"/>
              </w:rPr>
              <w:t>5.3.2</w:t>
            </w:r>
            <w:r>
              <w:rPr>
                <w:rFonts w:hint="eastAsia"/>
              </w:rPr>
              <w:t>财务预测支出</w:t>
            </w:r>
            <w:r>
              <w:tab/>
            </w:r>
            <w:r>
              <w:fldChar w:fldCharType="begin"/>
            </w:r>
            <w:r>
              <w:instrText xml:space="preserve"> PAGEREF _Toc2381 \h </w:instrText>
            </w:r>
            <w:r>
              <w:fldChar w:fldCharType="separate"/>
            </w:r>
            <w:r>
              <w:t>12</w:t>
            </w:r>
            <w:r>
              <w:fldChar w:fldCharType="end"/>
            </w:r>
          </w:hyperlink>
        </w:p>
        <w:p w14:paraId="259F24B5" w14:textId="77777777" w:rsidR="00E93FEF" w:rsidRDefault="00E93FEF">
          <w:pPr>
            <w:pStyle w:val="TOC3"/>
            <w:tabs>
              <w:tab w:val="right" w:leader="dot" w:pos="8306"/>
            </w:tabs>
          </w:pPr>
          <w:hyperlink w:anchor="_Toc25513" w:history="1">
            <w:r>
              <w:rPr>
                <w:rFonts w:hint="eastAsia"/>
              </w:rPr>
              <w:t>5.3.3</w:t>
            </w:r>
            <w:r>
              <w:rPr>
                <w:rFonts w:hint="eastAsia"/>
              </w:rPr>
              <w:t>盈利与现金流分析</w:t>
            </w:r>
            <w:r>
              <w:tab/>
            </w:r>
            <w:r>
              <w:fldChar w:fldCharType="begin"/>
            </w:r>
            <w:r>
              <w:instrText xml:space="preserve"> PAGEREF _Toc25513 \h </w:instrText>
            </w:r>
            <w:r>
              <w:fldChar w:fldCharType="separate"/>
            </w:r>
            <w:r>
              <w:t>12</w:t>
            </w:r>
            <w:r>
              <w:fldChar w:fldCharType="end"/>
            </w:r>
          </w:hyperlink>
        </w:p>
        <w:p w14:paraId="654FF47D" w14:textId="77777777" w:rsidR="00E93FEF" w:rsidRDefault="00E93FEF">
          <w:pPr>
            <w:pStyle w:val="TOC2"/>
            <w:tabs>
              <w:tab w:val="right" w:leader="dot" w:pos="8306"/>
            </w:tabs>
          </w:pPr>
          <w:hyperlink w:anchor="_Toc16935" w:history="1">
            <w:r>
              <w:rPr>
                <w:rFonts w:ascii="Times New Roman" w:eastAsia="楷体_GB2312" w:hAnsi="Times New Roman" w:cs="Times New Roman" w:hint="eastAsia"/>
                <w:szCs w:val="28"/>
              </w:rPr>
              <w:t xml:space="preserve">5.4 </w:t>
            </w:r>
            <w:r>
              <w:rPr>
                <w:rFonts w:ascii="Times New Roman" w:eastAsia="楷体_GB2312" w:hAnsi="Times New Roman" w:cs="Times New Roman" w:hint="eastAsia"/>
                <w:szCs w:val="28"/>
              </w:rPr>
              <w:t>财务规划总结</w:t>
            </w:r>
            <w:r>
              <w:tab/>
            </w:r>
            <w:r>
              <w:fldChar w:fldCharType="begin"/>
            </w:r>
            <w:r>
              <w:instrText xml:space="preserve"> PAGEREF _Toc16935 \h </w:instrText>
            </w:r>
            <w:r>
              <w:fldChar w:fldCharType="separate"/>
            </w:r>
            <w:r>
              <w:t>12</w:t>
            </w:r>
            <w:r>
              <w:fldChar w:fldCharType="end"/>
            </w:r>
          </w:hyperlink>
        </w:p>
        <w:p w14:paraId="47635D37" w14:textId="77777777" w:rsidR="00E93FEF" w:rsidRDefault="00E93FEF">
          <w:pPr>
            <w:pStyle w:val="TOC1"/>
            <w:tabs>
              <w:tab w:val="right" w:leader="dot" w:pos="8306"/>
            </w:tabs>
          </w:pPr>
          <w:hyperlink w:anchor="_Toc21739" w:history="1">
            <w:r>
              <w:rPr>
                <w:rFonts w:ascii="Times New Roman" w:eastAsia="仿宋_GB2312" w:hAnsi="Times New Roman" w:cs="Times New Roman" w:hint="eastAsia"/>
                <w:szCs w:val="30"/>
              </w:rPr>
              <w:t>六、风险管理</w:t>
            </w:r>
            <w:r>
              <w:tab/>
            </w:r>
            <w:r>
              <w:fldChar w:fldCharType="begin"/>
            </w:r>
            <w:r>
              <w:instrText xml:space="preserve"> PAGEREF _Toc21739 \h </w:instrText>
            </w:r>
            <w:r>
              <w:fldChar w:fldCharType="separate"/>
            </w:r>
            <w:r>
              <w:t>13</w:t>
            </w:r>
            <w:r>
              <w:fldChar w:fldCharType="end"/>
            </w:r>
          </w:hyperlink>
        </w:p>
        <w:p w14:paraId="49FBDFD8" w14:textId="77777777" w:rsidR="00E93FEF" w:rsidRDefault="00E93FEF">
          <w:pPr>
            <w:pStyle w:val="TOC2"/>
            <w:tabs>
              <w:tab w:val="right" w:leader="dot" w:pos="8306"/>
            </w:tabs>
          </w:pPr>
          <w:hyperlink w:anchor="_Toc27926" w:history="1">
            <w:r>
              <w:rPr>
                <w:rFonts w:ascii="Times New Roman" w:eastAsia="楷体_GB2312" w:hAnsi="Times New Roman" w:cs="Times New Roman" w:hint="eastAsia"/>
                <w:szCs w:val="28"/>
              </w:rPr>
              <w:t xml:space="preserve">6.1 </w:t>
            </w:r>
            <w:r>
              <w:rPr>
                <w:rFonts w:ascii="Times New Roman" w:eastAsia="楷体_GB2312" w:hAnsi="Times New Roman" w:cs="Times New Roman" w:hint="eastAsia"/>
                <w:szCs w:val="28"/>
              </w:rPr>
              <w:t>政策风险预测及调控</w:t>
            </w:r>
            <w:r>
              <w:tab/>
            </w:r>
            <w:r>
              <w:fldChar w:fldCharType="begin"/>
            </w:r>
            <w:r>
              <w:instrText xml:space="preserve"> PAGEREF _Toc27926 \h </w:instrText>
            </w:r>
            <w:r>
              <w:fldChar w:fldCharType="separate"/>
            </w:r>
            <w:r>
              <w:t>13</w:t>
            </w:r>
            <w:r>
              <w:fldChar w:fldCharType="end"/>
            </w:r>
          </w:hyperlink>
        </w:p>
        <w:p w14:paraId="5EC74BA4" w14:textId="77777777" w:rsidR="00E93FEF" w:rsidRDefault="00E93FEF">
          <w:pPr>
            <w:pStyle w:val="TOC2"/>
            <w:tabs>
              <w:tab w:val="right" w:leader="dot" w:pos="8306"/>
            </w:tabs>
          </w:pPr>
          <w:hyperlink w:anchor="_Toc24987" w:history="1">
            <w:r>
              <w:rPr>
                <w:rFonts w:ascii="Times New Roman" w:eastAsia="楷体_GB2312" w:hAnsi="Times New Roman" w:cs="Times New Roman" w:hint="eastAsia"/>
                <w:szCs w:val="28"/>
              </w:rPr>
              <w:t xml:space="preserve">6.2 </w:t>
            </w:r>
            <w:r>
              <w:rPr>
                <w:rFonts w:ascii="Times New Roman" w:eastAsia="楷体_GB2312" w:hAnsi="Times New Roman" w:cs="Times New Roman" w:hint="eastAsia"/>
                <w:szCs w:val="28"/>
              </w:rPr>
              <w:t>市场风险预测及调控</w:t>
            </w:r>
            <w:r>
              <w:tab/>
            </w:r>
            <w:r>
              <w:fldChar w:fldCharType="begin"/>
            </w:r>
            <w:r>
              <w:instrText xml:space="preserve"> PAGEREF _Toc24987 \h </w:instrText>
            </w:r>
            <w:r>
              <w:fldChar w:fldCharType="separate"/>
            </w:r>
            <w:r>
              <w:t>13</w:t>
            </w:r>
            <w:r>
              <w:fldChar w:fldCharType="end"/>
            </w:r>
          </w:hyperlink>
        </w:p>
        <w:p w14:paraId="1EADBB2E" w14:textId="77777777" w:rsidR="00E93FEF" w:rsidRDefault="00E93FEF">
          <w:pPr>
            <w:pStyle w:val="TOC2"/>
            <w:tabs>
              <w:tab w:val="right" w:leader="dot" w:pos="8306"/>
            </w:tabs>
          </w:pPr>
          <w:hyperlink w:anchor="_Toc428" w:history="1">
            <w:r>
              <w:rPr>
                <w:rFonts w:ascii="Times New Roman" w:eastAsia="楷体_GB2312" w:hAnsi="Times New Roman" w:cs="Times New Roman" w:hint="eastAsia"/>
                <w:szCs w:val="28"/>
              </w:rPr>
              <w:t xml:space="preserve">6.3 </w:t>
            </w:r>
            <w:r>
              <w:rPr>
                <w:rFonts w:ascii="Times New Roman" w:eastAsia="楷体_GB2312" w:hAnsi="Times New Roman" w:cs="Times New Roman" w:hint="eastAsia"/>
                <w:szCs w:val="28"/>
              </w:rPr>
              <w:t>财务风险预测及调控</w:t>
            </w:r>
            <w:r>
              <w:tab/>
            </w:r>
            <w:r>
              <w:fldChar w:fldCharType="begin"/>
            </w:r>
            <w:r>
              <w:instrText xml:space="preserve"> PAGEREF _Toc428 \h </w:instrText>
            </w:r>
            <w:r>
              <w:fldChar w:fldCharType="separate"/>
            </w:r>
            <w:r>
              <w:t>14</w:t>
            </w:r>
            <w:r>
              <w:fldChar w:fldCharType="end"/>
            </w:r>
          </w:hyperlink>
        </w:p>
        <w:p w14:paraId="09F29D12" w14:textId="77777777" w:rsidR="00E93FEF" w:rsidRDefault="00E93FEF">
          <w:pPr>
            <w:pStyle w:val="TOC2"/>
            <w:tabs>
              <w:tab w:val="right" w:leader="dot" w:pos="8306"/>
            </w:tabs>
          </w:pPr>
          <w:hyperlink w:anchor="_Toc19083" w:history="1">
            <w:r>
              <w:rPr>
                <w:rFonts w:ascii="Times New Roman" w:eastAsia="楷体_GB2312" w:hAnsi="Times New Roman" w:cs="Times New Roman" w:hint="eastAsia"/>
                <w:szCs w:val="28"/>
              </w:rPr>
              <w:t xml:space="preserve">6.4 </w:t>
            </w:r>
            <w:r>
              <w:rPr>
                <w:rFonts w:ascii="Times New Roman" w:eastAsia="楷体_GB2312" w:hAnsi="Times New Roman" w:cs="Times New Roman" w:hint="eastAsia"/>
                <w:szCs w:val="28"/>
              </w:rPr>
              <w:t>技术风险预测及调控</w:t>
            </w:r>
            <w:r>
              <w:tab/>
            </w:r>
            <w:r>
              <w:fldChar w:fldCharType="begin"/>
            </w:r>
            <w:r>
              <w:instrText xml:space="preserve"> PAGEREF _Toc19083 \h </w:instrText>
            </w:r>
            <w:r>
              <w:fldChar w:fldCharType="separate"/>
            </w:r>
            <w:r>
              <w:t>14</w:t>
            </w:r>
            <w:r>
              <w:fldChar w:fldCharType="end"/>
            </w:r>
          </w:hyperlink>
        </w:p>
        <w:p w14:paraId="3B806859" w14:textId="77777777" w:rsidR="00E93FEF" w:rsidRDefault="00E93FEF">
          <w:pPr>
            <w:pStyle w:val="TOC2"/>
            <w:tabs>
              <w:tab w:val="right" w:leader="dot" w:pos="8306"/>
            </w:tabs>
          </w:pPr>
          <w:hyperlink w:anchor="_Toc20203" w:history="1">
            <w:r>
              <w:rPr>
                <w:rFonts w:ascii="Times New Roman" w:eastAsia="楷体_GB2312" w:hAnsi="Times New Roman" w:cs="Times New Roman" w:hint="eastAsia"/>
                <w:szCs w:val="28"/>
              </w:rPr>
              <w:t xml:space="preserve">6.5 </w:t>
            </w:r>
            <w:r>
              <w:rPr>
                <w:rFonts w:ascii="Times New Roman" w:eastAsia="楷体_GB2312" w:hAnsi="Times New Roman" w:cs="Times New Roman" w:hint="eastAsia"/>
                <w:szCs w:val="28"/>
              </w:rPr>
              <w:t>用户风险预测及调控</w:t>
            </w:r>
            <w:r>
              <w:tab/>
            </w:r>
            <w:r>
              <w:fldChar w:fldCharType="begin"/>
            </w:r>
            <w:r>
              <w:instrText xml:space="preserve"> PAGEREF _Toc20203 \h </w:instrText>
            </w:r>
            <w:r>
              <w:fldChar w:fldCharType="separate"/>
            </w:r>
            <w:r>
              <w:t>15</w:t>
            </w:r>
            <w:r>
              <w:fldChar w:fldCharType="end"/>
            </w:r>
          </w:hyperlink>
        </w:p>
        <w:p w14:paraId="482FE9A3" w14:textId="77777777" w:rsidR="00E93FEF" w:rsidRDefault="00E93FEF">
          <w:pPr>
            <w:pStyle w:val="TOC1"/>
            <w:tabs>
              <w:tab w:val="right" w:leader="dot" w:pos="8306"/>
            </w:tabs>
          </w:pPr>
          <w:hyperlink w:anchor="_Toc22081" w:history="1">
            <w:r>
              <w:rPr>
                <w:rFonts w:ascii="Times New Roman" w:eastAsia="仿宋_GB2312" w:hAnsi="Times New Roman" w:cs="Times New Roman" w:hint="eastAsia"/>
                <w:szCs w:val="30"/>
              </w:rPr>
              <w:t>七、团队介绍</w:t>
            </w:r>
            <w:r>
              <w:tab/>
            </w:r>
            <w:r>
              <w:fldChar w:fldCharType="begin"/>
            </w:r>
            <w:r>
              <w:instrText xml:space="preserve"> PAGEREF _Toc22081 \h </w:instrText>
            </w:r>
            <w:r>
              <w:fldChar w:fldCharType="separate"/>
            </w:r>
            <w:r>
              <w:t>15</w:t>
            </w:r>
            <w:r>
              <w:fldChar w:fldCharType="end"/>
            </w:r>
          </w:hyperlink>
        </w:p>
        <w:p w14:paraId="7122DABE" w14:textId="77777777" w:rsidR="00E93FEF" w:rsidRDefault="00E93FEF">
          <w:pPr>
            <w:pStyle w:val="TOC2"/>
            <w:tabs>
              <w:tab w:val="right" w:leader="dot" w:pos="8306"/>
            </w:tabs>
          </w:pPr>
          <w:hyperlink w:anchor="_Toc11914" w:history="1">
            <w:r>
              <w:rPr>
                <w:rFonts w:ascii="Times New Roman" w:eastAsia="楷体_GB2312" w:hAnsi="Times New Roman" w:cs="Times New Roman" w:hint="eastAsia"/>
                <w:szCs w:val="28"/>
              </w:rPr>
              <w:t xml:space="preserve">7.1 </w:t>
            </w:r>
            <w:r>
              <w:rPr>
                <w:rFonts w:ascii="Times New Roman" w:eastAsia="楷体_GB2312" w:hAnsi="Times New Roman" w:cs="Times New Roman" w:hint="eastAsia"/>
                <w:szCs w:val="28"/>
              </w:rPr>
              <w:t>团队宗旨</w:t>
            </w:r>
            <w:r>
              <w:tab/>
            </w:r>
            <w:r>
              <w:fldChar w:fldCharType="begin"/>
            </w:r>
            <w:r>
              <w:instrText xml:space="preserve"> PAGEREF _Toc11914 \h </w:instrText>
            </w:r>
            <w:r>
              <w:fldChar w:fldCharType="separate"/>
            </w:r>
            <w:r>
              <w:t>15</w:t>
            </w:r>
            <w:r>
              <w:fldChar w:fldCharType="end"/>
            </w:r>
          </w:hyperlink>
        </w:p>
        <w:p w14:paraId="612EA4A1" w14:textId="77777777" w:rsidR="00E93FEF" w:rsidRDefault="00E93FEF">
          <w:pPr>
            <w:pStyle w:val="TOC2"/>
            <w:tabs>
              <w:tab w:val="right" w:leader="dot" w:pos="8306"/>
            </w:tabs>
          </w:pPr>
          <w:hyperlink w:anchor="_Toc6079" w:history="1">
            <w:r>
              <w:rPr>
                <w:rFonts w:ascii="Times New Roman" w:eastAsia="楷体_GB2312" w:hAnsi="Times New Roman" w:cs="Times New Roman" w:hint="eastAsia"/>
                <w:szCs w:val="28"/>
              </w:rPr>
              <w:t xml:space="preserve">7.2 </w:t>
            </w:r>
            <w:r>
              <w:rPr>
                <w:rFonts w:ascii="Times New Roman" w:eastAsia="楷体_GB2312" w:hAnsi="Times New Roman" w:cs="Times New Roman" w:hint="eastAsia"/>
                <w:szCs w:val="28"/>
              </w:rPr>
              <w:t>团队简介</w:t>
            </w:r>
            <w:r>
              <w:tab/>
            </w:r>
            <w:r>
              <w:fldChar w:fldCharType="begin"/>
            </w:r>
            <w:r>
              <w:instrText xml:space="preserve"> PAGEREF _Toc6079 \h </w:instrText>
            </w:r>
            <w:r>
              <w:fldChar w:fldCharType="separate"/>
            </w:r>
            <w:r>
              <w:t>15</w:t>
            </w:r>
            <w:r>
              <w:fldChar w:fldCharType="end"/>
            </w:r>
          </w:hyperlink>
        </w:p>
        <w:p w14:paraId="556EAD32" w14:textId="77777777" w:rsidR="00E93FEF" w:rsidRDefault="00E93FEF">
          <w:pPr>
            <w:pStyle w:val="TOC2"/>
            <w:tabs>
              <w:tab w:val="right" w:leader="dot" w:pos="8306"/>
            </w:tabs>
          </w:pPr>
          <w:hyperlink w:anchor="_Toc3872" w:history="1">
            <w:r>
              <w:rPr>
                <w:rFonts w:ascii="Times New Roman" w:eastAsia="楷体_GB2312" w:hAnsi="Times New Roman" w:cs="Times New Roman" w:hint="eastAsia"/>
                <w:szCs w:val="28"/>
              </w:rPr>
              <w:t xml:space="preserve">7.3 </w:t>
            </w:r>
            <w:r>
              <w:rPr>
                <w:rFonts w:ascii="Times New Roman" w:eastAsia="楷体_GB2312" w:hAnsi="Times New Roman" w:cs="Times New Roman" w:hint="eastAsia"/>
                <w:szCs w:val="28"/>
              </w:rPr>
              <w:t>团队组织架构</w:t>
            </w:r>
            <w:r>
              <w:tab/>
            </w:r>
            <w:r>
              <w:fldChar w:fldCharType="begin"/>
            </w:r>
            <w:r>
              <w:instrText xml:space="preserve"> PAGEREF _Toc3872 \h </w:instrText>
            </w:r>
            <w:r>
              <w:fldChar w:fldCharType="separate"/>
            </w:r>
            <w:r>
              <w:t>15</w:t>
            </w:r>
            <w:r>
              <w:fldChar w:fldCharType="end"/>
            </w:r>
          </w:hyperlink>
        </w:p>
        <w:p w14:paraId="11F748E9" w14:textId="77777777" w:rsidR="00E93FEF" w:rsidRDefault="00E93FEF">
          <w:pPr>
            <w:pStyle w:val="TOC2"/>
            <w:tabs>
              <w:tab w:val="right" w:leader="dot" w:pos="8306"/>
            </w:tabs>
          </w:pPr>
          <w:hyperlink w:anchor="_Toc13427" w:history="1">
            <w:r>
              <w:rPr>
                <w:rFonts w:ascii="Times New Roman" w:eastAsia="楷体_GB2312" w:hAnsi="Times New Roman" w:cs="Times New Roman" w:hint="eastAsia"/>
                <w:szCs w:val="28"/>
              </w:rPr>
              <w:t xml:space="preserve">7.4 </w:t>
            </w:r>
            <w:r>
              <w:rPr>
                <w:rFonts w:ascii="Times New Roman" w:eastAsia="楷体_GB2312" w:hAnsi="Times New Roman" w:cs="Times New Roman" w:hint="eastAsia"/>
                <w:szCs w:val="28"/>
              </w:rPr>
              <w:t>核心团队优势</w:t>
            </w:r>
            <w:r>
              <w:tab/>
            </w:r>
            <w:r>
              <w:fldChar w:fldCharType="begin"/>
            </w:r>
            <w:r>
              <w:instrText xml:space="preserve"> PAGEREF _Toc13427 \h </w:instrText>
            </w:r>
            <w:r>
              <w:fldChar w:fldCharType="separate"/>
            </w:r>
            <w:r>
              <w:t>16</w:t>
            </w:r>
            <w:r>
              <w:fldChar w:fldCharType="end"/>
            </w:r>
          </w:hyperlink>
        </w:p>
        <w:p w14:paraId="56B4BBC7" w14:textId="77777777" w:rsidR="00E93FEF" w:rsidRDefault="00000000">
          <w:pPr>
            <w:tabs>
              <w:tab w:val="left" w:pos="917"/>
            </w:tabs>
            <w:adjustRightInd w:val="0"/>
            <w:snapToGrid w:val="0"/>
            <w:spacing w:beforeLines="100" w:before="312" w:afterLines="50" w:after="156" w:line="380" w:lineRule="exact"/>
            <w:rPr>
              <w:rFonts w:ascii="Times New Roman" w:eastAsia="仿宋_GB2312" w:hAnsi="Times New Roman" w:cs="Times New Roman"/>
              <w:szCs w:val="30"/>
            </w:rPr>
          </w:pPr>
          <w:r>
            <w:rPr>
              <w:rFonts w:ascii="Times New Roman" w:eastAsia="仿宋_GB2312" w:hAnsi="Times New Roman" w:cs="Times New Roman" w:hint="eastAsia"/>
              <w:szCs w:val="30"/>
            </w:rPr>
            <w:fldChar w:fldCharType="end"/>
          </w:r>
        </w:p>
      </w:sdtContent>
    </w:sdt>
    <w:p w14:paraId="6E94B6C7" w14:textId="77777777" w:rsidR="00E93FEF" w:rsidRDefault="00E93FEF">
      <w:pPr>
        <w:tabs>
          <w:tab w:val="left" w:pos="917"/>
        </w:tabs>
        <w:adjustRightInd w:val="0"/>
        <w:snapToGrid w:val="0"/>
        <w:spacing w:beforeLines="100" w:before="312" w:afterLines="50" w:after="156" w:line="380" w:lineRule="exact"/>
        <w:rPr>
          <w:rFonts w:ascii="Times New Roman" w:eastAsia="仿宋_GB2312" w:hAnsi="Times New Roman" w:cs="Times New Roman"/>
          <w:szCs w:val="30"/>
        </w:rPr>
        <w:sectPr w:rsidR="00E93FEF">
          <w:pgSz w:w="11906" w:h="16838"/>
          <w:pgMar w:top="1440" w:right="1800" w:bottom="1440" w:left="1800" w:header="851" w:footer="992" w:gutter="0"/>
          <w:cols w:space="425"/>
          <w:docGrid w:type="lines" w:linePitch="312"/>
        </w:sectPr>
      </w:pPr>
    </w:p>
    <w:p w14:paraId="5A34E94D" w14:textId="77777777" w:rsidR="00E93FEF" w:rsidRDefault="00000000">
      <w:pPr>
        <w:adjustRightInd w:val="0"/>
        <w:snapToGrid w:val="0"/>
        <w:spacing w:beforeLines="100" w:before="312" w:afterLines="50" w:after="156" w:line="380" w:lineRule="exact"/>
        <w:outlineLvl w:val="0"/>
        <w:rPr>
          <w:rFonts w:ascii="Times New Roman" w:eastAsia="仿宋_GB2312" w:hAnsi="Times New Roman" w:cs="Times New Roman"/>
          <w:sz w:val="30"/>
          <w:szCs w:val="30"/>
        </w:rPr>
      </w:pPr>
      <w:bookmarkStart w:id="0" w:name="_Toc23711"/>
      <w:r>
        <w:rPr>
          <w:rFonts w:ascii="Times New Roman" w:eastAsia="仿宋_GB2312" w:hAnsi="Times New Roman" w:cs="Times New Roman" w:hint="eastAsia"/>
          <w:sz w:val="30"/>
          <w:szCs w:val="30"/>
        </w:rPr>
        <w:lastRenderedPageBreak/>
        <w:t>一、项目概述</w:t>
      </w:r>
      <w:bookmarkEnd w:id="0"/>
    </w:p>
    <w:p w14:paraId="3AE7164D"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1" w:name="_Toc16281"/>
      <w:bookmarkStart w:id="2" w:name="OLE_LINK2"/>
      <w:r>
        <w:rPr>
          <w:rFonts w:ascii="Times New Roman" w:eastAsia="楷体_GB2312" w:hAnsi="Times New Roman" w:cs="Times New Roman" w:hint="eastAsia"/>
          <w:sz w:val="28"/>
          <w:szCs w:val="28"/>
        </w:rPr>
        <w:t xml:space="preserve">1.1 </w:t>
      </w:r>
      <w:r>
        <w:rPr>
          <w:rFonts w:ascii="Times New Roman" w:eastAsia="楷体_GB2312" w:hAnsi="Times New Roman" w:cs="Times New Roman" w:hint="eastAsia"/>
          <w:sz w:val="28"/>
          <w:szCs w:val="28"/>
        </w:rPr>
        <w:t>项目背景</w:t>
      </w:r>
      <w:bookmarkEnd w:id="1"/>
    </w:p>
    <w:p w14:paraId="4E4F4DF5" w14:textId="77777777" w:rsidR="00E93FEF" w:rsidRDefault="00000000">
      <w:pPr>
        <w:ind w:firstLineChars="200" w:firstLine="420"/>
      </w:pPr>
      <w:r>
        <w:rPr>
          <w:rFonts w:hint="eastAsia"/>
        </w:rPr>
        <w:t>随着“健康中国</w:t>
      </w:r>
      <w:r>
        <w:rPr>
          <w:rFonts w:hint="eastAsia"/>
        </w:rPr>
        <w:t>2030</w:t>
      </w:r>
      <w:r>
        <w:rPr>
          <w:rFonts w:hint="eastAsia"/>
        </w:rPr>
        <w:t>”战略的深入推进，我国医药零售与基层医疗体系正迎来前所未有的结构性变革。目前，全国零售药店总数已突破</w:t>
      </w:r>
      <w:r>
        <w:rPr>
          <w:rFonts w:hint="eastAsia"/>
        </w:rPr>
        <w:t xml:space="preserve"> 62</w:t>
      </w:r>
      <w:r>
        <w:rPr>
          <w:rFonts w:hint="eastAsia"/>
        </w:rPr>
        <w:t>万家。然而，在行业规模快速扩张的背后，传统药房的后端运营与前端服务正普遍面临以下两大核心痛点：</w:t>
      </w:r>
    </w:p>
    <w:p w14:paraId="536E7C81" w14:textId="77777777" w:rsidR="00E93FEF" w:rsidRDefault="00000000">
      <w:pPr>
        <w:ind w:firstLineChars="200" w:firstLine="420"/>
      </w:pPr>
      <w:r>
        <w:rPr>
          <w:rFonts w:hint="eastAsia"/>
        </w:rPr>
        <w:t>专业药师严重短缺，盲目用药安全风险突出。我国虽有约</w:t>
      </w:r>
      <w:r>
        <w:rPr>
          <w:rFonts w:hint="eastAsia"/>
        </w:rPr>
        <w:t xml:space="preserve"> 75 </w:t>
      </w:r>
      <w:r>
        <w:rPr>
          <w:rFonts w:hint="eastAsia"/>
        </w:rPr>
        <w:t>万名注册执业药师，但绝大多数集中在一线城市的大型连锁药店或三甲医院。大量社区单体药店、基层诊所处于“有店无药师”的真空状态，夜间时段更为严重。与此相对的是，我国</w:t>
      </w:r>
      <w:r>
        <w:rPr>
          <w:rFonts w:hint="eastAsia"/>
        </w:rPr>
        <w:t xml:space="preserve"> 60 </w:t>
      </w:r>
      <w:r>
        <w:rPr>
          <w:rFonts w:hint="eastAsia"/>
        </w:rPr>
        <w:t>岁以上老年人口已达</w:t>
      </w:r>
      <w:r>
        <w:rPr>
          <w:rFonts w:hint="eastAsia"/>
        </w:rPr>
        <w:t xml:space="preserve"> 2.97</w:t>
      </w:r>
      <w:r>
        <w:rPr>
          <w:rFonts w:hint="eastAsia"/>
        </w:rPr>
        <w:t>亿，慢病用药需求激增。当消费者面对模糊症状自行购药时，缺乏专业药师指导，极易因店员误导或缺乏医学常识而导致药物配伍禁忌。据第三方行业调查，近</w:t>
      </w:r>
      <w:r>
        <w:rPr>
          <w:rFonts w:hint="eastAsia"/>
        </w:rPr>
        <w:t xml:space="preserve"> 30% </w:t>
      </w:r>
      <w:r>
        <w:rPr>
          <w:rFonts w:hint="eastAsia"/>
        </w:rPr>
        <w:t>的消费者曾在药店获得过不恰当的用药建议，用药安全隐患极大。</w:t>
      </w:r>
    </w:p>
    <w:p w14:paraId="50AB4C29" w14:textId="77777777" w:rsidR="00E93FEF" w:rsidRDefault="00000000">
      <w:pPr>
        <w:ind w:firstLineChars="200" w:firstLine="420"/>
      </w:pPr>
      <w:r>
        <w:rPr>
          <w:rFonts w:hint="eastAsia"/>
        </w:rPr>
        <w:t>分拣与库存依赖人工，效率低下且损耗严重。传统药房的拣货、盘点、效期管理仍停留在纯手工阶段。店员需在密集的货架间反复寻找药品、核对批号，劳动强度极高。高峰期人工拣货差错率通常在</w:t>
      </w:r>
      <w:r>
        <w:rPr>
          <w:rFonts w:hint="eastAsia"/>
        </w:rPr>
        <w:t xml:space="preserve"> 1% ~ 3% </w:t>
      </w:r>
      <w:r>
        <w:rPr>
          <w:rFonts w:hint="eastAsia"/>
        </w:rPr>
        <w:t>之间，极易引发医患纠纷。此外，因缺乏动态补货预测，“热销药频频断货、滞销药默默过期”的现象屡见不鲜。特别在美团买药、饿了么等</w:t>
      </w:r>
      <w:r>
        <w:rPr>
          <w:rFonts w:hint="eastAsia"/>
        </w:rPr>
        <w:t xml:space="preserve"> O2O </w:t>
      </w:r>
      <w:r>
        <w:rPr>
          <w:rFonts w:hint="eastAsia"/>
        </w:rPr>
        <w:t>即时送药业务爆发式增长的今天，碎片化订单对“</w:t>
      </w:r>
      <w:r>
        <w:rPr>
          <w:rFonts w:hint="eastAsia"/>
        </w:rPr>
        <w:t>30</w:t>
      </w:r>
      <w:r>
        <w:rPr>
          <w:rFonts w:hint="eastAsia"/>
        </w:rPr>
        <w:t>分钟送达”的时效要求，进一步放大了人工分拣的瓶颈。</w:t>
      </w:r>
    </w:p>
    <w:p w14:paraId="56959EEE" w14:textId="77777777" w:rsidR="00E93FEF" w:rsidRDefault="00000000">
      <w:pPr>
        <w:ind w:firstLineChars="200" w:firstLine="420"/>
      </w:pPr>
      <w:r>
        <w:rPr>
          <w:rFonts w:hint="eastAsia"/>
        </w:rPr>
        <w:t>因此</w:t>
      </w:r>
      <w:r>
        <w:t>亟需一套能自动识别药品、精准抓取分拣，并实时同步库存、主动推送补仓提示的智能化</w:t>
      </w:r>
      <w:r>
        <w:rPr>
          <w:rFonts w:hint="eastAsia"/>
        </w:rPr>
        <w:t>解决</w:t>
      </w:r>
      <w:r>
        <w:t>方案。</w:t>
      </w:r>
    </w:p>
    <w:p w14:paraId="44FEE8BA"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 w:name="_Toc21548"/>
      <w:r>
        <w:rPr>
          <w:rFonts w:ascii="Times New Roman" w:eastAsia="楷体_GB2312" w:hAnsi="Times New Roman" w:cs="Times New Roman" w:hint="eastAsia"/>
          <w:sz w:val="28"/>
          <w:szCs w:val="28"/>
        </w:rPr>
        <w:t xml:space="preserve">1.2 </w:t>
      </w:r>
      <w:r>
        <w:rPr>
          <w:rFonts w:ascii="Times New Roman" w:eastAsia="楷体_GB2312" w:hAnsi="Times New Roman" w:cs="Times New Roman" w:hint="eastAsia"/>
          <w:sz w:val="28"/>
          <w:szCs w:val="28"/>
        </w:rPr>
        <w:t>项目来源</w:t>
      </w:r>
      <w:bookmarkEnd w:id="3"/>
    </w:p>
    <w:p w14:paraId="0233005D" w14:textId="77777777" w:rsidR="00E93FEF" w:rsidRDefault="00000000">
      <w:pPr>
        <w:ind w:firstLine="420"/>
      </w:pPr>
      <w:r>
        <w:rPr>
          <w:rFonts w:hint="eastAsia"/>
        </w:rPr>
        <w:t>本项目源自团队在智能机器人、计算机视觉、大语言模型微调以及医药信息化领域的深度科研积累。项目前期，团队针对大型连锁药店、社区单体药店、</w:t>
      </w:r>
      <w:r>
        <w:rPr>
          <w:rFonts w:hint="eastAsia"/>
        </w:rPr>
        <w:t>24</w:t>
      </w:r>
      <w:r>
        <w:rPr>
          <w:rFonts w:hint="eastAsia"/>
        </w:rPr>
        <w:t>小时基层诊所三类典型业态开展实地走访与场景验证，采集并整理真实药房处方与</w:t>
      </w:r>
      <w:r>
        <w:rPr>
          <w:rFonts w:hint="eastAsia"/>
        </w:rPr>
        <w:t xml:space="preserve"> O2O </w:t>
      </w:r>
      <w:r>
        <w:rPr>
          <w:rFonts w:hint="eastAsia"/>
        </w:rPr>
        <w:t>拣货数据，通过数据实证与现场调研，充分印证了夜间药师缺位、高峰拣货效率低、药品效期损耗高、库存管理滞后等行业痛点的普遍性与迫切性。</w:t>
      </w:r>
    </w:p>
    <w:p w14:paraId="79A1ACA0" w14:textId="77777777" w:rsidR="00E93FEF" w:rsidRDefault="00000000">
      <w:pPr>
        <w:ind w:firstLine="420"/>
      </w:pPr>
      <w:r>
        <w:rPr>
          <w:rFonts w:hint="eastAsia"/>
        </w:rPr>
        <w:t>基于真实需求与技术积累，团队正式立项研发</w:t>
      </w:r>
      <w:r>
        <w:rPr>
          <w:rFonts w:hint="eastAsia"/>
        </w:rPr>
        <w:t xml:space="preserve">PharmacyBot </w:t>
      </w:r>
      <w:r>
        <w:rPr>
          <w:rFonts w:hint="eastAsia"/>
        </w:rPr>
        <w:t>智能药房系统，以突破</w:t>
      </w:r>
      <w:r>
        <w:rPr>
          <w:rFonts w:hint="eastAsia"/>
        </w:rPr>
        <w:t xml:space="preserve">AI </w:t>
      </w:r>
      <w:r>
        <w:rPr>
          <w:rFonts w:hint="eastAsia"/>
        </w:rPr>
        <w:t>大模型与机器人硬件协同壁垒为核心方向，将前沿人工智能与自动化技术深度融合，打造面向智慧医药零售与基层医疗的一体化解决方案，真正实现技术成果与产业需求的精准对接、高效落地。</w:t>
      </w:r>
    </w:p>
    <w:p w14:paraId="4A6862D9"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 w:name="_Toc14046"/>
      <w:r>
        <w:rPr>
          <w:rFonts w:ascii="Times New Roman" w:eastAsia="楷体_GB2312" w:hAnsi="Times New Roman" w:cs="Times New Roman" w:hint="eastAsia"/>
          <w:sz w:val="28"/>
          <w:szCs w:val="28"/>
        </w:rPr>
        <w:t xml:space="preserve">1.3 </w:t>
      </w:r>
      <w:r>
        <w:rPr>
          <w:rFonts w:ascii="Times New Roman" w:eastAsia="楷体_GB2312" w:hAnsi="Times New Roman" w:cs="Times New Roman" w:hint="eastAsia"/>
          <w:sz w:val="28"/>
          <w:szCs w:val="28"/>
        </w:rPr>
        <w:t>产品介绍</w:t>
      </w:r>
      <w:bookmarkEnd w:id="4"/>
    </w:p>
    <w:p w14:paraId="21A4FED1" w14:textId="77777777" w:rsidR="00E93FEF" w:rsidRDefault="00000000">
      <w:pPr>
        <w:ind w:firstLine="420"/>
      </w:pPr>
      <w:r>
        <w:rPr>
          <w:rFonts w:hint="eastAsia"/>
        </w:rPr>
        <w:t>本项目构建</w:t>
      </w:r>
      <w:r>
        <w:rPr>
          <w:rFonts w:hint="eastAsia"/>
        </w:rPr>
        <w:t>AI</w:t>
      </w:r>
      <w:r>
        <w:rPr>
          <w:rFonts w:hint="eastAsia"/>
        </w:rPr>
        <w:t>药师智能体</w:t>
      </w:r>
      <w:r>
        <w:rPr>
          <w:rFonts w:hint="eastAsia"/>
        </w:rPr>
        <w:t>+</w:t>
      </w:r>
      <w:r>
        <w:rPr>
          <w:rFonts w:hint="eastAsia"/>
        </w:rPr>
        <w:t>视觉分拣机器人深度融合系统，打通“症状咨询—辅助判断</w:t>
      </w:r>
      <w:r>
        <w:rPr>
          <w:rFonts w:hint="eastAsia"/>
        </w:rPr>
        <w:t xml:space="preserve"> </w:t>
      </w:r>
      <w:r>
        <w:rPr>
          <w:rFonts w:hint="eastAsia"/>
        </w:rPr>
        <w:t>—药品推荐—自动抓取—库存更新—补仓预警”全链路服务闭环，为基层药房提供一站式智能化升级方案。</w:t>
      </w:r>
    </w:p>
    <w:p w14:paraId="51D0658D" w14:textId="77777777" w:rsidR="00E93FEF" w:rsidRDefault="00000000">
      <w:pPr>
        <w:ind w:firstLine="420"/>
      </w:pPr>
      <w:r>
        <w:rPr>
          <w:rFonts w:hint="eastAsia"/>
        </w:rPr>
        <w:t>模块一：</w:t>
      </w:r>
      <w:r>
        <w:rPr>
          <w:rFonts w:hint="eastAsia"/>
        </w:rPr>
        <w:t>AI</w:t>
      </w:r>
      <w:r>
        <w:rPr>
          <w:rFonts w:hint="eastAsia"/>
        </w:rPr>
        <w:t>药师智能体</w:t>
      </w:r>
    </w:p>
    <w:p w14:paraId="42D4B2F5" w14:textId="77777777" w:rsidR="00E93FEF" w:rsidRDefault="00000000">
      <w:pPr>
        <w:ind w:firstLine="420"/>
      </w:pPr>
      <w:r>
        <w:rPr>
          <w:rFonts w:hint="eastAsia"/>
        </w:rPr>
        <w:t>基于医疗垂类大模型微调开发，支持多轮自然语言交互采集患者症状，辅助完成病因初步判断，输出合规</w:t>
      </w:r>
      <w:r>
        <w:rPr>
          <w:rFonts w:hint="eastAsia"/>
        </w:rPr>
        <w:t>OTC</w:t>
      </w:r>
      <w:r>
        <w:rPr>
          <w:rFonts w:hint="eastAsia"/>
        </w:rPr>
        <w:t>药品推荐、用法用量、禁忌提示与健康建议。系统内置强规则合规兜底机制：仅提供健康咨询辅助、不开展医疗诊断、仅推荐非处方药、高危症状自动拦截并引导就医，全程保障用药安全与监管合规。</w:t>
      </w:r>
    </w:p>
    <w:p w14:paraId="74E22795" w14:textId="77777777" w:rsidR="00E93FEF" w:rsidRDefault="00000000">
      <w:pPr>
        <w:ind w:firstLine="420"/>
      </w:pPr>
      <w:r>
        <w:rPr>
          <w:rFonts w:hint="eastAsia"/>
        </w:rPr>
        <w:t>模块二：视觉分拣机器人</w:t>
      </w:r>
    </w:p>
    <w:p w14:paraId="0B5DEAA5" w14:textId="585C3BE0" w:rsidR="00E93FEF" w:rsidRDefault="00000000" w:rsidP="003D20DE">
      <w:pPr>
        <w:ind w:firstLine="420"/>
      </w:pPr>
      <w:r>
        <w:rPr>
          <w:rFonts w:hint="eastAsia"/>
        </w:rPr>
        <w:t>以机械臂为执行终端，集成条码识别、</w:t>
      </w:r>
      <w:proofErr w:type="spellStart"/>
      <w:r>
        <w:rPr>
          <w:rFonts w:hint="eastAsia"/>
        </w:rPr>
        <w:t>PaddleOCR</w:t>
      </w:r>
      <w:proofErr w:type="spellEnd"/>
      <w:r>
        <w:rPr>
          <w:rFonts w:hint="eastAsia"/>
        </w:rPr>
        <w:t>文字识别、</w:t>
      </w:r>
      <w:r>
        <w:rPr>
          <w:rFonts w:hint="eastAsia"/>
        </w:rPr>
        <w:t>YOLOv8</w:t>
      </w:r>
      <w:r>
        <w:rPr>
          <w:rFonts w:hint="eastAsia"/>
        </w:rPr>
        <w:t>视觉定位三重感知</w:t>
      </w:r>
      <w:r>
        <w:rPr>
          <w:rFonts w:hint="eastAsia"/>
        </w:rPr>
        <w:lastRenderedPageBreak/>
        <w:t>技术，依托</w:t>
      </w:r>
      <w:r>
        <w:rPr>
          <w:rFonts w:hint="eastAsia"/>
        </w:rPr>
        <w:t>ROS Noetic</w:t>
      </w:r>
      <w:r>
        <w:rPr>
          <w:rFonts w:hint="eastAsia"/>
        </w:rPr>
        <w:t>系统与</w:t>
      </w:r>
      <w:proofErr w:type="spellStart"/>
      <w:r>
        <w:rPr>
          <w:rFonts w:hint="eastAsia"/>
        </w:rPr>
        <w:t>MoveIt</w:t>
      </w:r>
      <w:proofErr w:type="spellEnd"/>
      <w:r>
        <w:rPr>
          <w:rFonts w:hint="eastAsia"/>
        </w:rPr>
        <w:t>运动规划算法，实现药品自动识别、空间定位、精准抓取与订单核对。每完成一次分拣操作，系统自动核减库存数量，药品库存低于安全阈值</w:t>
      </w:r>
      <w:r w:rsidR="003D20DE">
        <w:rPr>
          <w:noProof/>
        </w:rPr>
        <w:drawing>
          <wp:anchor distT="0" distB="0" distL="114300" distR="114300" simplePos="0" relativeHeight="251654656" behindDoc="0" locked="0" layoutInCell="1" allowOverlap="1" wp14:anchorId="49CA7B4B" wp14:editId="7F315C2A">
            <wp:simplePos x="0" y="0"/>
            <wp:positionH relativeFrom="column">
              <wp:posOffset>-313690</wp:posOffset>
            </wp:positionH>
            <wp:positionV relativeFrom="paragraph">
              <wp:posOffset>633730</wp:posOffset>
            </wp:positionV>
            <wp:extent cx="6222365" cy="2468245"/>
            <wp:effectExtent l="0" t="0" r="6985"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6222365" cy="24682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时实时推送补仓提醒，同步实现效期监控、动态盘点与数据追溯。</w:t>
      </w:r>
    </w:p>
    <w:p w14:paraId="2CFF7D95" w14:textId="77777777" w:rsidR="00E93FEF" w:rsidRDefault="00000000">
      <w:pPr>
        <w:ind w:firstLine="420"/>
      </w:pPr>
      <w:r>
        <w:rPr>
          <w:rFonts w:hint="eastAsia"/>
        </w:rPr>
        <w:t>项目核心价值：业内首创</w:t>
      </w:r>
      <w:r>
        <w:rPr>
          <w:rFonts w:hint="eastAsia"/>
        </w:rPr>
        <w:t>AI</w:t>
      </w:r>
      <w:r>
        <w:rPr>
          <w:rFonts w:hint="eastAsia"/>
        </w:rPr>
        <w:t>问诊建议</w:t>
      </w:r>
      <w:r>
        <w:rPr>
          <w:rFonts w:hint="eastAsia"/>
        </w:rPr>
        <w:t>+</w:t>
      </w:r>
      <w:r>
        <w:rPr>
          <w:rFonts w:hint="eastAsia"/>
        </w:rPr>
        <w:t>物理药品交付软硬一体闭环模式，真正实现“症状输入—药品出库”一步到位，彻底解决传统药房“咨询</w:t>
      </w:r>
      <w:proofErr w:type="gramStart"/>
      <w:r>
        <w:rPr>
          <w:rFonts w:hint="eastAsia"/>
        </w:rPr>
        <w:t>不</w:t>
      </w:r>
      <w:proofErr w:type="gramEnd"/>
      <w:r>
        <w:rPr>
          <w:rFonts w:hint="eastAsia"/>
        </w:rPr>
        <w:t>智能、分拣</w:t>
      </w:r>
      <w:proofErr w:type="gramStart"/>
      <w:r>
        <w:rPr>
          <w:rFonts w:hint="eastAsia"/>
        </w:rPr>
        <w:t>不</w:t>
      </w:r>
      <w:proofErr w:type="gramEnd"/>
      <w:r>
        <w:rPr>
          <w:rFonts w:hint="eastAsia"/>
        </w:rPr>
        <w:t>高效、管理</w:t>
      </w:r>
      <w:proofErr w:type="gramStart"/>
      <w:r>
        <w:rPr>
          <w:rFonts w:hint="eastAsia"/>
        </w:rPr>
        <w:t>不</w:t>
      </w:r>
      <w:proofErr w:type="gramEnd"/>
      <w:r>
        <w:rPr>
          <w:rFonts w:hint="eastAsia"/>
        </w:rPr>
        <w:t>智能”</w:t>
      </w:r>
      <w:r>
        <w:rPr>
          <w:rFonts w:hint="eastAsia"/>
        </w:rPr>
        <w:t xml:space="preserve"> </w:t>
      </w:r>
      <w:r>
        <w:rPr>
          <w:rFonts w:hint="eastAsia"/>
        </w:rPr>
        <w:t>的行业难题。</w:t>
      </w:r>
    </w:p>
    <w:p w14:paraId="60817519"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5" w:name="_Toc25269"/>
      <w:r>
        <w:rPr>
          <w:rFonts w:ascii="Times New Roman" w:eastAsia="楷体_GB2312" w:hAnsi="Times New Roman" w:cs="Times New Roman" w:hint="eastAsia"/>
          <w:sz w:val="28"/>
          <w:szCs w:val="28"/>
        </w:rPr>
        <w:t xml:space="preserve">1.4 </w:t>
      </w:r>
      <w:r>
        <w:rPr>
          <w:rFonts w:ascii="Times New Roman" w:eastAsia="楷体_GB2312" w:hAnsi="Times New Roman" w:cs="Times New Roman" w:hint="eastAsia"/>
          <w:sz w:val="28"/>
          <w:szCs w:val="28"/>
        </w:rPr>
        <w:t>产品优势</w:t>
      </w:r>
      <w:bookmarkEnd w:id="5"/>
    </w:p>
    <w:p w14:paraId="61763438" w14:textId="0AE2A072" w:rsidR="00E93FEF" w:rsidRDefault="003D20DE">
      <w:pPr>
        <w:pStyle w:val="a3"/>
        <w:widowControl/>
        <w:shd w:val="clear" w:color="auto" w:fill="FFFFFF"/>
        <w:spacing w:beforeAutospacing="0" w:afterAutospacing="0"/>
        <w:ind w:firstLine="420"/>
        <w:rPr>
          <w:kern w:val="2"/>
          <w:sz w:val="21"/>
        </w:rPr>
      </w:pPr>
      <w:r>
        <w:rPr>
          <w:rFonts w:hint="eastAsia"/>
          <w:kern w:val="2"/>
          <w:sz w:val="21"/>
        </w:rPr>
        <w:t>1.</w:t>
      </w:r>
      <w:r>
        <w:rPr>
          <w:rFonts w:hint="eastAsia"/>
          <w:kern w:val="2"/>
          <w:sz w:val="21"/>
        </w:rPr>
        <w:t>全流程闭环，将</w:t>
      </w:r>
      <w:r>
        <w:rPr>
          <w:rFonts w:hint="eastAsia"/>
          <w:kern w:val="2"/>
          <w:sz w:val="21"/>
        </w:rPr>
        <w:t>AI</w:t>
      </w:r>
      <w:r>
        <w:rPr>
          <w:rFonts w:hint="eastAsia"/>
          <w:kern w:val="2"/>
          <w:sz w:val="21"/>
        </w:rPr>
        <w:t>用药咨询与机械臂自动分拣深度结合，形成</w:t>
      </w:r>
      <w:proofErr w:type="gramStart"/>
      <w:r>
        <w:rPr>
          <w:rFonts w:hint="eastAsia"/>
          <w:kern w:val="2"/>
          <w:sz w:val="21"/>
        </w:rPr>
        <w:t>完整服务</w:t>
      </w:r>
      <w:proofErr w:type="gramEnd"/>
      <w:r>
        <w:rPr>
          <w:rFonts w:hint="eastAsia"/>
          <w:kern w:val="2"/>
          <w:sz w:val="21"/>
        </w:rPr>
        <w:t>链路，区别于单一软件或单一硬件产品，差异化优势明显。</w:t>
      </w:r>
      <w:r>
        <w:rPr>
          <w:rFonts w:hint="eastAsia"/>
          <w:kern w:val="2"/>
          <w:sz w:val="21"/>
        </w:rPr>
        <w:t xml:space="preserve"> </w:t>
      </w:r>
    </w:p>
    <w:p w14:paraId="0EBE3704" w14:textId="074F5A03" w:rsidR="00E93FEF" w:rsidRDefault="003D20DE">
      <w:pPr>
        <w:pStyle w:val="a3"/>
        <w:widowControl/>
        <w:shd w:val="clear" w:color="auto" w:fill="FFFFFF"/>
        <w:spacing w:beforeAutospacing="0" w:afterAutospacing="0"/>
        <w:ind w:firstLine="420"/>
        <w:rPr>
          <w:kern w:val="2"/>
          <w:sz w:val="21"/>
        </w:rPr>
      </w:pPr>
      <w:r>
        <w:rPr>
          <w:rFonts w:hint="eastAsia"/>
          <w:kern w:val="2"/>
          <w:sz w:val="21"/>
        </w:rPr>
        <w:t>2.</w:t>
      </w:r>
      <w:r>
        <w:rPr>
          <w:rFonts w:hint="eastAsia"/>
          <w:kern w:val="2"/>
          <w:sz w:val="21"/>
        </w:rPr>
        <w:t>识别精准可靠，通过条码识别、</w:t>
      </w:r>
      <w:r>
        <w:rPr>
          <w:rFonts w:hint="eastAsia"/>
          <w:kern w:val="2"/>
          <w:sz w:val="21"/>
        </w:rPr>
        <w:t>OCR</w:t>
      </w:r>
      <w:r>
        <w:rPr>
          <w:rFonts w:hint="eastAsia"/>
          <w:kern w:val="2"/>
          <w:sz w:val="21"/>
        </w:rPr>
        <w:t>文字识别、视觉定位三重校验，大幅提升药品识别与分拣准确率，运行稳定。</w:t>
      </w:r>
      <w:r>
        <w:rPr>
          <w:rFonts w:hint="eastAsia"/>
          <w:kern w:val="2"/>
          <w:sz w:val="21"/>
        </w:rPr>
        <w:t xml:space="preserve"> </w:t>
      </w:r>
    </w:p>
    <w:p w14:paraId="325152CB" w14:textId="5A253652" w:rsidR="00E93FEF" w:rsidRDefault="003D20DE">
      <w:pPr>
        <w:pStyle w:val="a3"/>
        <w:widowControl/>
        <w:shd w:val="clear" w:color="auto" w:fill="FFFFFF"/>
        <w:spacing w:beforeAutospacing="0" w:afterAutospacing="0"/>
        <w:ind w:firstLine="420"/>
        <w:rPr>
          <w:kern w:val="2"/>
          <w:sz w:val="21"/>
        </w:rPr>
      </w:pPr>
      <w:r>
        <w:rPr>
          <w:rFonts w:hint="eastAsia"/>
          <w:kern w:val="2"/>
          <w:sz w:val="21"/>
        </w:rPr>
        <w:t>3.</w:t>
      </w:r>
      <w:r>
        <w:rPr>
          <w:rFonts w:hint="eastAsia"/>
          <w:kern w:val="2"/>
          <w:sz w:val="21"/>
        </w:rPr>
        <w:t>轻量化易部署，设备体积小、安装简便、成本可控，能够适配社区药店、基层诊所、小型卫生服务中心等多种场景。</w:t>
      </w:r>
      <w:r>
        <w:rPr>
          <w:rFonts w:hint="eastAsia"/>
          <w:kern w:val="2"/>
          <w:sz w:val="21"/>
        </w:rPr>
        <w:t xml:space="preserve"> </w:t>
      </w:r>
    </w:p>
    <w:p w14:paraId="74E21461" w14:textId="3ECFAB60" w:rsidR="00E93FEF" w:rsidRDefault="003D20DE">
      <w:pPr>
        <w:pStyle w:val="a3"/>
        <w:widowControl/>
        <w:shd w:val="clear" w:color="auto" w:fill="FFFFFF"/>
        <w:spacing w:beforeAutospacing="0" w:afterAutospacing="0"/>
        <w:ind w:firstLine="420"/>
        <w:rPr>
          <w:kern w:val="2"/>
          <w:sz w:val="21"/>
        </w:rPr>
      </w:pPr>
      <w:r>
        <w:rPr>
          <w:rFonts w:hint="eastAsia"/>
          <w:kern w:val="2"/>
          <w:sz w:val="21"/>
        </w:rPr>
        <w:t>4.</w:t>
      </w:r>
      <w:r>
        <w:rPr>
          <w:rFonts w:hint="eastAsia"/>
          <w:kern w:val="2"/>
          <w:sz w:val="21"/>
        </w:rPr>
        <w:t>合</w:t>
      </w:r>
      <w:proofErr w:type="gramStart"/>
      <w:r>
        <w:rPr>
          <w:rFonts w:hint="eastAsia"/>
          <w:kern w:val="2"/>
          <w:sz w:val="21"/>
        </w:rPr>
        <w:t>规</w:t>
      </w:r>
      <w:proofErr w:type="gramEnd"/>
      <w:r>
        <w:rPr>
          <w:rFonts w:hint="eastAsia"/>
          <w:kern w:val="2"/>
          <w:sz w:val="21"/>
        </w:rPr>
        <w:t>性强，</w:t>
      </w:r>
      <w:r>
        <w:rPr>
          <w:rFonts w:hint="eastAsia"/>
          <w:kern w:val="2"/>
          <w:sz w:val="21"/>
        </w:rPr>
        <w:t>AI</w:t>
      </w:r>
      <w:r>
        <w:rPr>
          <w:rFonts w:hint="eastAsia"/>
          <w:kern w:val="2"/>
          <w:sz w:val="21"/>
        </w:rPr>
        <w:t>药师严格限定在健康咨询与</w:t>
      </w:r>
      <w:r>
        <w:rPr>
          <w:rFonts w:hint="eastAsia"/>
          <w:kern w:val="2"/>
          <w:sz w:val="21"/>
        </w:rPr>
        <w:t>OTC</w:t>
      </w:r>
      <w:r>
        <w:rPr>
          <w:rFonts w:hint="eastAsia"/>
          <w:kern w:val="2"/>
          <w:sz w:val="21"/>
        </w:rPr>
        <w:t>推荐范围，不涉及诊断行为，配合规则兜底机制，使用安全、监管风险低。</w:t>
      </w:r>
    </w:p>
    <w:p w14:paraId="2034B6E4"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6" w:name="_Toc983"/>
      <w:r>
        <w:rPr>
          <w:rFonts w:ascii="Times New Roman" w:eastAsia="楷体_GB2312" w:hAnsi="Times New Roman" w:cs="Times New Roman" w:hint="eastAsia"/>
          <w:sz w:val="28"/>
          <w:szCs w:val="28"/>
        </w:rPr>
        <w:t>1.5</w:t>
      </w:r>
      <w:r>
        <w:rPr>
          <w:rFonts w:ascii="Times New Roman" w:eastAsia="楷体_GB2312" w:hAnsi="Times New Roman" w:cs="Times New Roman" w:hint="eastAsia"/>
          <w:sz w:val="28"/>
          <w:szCs w:val="28"/>
        </w:rPr>
        <w:t>项目意义</w:t>
      </w:r>
      <w:bookmarkEnd w:id="6"/>
    </w:p>
    <w:p w14:paraId="215900CD" w14:textId="77777777" w:rsidR="00E93FEF" w:rsidRDefault="00000000">
      <w:pPr>
        <w:pStyle w:val="a3"/>
        <w:widowControl/>
        <w:shd w:val="clear" w:color="auto" w:fill="FFFFFF"/>
        <w:spacing w:before="120" w:beforeAutospacing="0" w:after="120" w:afterAutospacing="0"/>
        <w:ind w:firstLine="420"/>
        <w:outlineLvl w:val="2"/>
        <w:rPr>
          <w:kern w:val="2"/>
          <w:sz w:val="21"/>
        </w:rPr>
      </w:pPr>
      <w:bookmarkStart w:id="7" w:name="_Toc4394"/>
      <w:r>
        <w:rPr>
          <w:rFonts w:hint="eastAsia"/>
          <w:kern w:val="2"/>
          <w:sz w:val="21"/>
        </w:rPr>
        <w:t>1.5.1</w:t>
      </w:r>
      <w:r>
        <w:rPr>
          <w:kern w:val="2"/>
          <w:sz w:val="21"/>
        </w:rPr>
        <w:t>社会价值</w:t>
      </w:r>
      <w:bookmarkEnd w:id="7"/>
    </w:p>
    <w:p w14:paraId="6E80863F" w14:textId="705CA92F" w:rsidR="00E93FEF" w:rsidRDefault="007B0E0B">
      <w:pPr>
        <w:pStyle w:val="a3"/>
        <w:widowControl/>
        <w:shd w:val="clear" w:color="auto" w:fill="FFFFFF"/>
        <w:spacing w:beforeAutospacing="0" w:afterAutospacing="0"/>
        <w:ind w:firstLine="420"/>
        <w:rPr>
          <w:kern w:val="2"/>
          <w:sz w:val="21"/>
        </w:rPr>
      </w:pPr>
      <w:r>
        <w:rPr>
          <w:rFonts w:hint="eastAsia"/>
          <w:kern w:val="2"/>
          <w:sz w:val="21"/>
        </w:rPr>
        <w:t>（</w:t>
      </w:r>
      <w:r>
        <w:rPr>
          <w:rFonts w:hint="eastAsia"/>
          <w:kern w:val="2"/>
          <w:sz w:val="21"/>
        </w:rPr>
        <w:t>1</w:t>
      </w:r>
      <w:r>
        <w:rPr>
          <w:rFonts w:hint="eastAsia"/>
          <w:kern w:val="2"/>
          <w:sz w:val="21"/>
        </w:rPr>
        <w:t>）</w:t>
      </w:r>
      <w:r>
        <w:rPr>
          <w:kern w:val="2"/>
          <w:sz w:val="21"/>
        </w:rPr>
        <w:t>缓解基层用药安全痛点：</w:t>
      </w:r>
      <w:r w:rsidRPr="007B0E0B">
        <w:rPr>
          <w:rFonts w:ascii="Times New Roman" w:eastAsiaTheme="minorEastAsia" w:hAnsi="Times New Roman" w:cs="Times New Roman"/>
          <w:kern w:val="2"/>
          <w:sz w:val="21"/>
        </w:rPr>
        <w:t>尽管全国执业药师注册人数近</w:t>
      </w:r>
      <w:r w:rsidRPr="007B0E0B">
        <w:rPr>
          <w:rFonts w:ascii="Times New Roman" w:eastAsiaTheme="minorEastAsia" w:hAnsi="Times New Roman" w:cs="Times New Roman"/>
          <w:kern w:val="2"/>
          <w:sz w:val="21"/>
        </w:rPr>
        <w:t>80</w:t>
      </w:r>
      <w:r w:rsidRPr="007B0E0B">
        <w:rPr>
          <w:rFonts w:ascii="Times New Roman" w:eastAsiaTheme="minorEastAsia" w:hAnsi="Times New Roman" w:cs="Times New Roman"/>
          <w:kern w:val="2"/>
          <w:sz w:val="21"/>
        </w:rPr>
        <w:t>万，但由于区域分布严重不均，大量基层单体药店长期处于</w:t>
      </w:r>
      <w:r>
        <w:rPr>
          <w:rFonts w:ascii="Times New Roman" w:eastAsiaTheme="minorEastAsia" w:hAnsi="Times New Roman" w:cs="Times New Roman" w:hint="eastAsia"/>
          <w:kern w:val="2"/>
          <w:sz w:val="21"/>
        </w:rPr>
        <w:t>“</w:t>
      </w:r>
      <w:r w:rsidRPr="007B0E0B">
        <w:rPr>
          <w:rFonts w:ascii="Times New Roman" w:eastAsiaTheme="minorEastAsia" w:hAnsi="Times New Roman" w:cs="Times New Roman"/>
          <w:kern w:val="2"/>
          <w:sz w:val="21"/>
        </w:rPr>
        <w:t>有店无药师</w:t>
      </w:r>
      <w:r>
        <w:rPr>
          <w:rFonts w:ascii="Times New Roman" w:eastAsiaTheme="minorEastAsia" w:hAnsi="Times New Roman" w:cs="Times New Roman" w:hint="eastAsia"/>
          <w:kern w:val="2"/>
          <w:sz w:val="21"/>
        </w:rPr>
        <w:t>”</w:t>
      </w:r>
      <w:r w:rsidRPr="007B0E0B">
        <w:rPr>
          <w:rFonts w:ascii="Times New Roman" w:eastAsiaTheme="minorEastAsia" w:hAnsi="Times New Roman" w:cs="Times New Roman"/>
          <w:kern w:val="2"/>
          <w:sz w:val="21"/>
        </w:rPr>
        <w:t>的实际真空状态，夜间专业服务更为缺失</w:t>
      </w:r>
      <w:r w:rsidRPr="007B0E0B">
        <w:rPr>
          <w:kern w:val="2"/>
          <w:sz w:val="21"/>
        </w:rPr>
        <w:t>。</w:t>
      </w:r>
      <w:r>
        <w:rPr>
          <w:kern w:val="2"/>
          <w:sz w:val="21"/>
        </w:rPr>
        <w:t>AI</w:t>
      </w:r>
      <w:r>
        <w:rPr>
          <w:kern w:val="2"/>
          <w:sz w:val="21"/>
        </w:rPr>
        <w:t>药师为患者提供症状辅助判断，降低盲目购药与误判风险，守护基层用药安全底线。</w:t>
      </w:r>
    </w:p>
    <w:p w14:paraId="53AB0D8E" w14:textId="21A43B45" w:rsidR="00E93FEF" w:rsidRDefault="007B0E0B">
      <w:pPr>
        <w:pStyle w:val="a3"/>
        <w:widowControl/>
        <w:shd w:val="clear" w:color="auto" w:fill="FFFFFF"/>
        <w:spacing w:beforeAutospacing="0" w:afterAutospacing="0"/>
        <w:ind w:firstLine="420"/>
        <w:rPr>
          <w:kern w:val="2"/>
          <w:sz w:val="21"/>
        </w:rPr>
      </w:pPr>
      <w:r>
        <w:rPr>
          <w:rFonts w:hint="eastAsia"/>
          <w:kern w:val="2"/>
          <w:sz w:val="21"/>
        </w:rPr>
        <w:t>（</w:t>
      </w:r>
      <w:r>
        <w:rPr>
          <w:rFonts w:hint="eastAsia"/>
          <w:kern w:val="2"/>
          <w:sz w:val="21"/>
        </w:rPr>
        <w:t>2</w:t>
      </w:r>
      <w:r>
        <w:rPr>
          <w:rFonts w:hint="eastAsia"/>
          <w:kern w:val="2"/>
          <w:sz w:val="21"/>
        </w:rPr>
        <w:t>）</w:t>
      </w:r>
      <w:r>
        <w:rPr>
          <w:kern w:val="2"/>
          <w:sz w:val="21"/>
        </w:rPr>
        <w:t>提升医疗资源可及性：</w:t>
      </w:r>
      <w:r>
        <w:rPr>
          <w:kern w:val="2"/>
          <w:sz w:val="21"/>
        </w:rPr>
        <w:t>24</w:t>
      </w:r>
      <w:r>
        <w:rPr>
          <w:kern w:val="2"/>
          <w:sz w:val="21"/>
        </w:rPr>
        <w:t>小时无人值守，满足夜间急用药、偏远社区等场景需求，让专业药事服务</w:t>
      </w:r>
      <w:r>
        <w:rPr>
          <w:kern w:val="2"/>
          <w:sz w:val="21"/>
        </w:rPr>
        <w:t>“</w:t>
      </w:r>
      <w:r>
        <w:rPr>
          <w:kern w:val="2"/>
          <w:sz w:val="21"/>
        </w:rPr>
        <w:t>不打烊</w:t>
      </w:r>
      <w:r>
        <w:rPr>
          <w:kern w:val="2"/>
          <w:sz w:val="21"/>
        </w:rPr>
        <w:t>”</w:t>
      </w:r>
      <w:r>
        <w:rPr>
          <w:kern w:val="2"/>
          <w:sz w:val="21"/>
        </w:rPr>
        <w:t>。</w:t>
      </w:r>
    </w:p>
    <w:p w14:paraId="6433E55D" w14:textId="0DBCACD1" w:rsidR="00E93FEF" w:rsidRDefault="007B0E0B">
      <w:pPr>
        <w:pStyle w:val="a3"/>
        <w:widowControl/>
        <w:shd w:val="clear" w:color="auto" w:fill="FFFFFF"/>
        <w:spacing w:beforeAutospacing="0" w:afterAutospacing="0"/>
        <w:ind w:firstLine="420"/>
        <w:rPr>
          <w:kern w:val="2"/>
          <w:sz w:val="21"/>
        </w:rPr>
      </w:pPr>
      <w:r>
        <w:rPr>
          <w:rFonts w:hint="eastAsia"/>
          <w:kern w:val="2"/>
          <w:sz w:val="21"/>
        </w:rPr>
        <w:t>（</w:t>
      </w:r>
      <w:r>
        <w:rPr>
          <w:rFonts w:hint="eastAsia"/>
          <w:kern w:val="2"/>
          <w:sz w:val="21"/>
        </w:rPr>
        <w:t>3</w:t>
      </w:r>
      <w:r>
        <w:rPr>
          <w:rFonts w:hint="eastAsia"/>
          <w:kern w:val="2"/>
          <w:sz w:val="21"/>
        </w:rPr>
        <w:t>）</w:t>
      </w:r>
      <w:r>
        <w:rPr>
          <w:kern w:val="2"/>
          <w:sz w:val="21"/>
        </w:rPr>
        <w:t>助力老龄化社会应对：语音交互、大字体界面降低老年群体使用门槛，慢性病用药管理与症状咨询一站完成。</w:t>
      </w:r>
    </w:p>
    <w:p w14:paraId="35F30664" w14:textId="6B55F9D2" w:rsidR="00E93FEF" w:rsidRDefault="007B0E0B">
      <w:pPr>
        <w:pStyle w:val="a3"/>
        <w:widowControl/>
        <w:shd w:val="clear" w:color="auto" w:fill="FFFFFF"/>
        <w:spacing w:beforeAutospacing="0" w:afterAutospacing="0"/>
        <w:ind w:firstLine="420"/>
        <w:rPr>
          <w:kern w:val="2"/>
          <w:sz w:val="21"/>
        </w:rPr>
      </w:pPr>
      <w:r>
        <w:rPr>
          <w:rFonts w:hint="eastAsia"/>
          <w:kern w:val="2"/>
          <w:sz w:val="21"/>
        </w:rPr>
        <w:t>（</w:t>
      </w:r>
      <w:r>
        <w:rPr>
          <w:rFonts w:hint="eastAsia"/>
          <w:kern w:val="2"/>
          <w:sz w:val="21"/>
        </w:rPr>
        <w:t>4</w:t>
      </w:r>
      <w:r>
        <w:rPr>
          <w:rFonts w:hint="eastAsia"/>
          <w:kern w:val="2"/>
          <w:sz w:val="21"/>
        </w:rPr>
        <w:t>）</w:t>
      </w:r>
      <w:r>
        <w:rPr>
          <w:kern w:val="2"/>
          <w:sz w:val="21"/>
        </w:rPr>
        <w:t>推动健康公平：以低成本方案赋能中小药店，缩小连锁巨头与单体药店之间的服务能力差距。</w:t>
      </w:r>
    </w:p>
    <w:p w14:paraId="4748E97E" w14:textId="77777777" w:rsidR="00E93FEF" w:rsidRDefault="00000000">
      <w:pPr>
        <w:pStyle w:val="a3"/>
        <w:widowControl/>
        <w:shd w:val="clear" w:color="auto" w:fill="FFFFFF"/>
        <w:spacing w:before="120" w:beforeAutospacing="0" w:after="120" w:afterAutospacing="0"/>
        <w:ind w:firstLine="420"/>
        <w:outlineLvl w:val="2"/>
        <w:rPr>
          <w:kern w:val="2"/>
          <w:sz w:val="21"/>
        </w:rPr>
      </w:pPr>
      <w:bookmarkStart w:id="8" w:name="_Toc15098"/>
      <w:r>
        <w:rPr>
          <w:rFonts w:hint="eastAsia"/>
          <w:kern w:val="2"/>
          <w:sz w:val="21"/>
        </w:rPr>
        <w:t>1.5.2</w:t>
      </w:r>
      <w:r>
        <w:rPr>
          <w:kern w:val="2"/>
          <w:sz w:val="21"/>
        </w:rPr>
        <w:t>经济价值</w:t>
      </w:r>
      <w:bookmarkEnd w:id="8"/>
    </w:p>
    <w:p w14:paraId="53326555" w14:textId="77777777" w:rsidR="00E93FEF" w:rsidRDefault="00000000">
      <w:pPr>
        <w:pStyle w:val="a3"/>
        <w:widowControl/>
        <w:shd w:val="clear" w:color="auto" w:fill="FFFFFF"/>
        <w:spacing w:beforeAutospacing="0" w:afterAutospacing="0"/>
        <w:ind w:firstLine="420"/>
        <w:rPr>
          <w:kern w:val="2"/>
          <w:sz w:val="21"/>
        </w:rPr>
      </w:pPr>
      <w:r>
        <w:rPr>
          <w:kern w:val="2"/>
          <w:sz w:val="21"/>
        </w:rPr>
        <w:lastRenderedPageBreak/>
        <w:t>降本：人工拣药差错率从</w:t>
      </w:r>
      <w:r>
        <w:rPr>
          <w:kern w:val="2"/>
          <w:sz w:val="21"/>
        </w:rPr>
        <w:t>3%</w:t>
      </w:r>
      <w:r>
        <w:rPr>
          <w:kern w:val="2"/>
          <w:sz w:val="21"/>
        </w:rPr>
        <w:t>降至</w:t>
      </w:r>
      <w:r>
        <w:rPr>
          <w:kern w:val="2"/>
          <w:sz w:val="21"/>
        </w:rPr>
        <w:t>0.1%</w:t>
      </w:r>
      <w:r>
        <w:rPr>
          <w:kern w:val="2"/>
          <w:sz w:val="21"/>
        </w:rPr>
        <w:t>以下，减少客诉赔偿；效期管理自动化，降低药品报损；库存实时更新，减少缺货损失与资金占用。</w:t>
      </w:r>
    </w:p>
    <w:p w14:paraId="4F66508F" w14:textId="77777777" w:rsidR="00E93FEF" w:rsidRDefault="00000000">
      <w:pPr>
        <w:pStyle w:val="a3"/>
        <w:widowControl/>
        <w:shd w:val="clear" w:color="auto" w:fill="FFFFFF"/>
        <w:spacing w:beforeAutospacing="0" w:afterAutospacing="0"/>
        <w:ind w:firstLine="420"/>
        <w:rPr>
          <w:kern w:val="2"/>
          <w:sz w:val="21"/>
        </w:rPr>
      </w:pPr>
      <w:r>
        <w:rPr>
          <w:kern w:val="2"/>
          <w:sz w:val="21"/>
        </w:rPr>
        <w:t>增效：拣药效率提升</w:t>
      </w:r>
      <w:r>
        <w:rPr>
          <w:kern w:val="2"/>
          <w:sz w:val="21"/>
        </w:rPr>
        <w:t>3-5</w:t>
      </w:r>
      <w:r>
        <w:rPr>
          <w:kern w:val="2"/>
          <w:sz w:val="21"/>
        </w:rPr>
        <w:t>倍，</w:t>
      </w:r>
      <w:r>
        <w:rPr>
          <w:kern w:val="2"/>
          <w:sz w:val="21"/>
        </w:rPr>
        <w:t>O2O</w:t>
      </w:r>
      <w:r>
        <w:rPr>
          <w:kern w:val="2"/>
          <w:sz w:val="21"/>
        </w:rPr>
        <w:t>订单响应速度满足即时配送时效；释放药师人力，转向高附加值的用药指导与健康管理服务。</w:t>
      </w:r>
    </w:p>
    <w:p w14:paraId="232D6042" w14:textId="77777777" w:rsidR="00E93FEF" w:rsidRDefault="00000000">
      <w:pPr>
        <w:pStyle w:val="a3"/>
        <w:widowControl/>
        <w:shd w:val="clear" w:color="auto" w:fill="FFFFFF"/>
        <w:spacing w:beforeAutospacing="0" w:afterAutospacing="0"/>
        <w:ind w:firstLine="420"/>
        <w:rPr>
          <w:kern w:val="2"/>
          <w:sz w:val="21"/>
        </w:rPr>
      </w:pPr>
      <w:r>
        <w:rPr>
          <w:kern w:val="2"/>
          <w:sz w:val="21"/>
        </w:rPr>
        <w:t>增收：延长夜间服务时间，拓展营业场景；</w:t>
      </w:r>
      <w:r>
        <w:rPr>
          <w:kern w:val="2"/>
          <w:sz w:val="21"/>
        </w:rPr>
        <w:t>AI</w:t>
      </w:r>
      <w:r>
        <w:rPr>
          <w:kern w:val="2"/>
          <w:sz w:val="21"/>
        </w:rPr>
        <w:t>咨询增强客户黏性，带动关联销售与复购。</w:t>
      </w:r>
    </w:p>
    <w:p w14:paraId="1ED28371" w14:textId="77777777" w:rsidR="00E93FEF" w:rsidRDefault="00000000">
      <w:pPr>
        <w:pStyle w:val="a3"/>
        <w:widowControl/>
        <w:shd w:val="clear" w:color="auto" w:fill="FFFFFF"/>
        <w:spacing w:before="120" w:beforeAutospacing="0" w:after="120" w:afterAutospacing="0"/>
        <w:ind w:firstLine="420"/>
        <w:outlineLvl w:val="2"/>
        <w:rPr>
          <w:kern w:val="2"/>
          <w:sz w:val="21"/>
        </w:rPr>
      </w:pPr>
      <w:bookmarkStart w:id="9" w:name="_Toc7267"/>
      <w:r>
        <w:rPr>
          <w:rFonts w:hint="eastAsia"/>
          <w:kern w:val="2"/>
          <w:sz w:val="21"/>
        </w:rPr>
        <w:t>1.5.3</w:t>
      </w:r>
      <w:r>
        <w:rPr>
          <w:kern w:val="2"/>
          <w:sz w:val="21"/>
        </w:rPr>
        <w:t>技术价值</w:t>
      </w:r>
      <w:bookmarkEnd w:id="9"/>
    </w:p>
    <w:p w14:paraId="0D095A20" w14:textId="77777777" w:rsidR="00E93FEF" w:rsidRDefault="00000000">
      <w:pPr>
        <w:pStyle w:val="a3"/>
        <w:widowControl/>
        <w:shd w:val="clear" w:color="auto" w:fill="FFFFFF"/>
        <w:spacing w:beforeAutospacing="0" w:afterAutospacing="0"/>
        <w:ind w:firstLine="420"/>
        <w:rPr>
          <w:kern w:val="2"/>
          <w:sz w:val="21"/>
        </w:rPr>
      </w:pPr>
      <w:r>
        <w:rPr>
          <w:kern w:val="2"/>
          <w:sz w:val="21"/>
        </w:rPr>
        <w:t>多模态视觉融合验证：条码</w:t>
      </w:r>
      <w:r>
        <w:rPr>
          <w:kern w:val="2"/>
          <w:sz w:val="21"/>
        </w:rPr>
        <w:t>+OCR+</w:t>
      </w:r>
      <w:r>
        <w:rPr>
          <w:kern w:val="2"/>
          <w:sz w:val="21"/>
        </w:rPr>
        <w:t>视觉定位三重确认，解决单一识别技术在污损、遮挡场景下的失效问题，拣药准确率超</w:t>
      </w:r>
      <w:r>
        <w:rPr>
          <w:kern w:val="2"/>
          <w:sz w:val="21"/>
        </w:rPr>
        <w:t>99.5%</w:t>
      </w:r>
      <w:r>
        <w:rPr>
          <w:kern w:val="2"/>
          <w:sz w:val="21"/>
        </w:rPr>
        <w:t>。</w:t>
      </w:r>
    </w:p>
    <w:p w14:paraId="3AD32975" w14:textId="77777777" w:rsidR="00E93FEF" w:rsidRDefault="00000000">
      <w:pPr>
        <w:pStyle w:val="a3"/>
        <w:widowControl/>
        <w:shd w:val="clear" w:color="auto" w:fill="FFFFFF"/>
        <w:spacing w:beforeAutospacing="0" w:afterAutospacing="0"/>
        <w:ind w:firstLine="420"/>
        <w:rPr>
          <w:kern w:val="2"/>
          <w:sz w:val="21"/>
        </w:rPr>
      </w:pPr>
      <w:r>
        <w:rPr>
          <w:kern w:val="2"/>
          <w:sz w:val="21"/>
        </w:rPr>
        <w:t>大模型安全边界设计：规则兜底</w:t>
      </w:r>
      <w:r>
        <w:rPr>
          <w:kern w:val="2"/>
          <w:sz w:val="21"/>
        </w:rPr>
        <w:t>+OTC</w:t>
      </w:r>
      <w:r>
        <w:rPr>
          <w:kern w:val="2"/>
          <w:sz w:val="21"/>
        </w:rPr>
        <w:t>限定</w:t>
      </w:r>
      <w:r>
        <w:rPr>
          <w:kern w:val="2"/>
          <w:sz w:val="21"/>
        </w:rPr>
        <w:t>+</w:t>
      </w:r>
      <w:r>
        <w:rPr>
          <w:kern w:val="2"/>
          <w:sz w:val="21"/>
        </w:rPr>
        <w:t>高危预警，探索</w:t>
      </w:r>
      <w:r>
        <w:rPr>
          <w:kern w:val="2"/>
          <w:sz w:val="21"/>
        </w:rPr>
        <w:t>AI</w:t>
      </w:r>
      <w:r>
        <w:rPr>
          <w:kern w:val="2"/>
          <w:sz w:val="21"/>
        </w:rPr>
        <w:t>在医疗敏感场景的合规落地路径，为行业提供可复用的技术范式。</w:t>
      </w:r>
    </w:p>
    <w:p w14:paraId="253E1B71" w14:textId="23A9AF98" w:rsidR="00E93FEF" w:rsidRDefault="00000000" w:rsidP="003D20DE">
      <w:pPr>
        <w:pStyle w:val="a3"/>
        <w:widowControl/>
        <w:shd w:val="clear" w:color="auto" w:fill="FFFFFF"/>
        <w:spacing w:beforeAutospacing="0" w:afterAutospacing="0"/>
        <w:ind w:firstLine="420"/>
        <w:rPr>
          <w:kern w:val="2"/>
          <w:sz w:val="21"/>
        </w:rPr>
      </w:pPr>
      <w:r>
        <w:rPr>
          <w:kern w:val="2"/>
          <w:sz w:val="21"/>
        </w:rPr>
        <w:t>软硬一体可复制架构：云端大脑</w:t>
      </w:r>
      <w:r>
        <w:rPr>
          <w:kern w:val="2"/>
          <w:sz w:val="21"/>
        </w:rPr>
        <w:t>+</w:t>
      </w:r>
      <w:r>
        <w:rPr>
          <w:kern w:val="2"/>
          <w:sz w:val="21"/>
        </w:rPr>
        <w:t>边缘执行标准化架构，可快速适配不同规模药房，为智慧医疗场景化落地提供参考样本。</w:t>
      </w:r>
    </w:p>
    <w:p w14:paraId="5AAF8C6D" w14:textId="77777777" w:rsidR="00E93FEF" w:rsidRDefault="00000000">
      <w:pPr>
        <w:adjustRightInd w:val="0"/>
        <w:snapToGrid w:val="0"/>
        <w:spacing w:beforeLines="100" w:before="312" w:afterLines="50" w:after="156" w:line="380" w:lineRule="exact"/>
        <w:outlineLvl w:val="0"/>
        <w:rPr>
          <w:rFonts w:ascii="Times New Roman" w:eastAsia="仿宋_GB2312" w:hAnsi="Times New Roman" w:cs="Times New Roman"/>
          <w:sz w:val="30"/>
          <w:szCs w:val="30"/>
        </w:rPr>
      </w:pPr>
      <w:bookmarkStart w:id="10" w:name="_Toc7946"/>
      <w:bookmarkEnd w:id="2"/>
      <w:r>
        <w:rPr>
          <w:rFonts w:ascii="Times New Roman" w:eastAsia="仿宋_GB2312" w:hAnsi="Times New Roman" w:cs="Times New Roman" w:hint="eastAsia"/>
          <w:sz w:val="30"/>
          <w:szCs w:val="30"/>
        </w:rPr>
        <w:t>二、项目设计</w:t>
      </w:r>
      <w:bookmarkEnd w:id="10"/>
    </w:p>
    <w:p w14:paraId="1BAB0B4A"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11" w:name="_Toc6177"/>
      <w:r>
        <w:rPr>
          <w:rFonts w:ascii="Times New Roman" w:eastAsia="楷体_GB2312" w:hAnsi="Times New Roman" w:cs="Times New Roman" w:hint="eastAsia"/>
          <w:sz w:val="28"/>
          <w:szCs w:val="28"/>
        </w:rPr>
        <w:t xml:space="preserve">2.1 </w:t>
      </w:r>
      <w:r>
        <w:rPr>
          <w:rFonts w:ascii="Times New Roman" w:eastAsia="楷体_GB2312" w:hAnsi="Times New Roman" w:cs="Times New Roman" w:hint="eastAsia"/>
          <w:sz w:val="28"/>
          <w:szCs w:val="28"/>
        </w:rPr>
        <w:t>产品整体架构</w:t>
      </w:r>
      <w:bookmarkEnd w:id="11"/>
    </w:p>
    <w:p w14:paraId="17E4C84B" w14:textId="77777777" w:rsidR="00EA7C0D" w:rsidRDefault="00EA7C0D" w:rsidP="00EA7C0D">
      <w:pPr>
        <w:ind w:firstLine="420"/>
      </w:pPr>
      <w:r w:rsidRPr="00EA7C0D">
        <w:t>本项目采用</w:t>
      </w:r>
      <w:r w:rsidRPr="00EA7C0D">
        <w:t>“</w:t>
      </w:r>
      <w:r w:rsidRPr="00EA7C0D">
        <w:t>硬件终端</w:t>
      </w:r>
      <w:r w:rsidRPr="00EA7C0D">
        <w:t xml:space="preserve"> + </w:t>
      </w:r>
      <w:r w:rsidRPr="00EA7C0D">
        <w:t>软件平台</w:t>
      </w:r>
      <w:r w:rsidRPr="00EA7C0D">
        <w:t xml:space="preserve"> + </w:t>
      </w:r>
      <w:r w:rsidRPr="00EA7C0D">
        <w:t>技术服务</w:t>
      </w:r>
      <w:r w:rsidRPr="00EA7C0D">
        <w:t>”</w:t>
      </w:r>
      <w:r w:rsidRPr="00EA7C0D">
        <w:t>三层一体化架构，以</w:t>
      </w:r>
      <w:r w:rsidRPr="00EA7C0D">
        <w:t>“</w:t>
      </w:r>
      <w:r w:rsidRPr="00EA7C0D">
        <w:t>感知</w:t>
      </w:r>
      <w:r w:rsidRPr="00EA7C0D">
        <w:t>—</w:t>
      </w:r>
      <w:r w:rsidRPr="00EA7C0D">
        <w:t>决策</w:t>
      </w:r>
      <w:r w:rsidRPr="00EA7C0D">
        <w:t>—</w:t>
      </w:r>
      <w:r w:rsidRPr="00EA7C0D">
        <w:t>控制</w:t>
      </w:r>
      <w:r w:rsidRPr="00EA7C0D">
        <w:t>—</w:t>
      </w:r>
      <w:r w:rsidRPr="00EA7C0D">
        <w:t>执行</w:t>
      </w:r>
      <w:r w:rsidRPr="00EA7C0D">
        <w:t>—</w:t>
      </w:r>
      <w:r w:rsidRPr="00EA7C0D">
        <w:t>反馈</w:t>
      </w:r>
      <w:r w:rsidRPr="00EA7C0D">
        <w:t>”</w:t>
      </w:r>
      <w:r w:rsidRPr="00EA7C0D">
        <w:t>全流程闭环为核心设计逻辑，深度适配基层药房轻量化、低成本、</w:t>
      </w:r>
      <w:proofErr w:type="gramStart"/>
      <w:r w:rsidRPr="00EA7C0D">
        <w:t>易部署</w:t>
      </w:r>
      <w:proofErr w:type="gramEnd"/>
      <w:r w:rsidRPr="00EA7C0D">
        <w:t>的核心需求。系统可全自动完成药品识别、抓取、分拣、分发与库存</w:t>
      </w:r>
      <w:proofErr w:type="gramStart"/>
      <w:r w:rsidRPr="00EA7C0D">
        <w:t>更新全</w:t>
      </w:r>
      <w:proofErr w:type="gramEnd"/>
      <w:r w:rsidRPr="00EA7C0D">
        <w:t>流程作业，实现</w:t>
      </w:r>
      <w:r w:rsidRPr="00EA7C0D">
        <w:t>“</w:t>
      </w:r>
      <w:r w:rsidRPr="00EA7C0D">
        <w:t>症状输入</w:t>
      </w:r>
      <w:r w:rsidRPr="00EA7C0D">
        <w:t>—</w:t>
      </w:r>
      <w:r w:rsidRPr="00EA7C0D">
        <w:t>药品出库</w:t>
      </w:r>
      <w:r w:rsidRPr="00EA7C0D">
        <w:t>”</w:t>
      </w:r>
      <w:r w:rsidRPr="00EA7C0D">
        <w:t>一步到位的完整交付。</w:t>
      </w:r>
    </w:p>
    <w:p w14:paraId="3F20D851" w14:textId="034B7879" w:rsidR="00BE0136" w:rsidRPr="00EA7C0D" w:rsidRDefault="00BE0136" w:rsidP="00BE0136">
      <w:pPr>
        <w:jc w:val="center"/>
      </w:pPr>
      <w:r w:rsidRPr="00BE0136">
        <w:rPr>
          <w:noProof/>
        </w:rPr>
        <w:lastRenderedPageBreak/>
        <w:drawing>
          <wp:inline distT="0" distB="0" distL="0" distR="0" wp14:anchorId="015969C4" wp14:editId="46738706">
            <wp:extent cx="5264407" cy="4915813"/>
            <wp:effectExtent l="0" t="0" r="0" b="0"/>
            <wp:docPr id="134645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3544" name=""/>
                    <pic:cNvPicPr/>
                  </pic:nvPicPr>
                  <pic:blipFill>
                    <a:blip r:embed="rId6"/>
                    <a:stretch>
                      <a:fillRect/>
                    </a:stretch>
                  </pic:blipFill>
                  <pic:spPr>
                    <a:xfrm>
                      <a:off x="0" y="0"/>
                      <a:ext cx="5268152" cy="4919310"/>
                    </a:xfrm>
                    <a:prstGeom prst="rect">
                      <a:avLst/>
                    </a:prstGeom>
                  </pic:spPr>
                </pic:pic>
              </a:graphicData>
            </a:graphic>
          </wp:inline>
        </w:drawing>
      </w:r>
    </w:p>
    <w:p w14:paraId="3EE4A6CF" w14:textId="77777777" w:rsidR="00EA7C0D" w:rsidRPr="00EA7C0D" w:rsidRDefault="00EA7C0D" w:rsidP="00EA7C0D">
      <w:pPr>
        <w:pStyle w:val="a3"/>
        <w:widowControl/>
        <w:shd w:val="clear" w:color="auto" w:fill="FFFFFF"/>
        <w:spacing w:before="120" w:beforeAutospacing="0" w:after="120" w:afterAutospacing="0"/>
        <w:ind w:firstLine="420"/>
        <w:outlineLvl w:val="2"/>
        <w:rPr>
          <w:kern w:val="2"/>
          <w:sz w:val="21"/>
        </w:rPr>
      </w:pPr>
      <w:r w:rsidRPr="00EA7C0D">
        <w:rPr>
          <w:kern w:val="2"/>
          <w:sz w:val="21"/>
        </w:rPr>
        <w:t xml:space="preserve">2.1.1 </w:t>
      </w:r>
      <w:r w:rsidRPr="00EA7C0D">
        <w:rPr>
          <w:kern w:val="2"/>
          <w:sz w:val="21"/>
        </w:rPr>
        <w:t>硬件系统</w:t>
      </w:r>
    </w:p>
    <w:p w14:paraId="64E02A90" w14:textId="77777777" w:rsidR="00EA7C0D" w:rsidRDefault="00EA7C0D" w:rsidP="00EA7C0D">
      <w:pPr>
        <w:ind w:firstLine="420"/>
      </w:pPr>
      <w:r w:rsidRPr="00EA7C0D">
        <w:t>硬件系统采用模块化集成设计，构建集多模态感知、边缘计算、精准执行于一体的</w:t>
      </w:r>
      <w:proofErr w:type="gramStart"/>
      <w:r w:rsidRPr="00EA7C0D">
        <w:t>桌面级</w:t>
      </w:r>
      <w:proofErr w:type="gramEnd"/>
      <w:r w:rsidRPr="00EA7C0D">
        <w:t>智能硬件平台。整机体积小巧、功耗可控，可直接部署于现有药房操作台面，无需大规模场地改造。</w:t>
      </w:r>
    </w:p>
    <w:p w14:paraId="3DF4C7E9" w14:textId="051F3388" w:rsidR="00EA7C0D" w:rsidRDefault="00EA7C0D" w:rsidP="00EA7C0D">
      <w:pPr>
        <w:ind w:firstLine="420"/>
      </w:pPr>
      <w:r>
        <w:rPr>
          <w:rFonts w:hint="eastAsia"/>
        </w:rPr>
        <w:t>核心硬件组成：</w:t>
      </w:r>
    </w:p>
    <w:tbl>
      <w:tblPr>
        <w:tblStyle w:val="1"/>
        <w:tblW w:w="0" w:type="auto"/>
        <w:tblLook w:val="04A0" w:firstRow="1" w:lastRow="0" w:firstColumn="1" w:lastColumn="0" w:noHBand="0" w:noVBand="1"/>
      </w:tblPr>
      <w:tblGrid>
        <w:gridCol w:w="1242"/>
        <w:gridCol w:w="3892"/>
        <w:gridCol w:w="3172"/>
      </w:tblGrid>
      <w:tr w:rsidR="00EA7C0D" w:rsidRPr="00EA7C0D" w14:paraId="5DFFFF0C" w14:textId="77777777" w:rsidTr="00EA7C0D">
        <w:trPr>
          <w:cnfStyle w:val="100000000000" w:firstRow="1" w:lastRow="0" w:firstColumn="0" w:lastColumn="0" w:oddVBand="0" w:evenVBand="0" w:oddHBand="0" w:evenHBand="0" w:firstRowFirstColumn="0" w:firstRowLastColumn="0" w:lastRowFirstColumn="0" w:lastRowLastColumn="0"/>
        </w:trPr>
        <w:tc>
          <w:tcPr>
            <w:tcW w:w="1242" w:type="dxa"/>
            <w:hideMark/>
          </w:tcPr>
          <w:p w14:paraId="1A15567E" w14:textId="77777777" w:rsidR="00EA7C0D" w:rsidRPr="00EA7C0D" w:rsidRDefault="00EA7C0D" w:rsidP="00BF0F1F">
            <w:pPr>
              <w:keepNext/>
              <w:widowControl/>
              <w:spacing w:line="375" w:lineRule="atLeast"/>
              <w:jc w:val="center"/>
              <w:rPr>
                <w:rFonts w:asciiTheme="minorHAnsi" w:eastAsia="黑体" w:hAnsiTheme="minorHAnsi" w:cstheme="minorHAnsi"/>
                <w:color w:val="0F1115"/>
                <w:kern w:val="0"/>
                <w:szCs w:val="21"/>
              </w:rPr>
            </w:pPr>
            <w:r w:rsidRPr="00EA7C0D">
              <w:rPr>
                <w:rFonts w:asciiTheme="minorHAnsi" w:eastAsia="黑体" w:hAnsiTheme="minorHAnsi" w:cstheme="minorHAnsi"/>
                <w:color w:val="0F1115"/>
                <w:kern w:val="0"/>
                <w:szCs w:val="21"/>
              </w:rPr>
              <w:lastRenderedPageBreak/>
              <w:t>硬件模块</w:t>
            </w:r>
          </w:p>
        </w:tc>
        <w:tc>
          <w:tcPr>
            <w:tcW w:w="3892" w:type="dxa"/>
            <w:hideMark/>
          </w:tcPr>
          <w:p w14:paraId="3FA3D978" w14:textId="77777777" w:rsidR="00EA7C0D" w:rsidRPr="00EA7C0D" w:rsidRDefault="00EA7C0D" w:rsidP="00BF0F1F">
            <w:pPr>
              <w:keepNext/>
              <w:widowControl/>
              <w:spacing w:line="375" w:lineRule="atLeast"/>
              <w:jc w:val="center"/>
              <w:rPr>
                <w:rFonts w:asciiTheme="minorHAnsi" w:eastAsia="黑体" w:hAnsiTheme="minorHAnsi" w:cstheme="minorHAnsi"/>
                <w:color w:val="0F1115"/>
                <w:kern w:val="0"/>
                <w:szCs w:val="21"/>
              </w:rPr>
            </w:pPr>
            <w:r w:rsidRPr="00EA7C0D">
              <w:rPr>
                <w:rFonts w:asciiTheme="minorHAnsi" w:eastAsia="黑体" w:hAnsiTheme="minorHAnsi" w:cstheme="minorHAnsi"/>
                <w:color w:val="0F1115"/>
                <w:kern w:val="0"/>
                <w:szCs w:val="21"/>
              </w:rPr>
              <w:t>核心配置</w:t>
            </w:r>
          </w:p>
        </w:tc>
        <w:tc>
          <w:tcPr>
            <w:tcW w:w="0" w:type="auto"/>
            <w:hideMark/>
          </w:tcPr>
          <w:p w14:paraId="0BDAA531" w14:textId="77777777" w:rsidR="00EA7C0D" w:rsidRPr="00EA7C0D" w:rsidRDefault="00EA7C0D" w:rsidP="00BF0F1F">
            <w:pPr>
              <w:keepNext/>
              <w:widowControl/>
              <w:spacing w:line="375" w:lineRule="atLeast"/>
              <w:jc w:val="center"/>
              <w:rPr>
                <w:rFonts w:asciiTheme="minorHAnsi" w:eastAsia="黑体" w:hAnsiTheme="minorHAnsi" w:cstheme="minorHAnsi"/>
                <w:color w:val="0F1115"/>
                <w:kern w:val="0"/>
                <w:szCs w:val="21"/>
              </w:rPr>
            </w:pPr>
            <w:r w:rsidRPr="00EA7C0D">
              <w:rPr>
                <w:rFonts w:asciiTheme="minorHAnsi" w:eastAsia="黑体" w:hAnsiTheme="minorHAnsi" w:cstheme="minorHAnsi"/>
                <w:color w:val="0F1115"/>
                <w:kern w:val="0"/>
                <w:szCs w:val="21"/>
              </w:rPr>
              <w:t>功能定位</w:t>
            </w:r>
          </w:p>
        </w:tc>
      </w:tr>
      <w:tr w:rsidR="00EA7C0D" w:rsidRPr="00EA7C0D" w14:paraId="2670F651" w14:textId="77777777" w:rsidTr="00EA7C0D">
        <w:tc>
          <w:tcPr>
            <w:tcW w:w="1242" w:type="dxa"/>
            <w:hideMark/>
          </w:tcPr>
          <w:p w14:paraId="40E85CAE" w14:textId="77777777" w:rsidR="00EA7C0D" w:rsidRPr="00EA7C0D" w:rsidRDefault="00EA7C0D" w:rsidP="00BF0F1F">
            <w:pPr>
              <w:keepNext/>
              <w:widowControl/>
              <w:spacing w:line="375" w:lineRule="atLeast"/>
              <w:jc w:val="center"/>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b/>
                <w:bCs/>
                <w:color w:val="0F1115"/>
                <w:kern w:val="0"/>
                <w:szCs w:val="21"/>
              </w:rPr>
              <w:t>核心计算单元</w:t>
            </w:r>
          </w:p>
        </w:tc>
        <w:tc>
          <w:tcPr>
            <w:tcW w:w="3892" w:type="dxa"/>
            <w:hideMark/>
          </w:tcPr>
          <w:p w14:paraId="2D385993"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color w:val="0F1115"/>
                <w:kern w:val="0"/>
                <w:szCs w:val="21"/>
              </w:rPr>
              <w:t xml:space="preserve">NVIDIA Jetson Orin NX </w:t>
            </w:r>
            <w:r w:rsidRPr="00EA7C0D">
              <w:rPr>
                <w:rFonts w:asciiTheme="minorHAnsi" w:eastAsiaTheme="minorEastAsia" w:hAnsiTheme="minorHAnsi" w:cstheme="minorHAnsi"/>
                <w:color w:val="0F1115"/>
                <w:kern w:val="0"/>
                <w:szCs w:val="21"/>
              </w:rPr>
              <w:t>嵌入式主板，搭载</w:t>
            </w:r>
            <w:r w:rsidRPr="00EA7C0D">
              <w:rPr>
                <w:rFonts w:asciiTheme="minorHAnsi" w:eastAsiaTheme="minorEastAsia" w:hAnsiTheme="minorHAnsi" w:cstheme="minorHAnsi"/>
                <w:color w:val="0F1115"/>
                <w:kern w:val="0"/>
                <w:szCs w:val="21"/>
              </w:rPr>
              <w:t xml:space="preserve"> Ubuntu 20.04 </w:t>
            </w:r>
            <w:r w:rsidRPr="00EA7C0D">
              <w:rPr>
                <w:rFonts w:asciiTheme="minorHAnsi" w:eastAsiaTheme="minorEastAsia" w:hAnsiTheme="minorHAnsi" w:cstheme="minorHAnsi"/>
                <w:color w:val="0F1115"/>
                <w:kern w:val="0"/>
                <w:szCs w:val="21"/>
              </w:rPr>
              <w:t>操作系统与</w:t>
            </w:r>
            <w:r w:rsidRPr="00EA7C0D">
              <w:rPr>
                <w:rFonts w:asciiTheme="minorHAnsi" w:eastAsiaTheme="minorEastAsia" w:hAnsiTheme="minorHAnsi" w:cstheme="minorHAnsi"/>
                <w:color w:val="0F1115"/>
                <w:kern w:val="0"/>
                <w:szCs w:val="21"/>
              </w:rPr>
              <w:t xml:space="preserve"> ROS Noetic </w:t>
            </w:r>
            <w:r w:rsidRPr="00EA7C0D">
              <w:rPr>
                <w:rFonts w:asciiTheme="minorHAnsi" w:eastAsiaTheme="minorEastAsia" w:hAnsiTheme="minorHAnsi" w:cstheme="minorHAnsi"/>
                <w:color w:val="0F1115"/>
                <w:kern w:val="0"/>
                <w:szCs w:val="21"/>
              </w:rPr>
              <w:t>机器人运行环境</w:t>
            </w:r>
          </w:p>
        </w:tc>
        <w:tc>
          <w:tcPr>
            <w:tcW w:w="0" w:type="auto"/>
            <w:hideMark/>
          </w:tcPr>
          <w:p w14:paraId="65D1387D"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proofErr w:type="gramStart"/>
            <w:r w:rsidRPr="00EA7C0D">
              <w:rPr>
                <w:rFonts w:asciiTheme="minorHAnsi" w:eastAsiaTheme="minorEastAsia" w:hAnsiTheme="minorHAnsi" w:cstheme="minorHAnsi"/>
                <w:color w:val="0F1115"/>
                <w:kern w:val="0"/>
                <w:szCs w:val="21"/>
              </w:rPr>
              <w:t>提供端侧</w:t>
            </w:r>
            <w:proofErr w:type="gramEnd"/>
            <w:r w:rsidRPr="00EA7C0D">
              <w:rPr>
                <w:rFonts w:asciiTheme="minorHAnsi" w:eastAsiaTheme="minorEastAsia" w:hAnsiTheme="minorHAnsi" w:cstheme="minorHAnsi"/>
                <w:color w:val="0F1115"/>
                <w:kern w:val="0"/>
                <w:szCs w:val="21"/>
              </w:rPr>
              <w:t>AI</w:t>
            </w:r>
            <w:r w:rsidRPr="00EA7C0D">
              <w:rPr>
                <w:rFonts w:asciiTheme="minorHAnsi" w:eastAsiaTheme="minorEastAsia" w:hAnsiTheme="minorHAnsi" w:cstheme="minorHAnsi"/>
                <w:color w:val="0F1115"/>
                <w:kern w:val="0"/>
                <w:szCs w:val="21"/>
              </w:rPr>
              <w:t>推理与全系统调度能力，保障本地化实时决策</w:t>
            </w:r>
          </w:p>
        </w:tc>
      </w:tr>
      <w:tr w:rsidR="00EA7C0D" w:rsidRPr="00EA7C0D" w14:paraId="5C008B98" w14:textId="77777777" w:rsidTr="00EA7C0D">
        <w:tc>
          <w:tcPr>
            <w:tcW w:w="1242" w:type="dxa"/>
            <w:hideMark/>
          </w:tcPr>
          <w:p w14:paraId="56A65246" w14:textId="77777777" w:rsidR="00EA7C0D" w:rsidRPr="00EA7C0D" w:rsidRDefault="00EA7C0D" w:rsidP="00BF0F1F">
            <w:pPr>
              <w:keepNext/>
              <w:widowControl/>
              <w:spacing w:line="375" w:lineRule="atLeast"/>
              <w:jc w:val="center"/>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b/>
                <w:bCs/>
                <w:color w:val="0F1115"/>
                <w:kern w:val="0"/>
                <w:szCs w:val="21"/>
              </w:rPr>
              <w:t>多模态感知硬件</w:t>
            </w:r>
          </w:p>
        </w:tc>
        <w:tc>
          <w:tcPr>
            <w:tcW w:w="3892" w:type="dxa"/>
            <w:hideMark/>
          </w:tcPr>
          <w:p w14:paraId="45AF20E5"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color w:val="0F1115"/>
                <w:kern w:val="0"/>
                <w:szCs w:val="21"/>
              </w:rPr>
              <w:t>单目</w:t>
            </w:r>
            <w:r w:rsidRPr="00EA7C0D">
              <w:rPr>
                <w:rFonts w:asciiTheme="minorHAnsi" w:eastAsiaTheme="minorEastAsia" w:hAnsiTheme="minorHAnsi" w:cstheme="minorHAnsi"/>
                <w:color w:val="0F1115"/>
                <w:kern w:val="0"/>
                <w:szCs w:val="21"/>
              </w:rPr>
              <w:t>RGB-D</w:t>
            </w:r>
            <w:r w:rsidRPr="00EA7C0D">
              <w:rPr>
                <w:rFonts w:asciiTheme="minorHAnsi" w:eastAsiaTheme="minorEastAsia" w:hAnsiTheme="minorHAnsi" w:cstheme="minorHAnsi"/>
                <w:color w:val="0F1115"/>
                <w:kern w:val="0"/>
                <w:szCs w:val="21"/>
              </w:rPr>
              <w:t>深度摄像头、环形麦克风阵列、一体化条码扫描模块</w:t>
            </w:r>
          </w:p>
        </w:tc>
        <w:tc>
          <w:tcPr>
            <w:tcW w:w="0" w:type="auto"/>
            <w:hideMark/>
          </w:tcPr>
          <w:p w14:paraId="6A8DC662"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color w:val="0F1115"/>
                <w:kern w:val="0"/>
                <w:szCs w:val="21"/>
              </w:rPr>
              <w:t>分别负责视觉采集与</w:t>
            </w:r>
            <w:r w:rsidRPr="00EA7C0D">
              <w:rPr>
                <w:rFonts w:asciiTheme="minorHAnsi" w:eastAsiaTheme="minorEastAsia" w:hAnsiTheme="minorHAnsi" w:cstheme="minorHAnsi"/>
                <w:color w:val="0F1115"/>
                <w:kern w:val="0"/>
                <w:szCs w:val="21"/>
              </w:rPr>
              <w:t>3D</w:t>
            </w:r>
            <w:r w:rsidRPr="00EA7C0D">
              <w:rPr>
                <w:rFonts w:asciiTheme="minorHAnsi" w:eastAsiaTheme="minorEastAsia" w:hAnsiTheme="minorHAnsi" w:cstheme="minorHAnsi"/>
                <w:color w:val="0F1115"/>
                <w:kern w:val="0"/>
                <w:szCs w:val="21"/>
              </w:rPr>
              <w:t>定位、远场语音交互、药品条码快速识别</w:t>
            </w:r>
          </w:p>
        </w:tc>
      </w:tr>
      <w:tr w:rsidR="00EA7C0D" w:rsidRPr="00EA7C0D" w14:paraId="22669737" w14:textId="77777777" w:rsidTr="00EA7C0D">
        <w:tc>
          <w:tcPr>
            <w:tcW w:w="1242" w:type="dxa"/>
            <w:hideMark/>
          </w:tcPr>
          <w:p w14:paraId="1BF838F0" w14:textId="77777777" w:rsidR="00EA7C0D" w:rsidRPr="00EA7C0D" w:rsidRDefault="00EA7C0D" w:rsidP="00BF0F1F">
            <w:pPr>
              <w:keepNext/>
              <w:widowControl/>
              <w:spacing w:line="375" w:lineRule="atLeast"/>
              <w:jc w:val="center"/>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b/>
                <w:bCs/>
                <w:color w:val="0F1115"/>
                <w:kern w:val="0"/>
                <w:szCs w:val="21"/>
              </w:rPr>
              <w:t>高精度执行机构</w:t>
            </w:r>
          </w:p>
        </w:tc>
        <w:tc>
          <w:tcPr>
            <w:tcW w:w="3892" w:type="dxa"/>
            <w:hideMark/>
          </w:tcPr>
          <w:p w14:paraId="1CAD0630"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proofErr w:type="spellStart"/>
            <w:r w:rsidRPr="00EA7C0D">
              <w:rPr>
                <w:rFonts w:asciiTheme="minorHAnsi" w:eastAsiaTheme="minorEastAsia" w:hAnsiTheme="minorHAnsi" w:cstheme="minorHAnsi"/>
                <w:color w:val="0F1115"/>
                <w:kern w:val="0"/>
                <w:szCs w:val="21"/>
              </w:rPr>
              <w:t>JetArm</w:t>
            </w:r>
            <w:proofErr w:type="spellEnd"/>
            <w:proofErr w:type="gramStart"/>
            <w:r w:rsidRPr="00EA7C0D">
              <w:rPr>
                <w:rFonts w:asciiTheme="minorHAnsi" w:eastAsiaTheme="minorEastAsia" w:hAnsiTheme="minorHAnsi" w:cstheme="minorHAnsi"/>
                <w:color w:val="0F1115"/>
                <w:kern w:val="0"/>
                <w:szCs w:val="21"/>
              </w:rPr>
              <w:t>六轴机械</w:t>
            </w:r>
            <w:proofErr w:type="gramEnd"/>
            <w:r w:rsidRPr="00EA7C0D">
              <w:rPr>
                <w:rFonts w:asciiTheme="minorHAnsi" w:eastAsiaTheme="minorEastAsia" w:hAnsiTheme="minorHAnsi" w:cstheme="minorHAnsi"/>
                <w:color w:val="0F1115"/>
                <w:kern w:val="0"/>
                <w:szCs w:val="21"/>
              </w:rPr>
              <w:t>臂，</w:t>
            </w:r>
            <w:proofErr w:type="gramStart"/>
            <w:r w:rsidRPr="00EA7C0D">
              <w:rPr>
                <w:rFonts w:asciiTheme="minorHAnsi" w:eastAsiaTheme="minorEastAsia" w:hAnsiTheme="minorHAnsi" w:cstheme="minorHAnsi"/>
                <w:color w:val="0F1115"/>
                <w:kern w:val="0"/>
                <w:szCs w:val="21"/>
              </w:rPr>
              <w:t>搭配高</w:t>
            </w:r>
            <w:proofErr w:type="gramEnd"/>
            <w:r w:rsidRPr="00EA7C0D">
              <w:rPr>
                <w:rFonts w:asciiTheme="minorHAnsi" w:eastAsiaTheme="minorEastAsia" w:hAnsiTheme="minorHAnsi" w:cstheme="minorHAnsi"/>
                <w:color w:val="0F1115"/>
                <w:kern w:val="0"/>
                <w:szCs w:val="21"/>
              </w:rPr>
              <w:t>精度总线舵机与</w:t>
            </w:r>
            <w:r w:rsidRPr="00EA7C0D">
              <w:rPr>
                <w:rFonts w:asciiTheme="minorHAnsi" w:eastAsiaTheme="minorEastAsia" w:hAnsiTheme="minorHAnsi" w:cstheme="minorHAnsi"/>
                <w:color w:val="0F1115"/>
                <w:kern w:val="0"/>
                <w:szCs w:val="21"/>
              </w:rPr>
              <w:t>STM32</w:t>
            </w:r>
            <w:r w:rsidRPr="00EA7C0D">
              <w:rPr>
                <w:rFonts w:asciiTheme="minorHAnsi" w:eastAsiaTheme="minorEastAsia" w:hAnsiTheme="minorHAnsi" w:cstheme="minorHAnsi"/>
                <w:color w:val="0F1115"/>
                <w:kern w:val="0"/>
                <w:szCs w:val="21"/>
              </w:rPr>
              <w:t>底层控制板</w:t>
            </w:r>
          </w:p>
        </w:tc>
        <w:tc>
          <w:tcPr>
            <w:tcW w:w="0" w:type="auto"/>
            <w:hideMark/>
          </w:tcPr>
          <w:p w14:paraId="34D31F5A"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color w:val="0F1115"/>
                <w:kern w:val="0"/>
                <w:szCs w:val="21"/>
              </w:rPr>
              <w:t>实现抓取、搬运、分拣、归位全流程动作，具备毫秒级响应与高重复定位精度</w:t>
            </w:r>
          </w:p>
        </w:tc>
      </w:tr>
      <w:tr w:rsidR="00EA7C0D" w:rsidRPr="00EA7C0D" w14:paraId="7E03B22E" w14:textId="77777777" w:rsidTr="00EA7C0D">
        <w:tc>
          <w:tcPr>
            <w:tcW w:w="1242" w:type="dxa"/>
            <w:hideMark/>
          </w:tcPr>
          <w:p w14:paraId="54C3D273" w14:textId="77777777" w:rsidR="00EA7C0D" w:rsidRPr="00EA7C0D" w:rsidRDefault="00EA7C0D" w:rsidP="00BF0F1F">
            <w:pPr>
              <w:keepNext/>
              <w:widowControl/>
              <w:spacing w:line="375" w:lineRule="atLeast"/>
              <w:jc w:val="center"/>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b/>
                <w:bCs/>
                <w:color w:val="0F1115"/>
                <w:kern w:val="0"/>
                <w:szCs w:val="21"/>
              </w:rPr>
              <w:t>交互终端</w:t>
            </w:r>
          </w:p>
        </w:tc>
        <w:tc>
          <w:tcPr>
            <w:tcW w:w="3892" w:type="dxa"/>
            <w:hideMark/>
          </w:tcPr>
          <w:p w14:paraId="776D6BD4"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proofErr w:type="gramStart"/>
            <w:r w:rsidRPr="00EA7C0D">
              <w:rPr>
                <w:rFonts w:asciiTheme="minorHAnsi" w:eastAsiaTheme="minorEastAsia" w:hAnsiTheme="minorHAnsi" w:cstheme="minorHAnsi"/>
                <w:color w:val="0F1115"/>
                <w:kern w:val="0"/>
                <w:szCs w:val="21"/>
              </w:rPr>
              <w:t>手机扫码入口</w:t>
            </w:r>
            <w:proofErr w:type="gramEnd"/>
            <w:r w:rsidRPr="00EA7C0D">
              <w:rPr>
                <w:rFonts w:asciiTheme="minorHAnsi" w:eastAsiaTheme="minorEastAsia" w:hAnsiTheme="minorHAnsi" w:cstheme="minorHAnsi"/>
                <w:color w:val="0F1115"/>
                <w:kern w:val="0"/>
                <w:szCs w:val="21"/>
              </w:rPr>
              <w:t>、语音输入模块</w:t>
            </w:r>
          </w:p>
        </w:tc>
        <w:tc>
          <w:tcPr>
            <w:tcW w:w="0" w:type="auto"/>
            <w:hideMark/>
          </w:tcPr>
          <w:p w14:paraId="3BCE8CFE" w14:textId="77777777" w:rsidR="00EA7C0D" w:rsidRPr="00EA7C0D" w:rsidRDefault="00EA7C0D" w:rsidP="00BF0F1F">
            <w:pPr>
              <w:keepNext/>
              <w:widowControl/>
              <w:spacing w:line="375" w:lineRule="atLeast"/>
              <w:jc w:val="left"/>
              <w:rPr>
                <w:rFonts w:asciiTheme="minorHAnsi" w:eastAsiaTheme="minorEastAsia" w:hAnsiTheme="minorHAnsi" w:cstheme="minorHAnsi"/>
                <w:color w:val="0F1115"/>
                <w:kern w:val="0"/>
                <w:szCs w:val="21"/>
              </w:rPr>
            </w:pPr>
            <w:r w:rsidRPr="00EA7C0D">
              <w:rPr>
                <w:rFonts w:asciiTheme="minorHAnsi" w:eastAsiaTheme="minorEastAsia" w:hAnsiTheme="minorHAnsi" w:cstheme="minorHAnsi"/>
                <w:color w:val="0F1115"/>
                <w:kern w:val="0"/>
                <w:szCs w:val="21"/>
              </w:rPr>
              <w:t>支持患者</w:t>
            </w:r>
            <w:r w:rsidRPr="00EA7C0D">
              <w:rPr>
                <w:rFonts w:asciiTheme="minorHAnsi" w:eastAsiaTheme="minorEastAsia" w:hAnsiTheme="minorHAnsi" w:cstheme="minorHAnsi"/>
                <w:color w:val="0F1115"/>
                <w:kern w:val="0"/>
                <w:szCs w:val="21"/>
              </w:rPr>
              <w:t>/</w:t>
            </w:r>
            <w:r w:rsidRPr="00EA7C0D">
              <w:rPr>
                <w:rFonts w:asciiTheme="minorHAnsi" w:eastAsiaTheme="minorEastAsia" w:hAnsiTheme="minorHAnsi" w:cstheme="minorHAnsi"/>
                <w:color w:val="0F1115"/>
                <w:kern w:val="0"/>
                <w:szCs w:val="21"/>
              </w:rPr>
              <w:t>用户</w:t>
            </w:r>
            <w:proofErr w:type="gramStart"/>
            <w:r w:rsidRPr="00EA7C0D">
              <w:rPr>
                <w:rFonts w:asciiTheme="minorHAnsi" w:eastAsiaTheme="minorEastAsia" w:hAnsiTheme="minorHAnsi" w:cstheme="minorHAnsi"/>
                <w:color w:val="0F1115"/>
                <w:kern w:val="0"/>
                <w:szCs w:val="21"/>
              </w:rPr>
              <w:t>通过扫码或</w:t>
            </w:r>
            <w:proofErr w:type="gramEnd"/>
            <w:r w:rsidRPr="00EA7C0D">
              <w:rPr>
                <w:rFonts w:asciiTheme="minorHAnsi" w:eastAsiaTheme="minorEastAsia" w:hAnsiTheme="minorHAnsi" w:cstheme="minorHAnsi"/>
                <w:color w:val="0F1115"/>
                <w:kern w:val="0"/>
                <w:szCs w:val="21"/>
              </w:rPr>
              <w:t>语音两种方式发起取药请求</w:t>
            </w:r>
          </w:p>
        </w:tc>
      </w:tr>
    </w:tbl>
    <w:p w14:paraId="78EA928D" w14:textId="77777777" w:rsidR="00EA7C0D" w:rsidRPr="00EA7C0D" w:rsidRDefault="00EA7C0D" w:rsidP="00EA7C0D">
      <w:pPr>
        <w:ind w:firstLine="420"/>
      </w:pPr>
    </w:p>
    <w:p w14:paraId="5C4A4A71" w14:textId="77777777" w:rsidR="00EA7C0D" w:rsidRPr="00BE0136" w:rsidRDefault="00EA7C0D" w:rsidP="00BE0136">
      <w:pPr>
        <w:pStyle w:val="a3"/>
        <w:widowControl/>
        <w:shd w:val="clear" w:color="auto" w:fill="FFFFFF"/>
        <w:spacing w:before="120" w:beforeAutospacing="0" w:after="120" w:afterAutospacing="0"/>
        <w:ind w:firstLine="420"/>
        <w:outlineLvl w:val="2"/>
        <w:rPr>
          <w:kern w:val="2"/>
          <w:sz w:val="21"/>
        </w:rPr>
      </w:pPr>
      <w:r w:rsidRPr="00BE0136">
        <w:rPr>
          <w:kern w:val="2"/>
          <w:sz w:val="21"/>
        </w:rPr>
        <w:t xml:space="preserve">2.1.2 </w:t>
      </w:r>
      <w:r w:rsidRPr="00BE0136">
        <w:rPr>
          <w:kern w:val="2"/>
          <w:sz w:val="21"/>
        </w:rPr>
        <w:t>软件系统</w:t>
      </w:r>
    </w:p>
    <w:p w14:paraId="2916B947" w14:textId="77777777" w:rsidR="00EA7C0D" w:rsidRPr="00EA7C0D" w:rsidRDefault="00EA7C0D" w:rsidP="00EA7C0D">
      <w:pPr>
        <w:ind w:firstLine="420"/>
      </w:pPr>
      <w:r w:rsidRPr="00EA7C0D">
        <w:t>软件系统基于</w:t>
      </w:r>
      <w:r w:rsidRPr="00EA7C0D">
        <w:t>ROS Noetic</w:t>
      </w:r>
      <w:r w:rsidRPr="00EA7C0D">
        <w:t>分布式架构搭建，深度融合机器视觉、大语言模型与机器人运动控制技术。各模块通过</w:t>
      </w:r>
      <w:r w:rsidRPr="00EA7C0D">
        <w:t>ROS</w:t>
      </w:r>
      <w:r w:rsidRPr="00EA7C0D">
        <w:t>消息总线实现低延迟通信，形成从</w:t>
      </w:r>
      <w:r w:rsidRPr="00EA7C0D">
        <w:t>“</w:t>
      </w:r>
      <w:r w:rsidRPr="00EA7C0D">
        <w:t>用户意图理解</w:t>
      </w:r>
      <w:r w:rsidRPr="00EA7C0D">
        <w:t>”</w:t>
      </w:r>
      <w:r w:rsidRPr="00EA7C0D">
        <w:t>到</w:t>
      </w:r>
      <w:r w:rsidRPr="00EA7C0D">
        <w:t>“</w:t>
      </w:r>
      <w:r w:rsidRPr="00EA7C0D">
        <w:t>药品物理交付</w:t>
      </w:r>
      <w:r w:rsidRPr="00EA7C0D">
        <w:t>”</w:t>
      </w:r>
      <w:r w:rsidRPr="00EA7C0D">
        <w:t>的完整自动化闭环。</w:t>
      </w:r>
    </w:p>
    <w:p w14:paraId="67CEA5AB" w14:textId="77777777" w:rsidR="00EA7C0D" w:rsidRPr="00EA7C0D" w:rsidRDefault="00EA7C0D" w:rsidP="00EA7C0D">
      <w:pPr>
        <w:ind w:firstLine="420"/>
      </w:pPr>
      <w:r w:rsidRPr="00EA7C0D">
        <w:t>核心软件模块：</w:t>
      </w:r>
    </w:p>
    <w:p w14:paraId="7DB678E5" w14:textId="77777777" w:rsidR="00EA7C0D" w:rsidRPr="00EA7C0D" w:rsidRDefault="00EA7C0D" w:rsidP="00EA7C0D">
      <w:pPr>
        <w:ind w:firstLine="420"/>
      </w:pPr>
      <w:r w:rsidRPr="00EA7C0D">
        <w:t xml:space="preserve">1. </w:t>
      </w:r>
      <w:r w:rsidRPr="00EA7C0D">
        <w:t>多模态交互模块</w:t>
      </w:r>
    </w:p>
    <w:p w14:paraId="5C48D8FC" w14:textId="77777777" w:rsidR="00EA7C0D" w:rsidRPr="00EA7C0D" w:rsidRDefault="00EA7C0D" w:rsidP="00EA7C0D">
      <w:pPr>
        <w:ind w:firstLine="420"/>
      </w:pPr>
      <w:r w:rsidRPr="00EA7C0D">
        <w:t>语音交互：</w:t>
      </w:r>
      <w:proofErr w:type="gramStart"/>
      <w:r w:rsidRPr="00EA7C0D">
        <w:t>集成讯飞离线</w:t>
      </w:r>
      <w:proofErr w:type="gramEnd"/>
      <w:r w:rsidRPr="00EA7C0D">
        <w:t>语音识别引擎，支持唤醒词触发、关键词识别与</w:t>
      </w:r>
      <w:r w:rsidRPr="00EA7C0D">
        <w:t>TTS</w:t>
      </w:r>
      <w:r w:rsidRPr="00EA7C0D">
        <w:t>语音合成，实现无接触语音取药，降低老年用户操作门槛。</w:t>
      </w:r>
    </w:p>
    <w:p w14:paraId="71B915AF" w14:textId="77777777" w:rsidR="00EA7C0D" w:rsidRPr="00EA7C0D" w:rsidRDefault="00EA7C0D" w:rsidP="00EA7C0D">
      <w:pPr>
        <w:ind w:firstLine="420"/>
      </w:pPr>
      <w:r w:rsidRPr="00EA7C0D">
        <w:t>条码交互：基于</w:t>
      </w:r>
      <w:proofErr w:type="spellStart"/>
      <w:r w:rsidRPr="00EA7C0D">
        <w:t>pyzbar</w:t>
      </w:r>
      <w:proofErr w:type="spellEnd"/>
      <w:r w:rsidRPr="00EA7C0D">
        <w:t>条码解析库，快速提取药品条码信息并完成</w:t>
      </w:r>
      <w:r w:rsidRPr="00EA7C0D">
        <w:t>ID</w:t>
      </w:r>
      <w:r w:rsidRPr="00EA7C0D">
        <w:t>查询与校验，支持</w:t>
      </w:r>
      <w:proofErr w:type="gramStart"/>
      <w:r w:rsidRPr="00EA7C0D">
        <w:t>手机扫码下单</w:t>
      </w:r>
      <w:proofErr w:type="gramEnd"/>
      <w:r w:rsidRPr="00EA7C0D">
        <w:t>与线下自助购药两种场景。</w:t>
      </w:r>
    </w:p>
    <w:p w14:paraId="6481C81E" w14:textId="37330019" w:rsidR="00EA7C0D" w:rsidRPr="00EA7C0D" w:rsidRDefault="00EA7C0D" w:rsidP="00EA7C0D">
      <w:pPr>
        <w:ind w:firstLine="420"/>
      </w:pPr>
      <w:r w:rsidRPr="00EA7C0D">
        <w:t>2. AI</w:t>
      </w:r>
      <w:r w:rsidRPr="00EA7C0D">
        <w:t>大模型智能决策模块</w:t>
      </w:r>
    </w:p>
    <w:p w14:paraId="61E71651" w14:textId="77777777" w:rsidR="00EA7C0D" w:rsidRPr="00EA7C0D" w:rsidRDefault="00EA7C0D" w:rsidP="00EA7C0D">
      <w:pPr>
        <w:ind w:firstLine="420"/>
      </w:pPr>
      <w:r w:rsidRPr="00EA7C0D">
        <w:t>技术</w:t>
      </w:r>
      <w:proofErr w:type="gramStart"/>
      <w:r w:rsidRPr="00EA7C0D">
        <w:t>栈</w:t>
      </w:r>
      <w:proofErr w:type="gramEnd"/>
      <w:r w:rsidRPr="00EA7C0D">
        <w:t>：集成</w:t>
      </w:r>
      <w:r w:rsidRPr="00EA7C0D">
        <w:t>OpenAI SDK</w:t>
      </w:r>
      <w:r w:rsidRPr="00EA7C0D">
        <w:t>客户端、</w:t>
      </w:r>
      <w:r w:rsidRPr="00EA7C0D">
        <w:t>DeepSeek/Qwen</w:t>
      </w:r>
      <w:r w:rsidRPr="00EA7C0D">
        <w:t>云端推理引擎与</w:t>
      </w:r>
      <w:proofErr w:type="spellStart"/>
      <w:r w:rsidRPr="00EA7C0D">
        <w:t>TensorRT</w:t>
      </w:r>
      <w:proofErr w:type="spellEnd"/>
      <w:r w:rsidRPr="00EA7C0D">
        <w:t>本地推理加速。</w:t>
      </w:r>
    </w:p>
    <w:p w14:paraId="794FFF15" w14:textId="582A174A" w:rsidR="00EA7C0D" w:rsidRPr="00EA7C0D" w:rsidRDefault="00EA7C0D" w:rsidP="00EA7C0D">
      <w:pPr>
        <w:ind w:firstLine="420"/>
      </w:pPr>
      <w:r w:rsidRPr="00EA7C0D">
        <w:t>核心能力：通过</w:t>
      </w:r>
      <w:r w:rsidRPr="00EA7C0D">
        <w:t>RAG</w:t>
      </w:r>
      <w:r w:rsidRPr="00EA7C0D">
        <w:t>检索增强生成技术对接药物知识库（涵盖药品名称</w:t>
      </w:r>
      <w:r w:rsidRPr="00EA7C0D">
        <w:t>/</w:t>
      </w:r>
      <w:r w:rsidRPr="00EA7C0D">
        <w:t>通用名、适应症</w:t>
      </w:r>
      <w:r w:rsidRPr="00EA7C0D">
        <w:t>/</w:t>
      </w:r>
      <w:r w:rsidRPr="00EA7C0D">
        <w:t>禁忌、用法用量</w:t>
      </w:r>
      <w:r w:rsidRPr="00EA7C0D">
        <w:t>/</w:t>
      </w:r>
      <w:r w:rsidRPr="00EA7C0D">
        <w:t>频次、药物交互规则）与库存数据库（含货架位置、库存数量、效期信息），实现症状解析</w:t>
      </w:r>
      <w:r w:rsidR="00BE0136">
        <w:rPr>
          <w:rFonts w:hint="eastAsia"/>
        </w:rPr>
        <w:t>-&gt;</w:t>
      </w:r>
      <w:r w:rsidRPr="00EA7C0D">
        <w:t>精准药物推荐</w:t>
      </w:r>
      <w:r w:rsidR="00BE0136">
        <w:rPr>
          <w:rFonts w:hint="eastAsia"/>
        </w:rPr>
        <w:t>-&gt;</w:t>
      </w:r>
      <w:r w:rsidRPr="00EA7C0D">
        <w:t>交互禁忌检测</w:t>
      </w:r>
      <w:r w:rsidR="00BE0136">
        <w:rPr>
          <w:rFonts w:hint="eastAsia"/>
        </w:rPr>
        <w:t>-&gt;</w:t>
      </w:r>
      <w:r w:rsidRPr="00EA7C0D">
        <w:t>剂量安全建议的</w:t>
      </w:r>
      <w:proofErr w:type="gramStart"/>
      <w:r w:rsidRPr="00EA7C0D">
        <w:t>完整决策链</w:t>
      </w:r>
      <w:proofErr w:type="gramEnd"/>
      <w:r w:rsidRPr="00EA7C0D">
        <w:t>，并自动生成药品</w:t>
      </w:r>
      <w:r w:rsidRPr="00EA7C0D">
        <w:t>ID</w:t>
      </w:r>
      <w:r w:rsidRPr="00EA7C0D">
        <w:t>与抓取位置指令下发至执行系统。</w:t>
      </w:r>
    </w:p>
    <w:p w14:paraId="0CF9CAC8" w14:textId="77777777" w:rsidR="00EA7C0D" w:rsidRPr="00EA7C0D" w:rsidRDefault="00EA7C0D" w:rsidP="00EA7C0D">
      <w:pPr>
        <w:ind w:firstLine="420"/>
      </w:pPr>
      <w:r w:rsidRPr="00EA7C0D">
        <w:t xml:space="preserve">3. </w:t>
      </w:r>
      <w:r w:rsidRPr="00EA7C0D">
        <w:t>机器视觉感知模块</w:t>
      </w:r>
    </w:p>
    <w:p w14:paraId="65E521C3" w14:textId="77777777" w:rsidR="00EA7C0D" w:rsidRPr="00EA7C0D" w:rsidRDefault="00EA7C0D" w:rsidP="00EA7C0D">
      <w:pPr>
        <w:ind w:firstLine="420"/>
      </w:pPr>
      <w:r w:rsidRPr="00EA7C0D">
        <w:t>图像预处理：基于</w:t>
      </w:r>
      <w:r w:rsidRPr="00EA7C0D">
        <w:t>OpenCV</w:t>
      </w:r>
      <w:r w:rsidRPr="00EA7C0D">
        <w:t>视觉管线，完成图像畸变校正、增强与</w:t>
      </w:r>
      <w:r w:rsidRPr="00EA7C0D">
        <w:t>ROI</w:t>
      </w:r>
      <w:r w:rsidRPr="00EA7C0D">
        <w:t>区域提取。</w:t>
      </w:r>
    </w:p>
    <w:p w14:paraId="224D1E24" w14:textId="77777777" w:rsidR="00EA7C0D" w:rsidRPr="00EA7C0D" w:rsidRDefault="00EA7C0D" w:rsidP="00EA7C0D">
      <w:pPr>
        <w:ind w:firstLine="420"/>
      </w:pPr>
      <w:r w:rsidRPr="00EA7C0D">
        <w:t>目标检测：采用</w:t>
      </w:r>
      <w:proofErr w:type="spellStart"/>
      <w:r w:rsidRPr="00EA7C0D">
        <w:t>TensorRT</w:t>
      </w:r>
      <w:proofErr w:type="spellEnd"/>
      <w:r w:rsidRPr="00EA7C0D">
        <w:t>加速的</w:t>
      </w:r>
      <w:r w:rsidRPr="00EA7C0D">
        <w:t>YOLOv8</w:t>
      </w:r>
      <w:r w:rsidRPr="00EA7C0D">
        <w:t>模型，实现药品快速定位与分类。</w:t>
      </w:r>
    </w:p>
    <w:p w14:paraId="038A1EED" w14:textId="77777777" w:rsidR="00EA7C0D" w:rsidRPr="00EA7C0D" w:rsidRDefault="00EA7C0D" w:rsidP="00EA7C0D">
      <w:pPr>
        <w:ind w:firstLine="420"/>
      </w:pPr>
      <w:r w:rsidRPr="00EA7C0D">
        <w:t>文字识别：集成</w:t>
      </w:r>
      <w:proofErr w:type="spellStart"/>
      <w:r w:rsidRPr="00EA7C0D">
        <w:t>PaddleOCR</w:t>
      </w:r>
      <w:proofErr w:type="spellEnd"/>
      <w:r w:rsidRPr="00EA7C0D">
        <w:t>引擎，提取药品名称、批号、有效期等关键信息。</w:t>
      </w:r>
    </w:p>
    <w:p w14:paraId="64D12763" w14:textId="77777777" w:rsidR="00EA7C0D" w:rsidRPr="00EA7C0D" w:rsidRDefault="00EA7C0D" w:rsidP="00EA7C0D">
      <w:pPr>
        <w:ind w:firstLine="420"/>
      </w:pPr>
      <w:r w:rsidRPr="00EA7C0D">
        <w:t>位姿计算：通过</w:t>
      </w:r>
      <w:r w:rsidRPr="00EA7C0D">
        <w:t>3D</w:t>
      </w:r>
      <w:r w:rsidRPr="00EA7C0D">
        <w:t>位姿估计算法，精准计算药品</w:t>
      </w:r>
      <w:r w:rsidRPr="00EA7C0D">
        <w:t>6D</w:t>
      </w:r>
      <w:r w:rsidRPr="00EA7C0D">
        <w:t>空间坐标，为机械臂抓取提供数据依据。</w:t>
      </w:r>
    </w:p>
    <w:p w14:paraId="46E0F122" w14:textId="77777777" w:rsidR="00EA7C0D" w:rsidRPr="00EA7C0D" w:rsidRDefault="00EA7C0D" w:rsidP="00EA7C0D">
      <w:pPr>
        <w:ind w:firstLine="420"/>
      </w:pPr>
      <w:r w:rsidRPr="00EA7C0D">
        <w:t>二次校验：通过</w:t>
      </w:r>
      <w:proofErr w:type="spellStart"/>
      <w:r w:rsidRPr="00EA7C0D">
        <w:t>pyzbar</w:t>
      </w:r>
      <w:proofErr w:type="spellEnd"/>
      <w:r w:rsidRPr="00EA7C0D">
        <w:t>条码核验，确保抓取药品与处方</w:t>
      </w:r>
      <w:r w:rsidRPr="00EA7C0D">
        <w:t>/</w:t>
      </w:r>
      <w:r w:rsidRPr="00EA7C0D">
        <w:t>订单信息完全一致。</w:t>
      </w:r>
    </w:p>
    <w:p w14:paraId="3E8F7BF8" w14:textId="77777777" w:rsidR="00EA7C0D" w:rsidRPr="00EA7C0D" w:rsidRDefault="00EA7C0D" w:rsidP="00EA7C0D">
      <w:pPr>
        <w:ind w:firstLine="420"/>
      </w:pPr>
      <w:r w:rsidRPr="00EA7C0D">
        <w:t xml:space="preserve">4. </w:t>
      </w:r>
      <w:r w:rsidRPr="00EA7C0D">
        <w:t>机器人运动控制模块</w:t>
      </w:r>
    </w:p>
    <w:p w14:paraId="2193B209" w14:textId="77777777" w:rsidR="00EA7C0D" w:rsidRPr="00EA7C0D" w:rsidRDefault="00EA7C0D" w:rsidP="00EA7C0D">
      <w:pPr>
        <w:ind w:firstLine="420"/>
      </w:pPr>
      <w:r w:rsidRPr="00EA7C0D">
        <w:t>ROS Noetic</w:t>
      </w:r>
      <w:r w:rsidRPr="00EA7C0D">
        <w:t>核心：提供消息总线、节点管理与进程调度能力，实现各模块间高效协同。</w:t>
      </w:r>
    </w:p>
    <w:p w14:paraId="3A21CE0C" w14:textId="77777777" w:rsidR="00EA7C0D" w:rsidRPr="00EA7C0D" w:rsidRDefault="00EA7C0D" w:rsidP="00EA7C0D">
      <w:pPr>
        <w:ind w:firstLine="420"/>
      </w:pPr>
      <w:r w:rsidRPr="00EA7C0D">
        <w:t>运动规划：基于</w:t>
      </w:r>
      <w:proofErr w:type="spellStart"/>
      <w:r w:rsidRPr="00EA7C0D">
        <w:t>MoveIt</w:t>
      </w:r>
      <w:proofErr w:type="spellEnd"/>
      <w:r w:rsidRPr="00EA7C0D">
        <w:t>运动规划引擎，完成机械臂逆运动学求解、最优轨迹规划、速度</w:t>
      </w:r>
      <w:r w:rsidRPr="00EA7C0D">
        <w:t>/</w:t>
      </w:r>
      <w:r w:rsidRPr="00EA7C0D">
        <w:t>加速度控制与动态避障。</w:t>
      </w:r>
    </w:p>
    <w:p w14:paraId="3DEA86D7" w14:textId="77777777" w:rsidR="00EA7C0D" w:rsidRPr="00EA7C0D" w:rsidRDefault="00EA7C0D" w:rsidP="00EA7C0D">
      <w:pPr>
        <w:ind w:firstLine="420"/>
      </w:pPr>
      <w:r w:rsidRPr="00EA7C0D">
        <w:lastRenderedPageBreak/>
        <w:t>底层控制：通过串口指令驱动</w:t>
      </w:r>
      <w:r w:rsidRPr="00EA7C0D">
        <w:t>STM32</w:t>
      </w:r>
      <w:r w:rsidRPr="00EA7C0D">
        <w:t>控制板，控制总线舵机实现机械臂关节的精准运动。</w:t>
      </w:r>
    </w:p>
    <w:p w14:paraId="6943AFD5" w14:textId="77777777" w:rsidR="00EA7C0D" w:rsidRPr="00EA7C0D" w:rsidRDefault="00EA7C0D" w:rsidP="00EA7C0D">
      <w:pPr>
        <w:ind w:firstLine="420"/>
      </w:pPr>
      <w:r w:rsidRPr="00EA7C0D">
        <w:t xml:space="preserve">5. </w:t>
      </w:r>
      <w:r w:rsidRPr="00EA7C0D">
        <w:t>后台管理系统</w:t>
      </w:r>
    </w:p>
    <w:p w14:paraId="64BD7464" w14:textId="77777777" w:rsidR="00EA7C0D" w:rsidRPr="00EA7C0D" w:rsidRDefault="00EA7C0D" w:rsidP="00EA7C0D">
      <w:pPr>
        <w:ind w:firstLine="420"/>
      </w:pPr>
      <w:r w:rsidRPr="00EA7C0D">
        <w:t>技术</w:t>
      </w:r>
      <w:proofErr w:type="gramStart"/>
      <w:r w:rsidRPr="00EA7C0D">
        <w:t>栈</w:t>
      </w:r>
      <w:proofErr w:type="gramEnd"/>
      <w:r w:rsidRPr="00EA7C0D">
        <w:t>：采用</w:t>
      </w:r>
      <w:r w:rsidRPr="00EA7C0D">
        <w:t>Flutter/Web</w:t>
      </w:r>
      <w:r w:rsidRPr="00EA7C0D">
        <w:t>跨平台开发框架。</w:t>
      </w:r>
    </w:p>
    <w:p w14:paraId="5326FD63" w14:textId="77777777" w:rsidR="00EA7C0D" w:rsidRPr="00EA7C0D" w:rsidRDefault="00EA7C0D" w:rsidP="00EA7C0D">
      <w:pPr>
        <w:ind w:firstLine="420"/>
      </w:pPr>
      <w:r w:rsidRPr="00EA7C0D">
        <w:t>核心功能：实时库存管理、药品短缺告警、系统运行状态监控、操作日志查询与数据统计分析。</w:t>
      </w:r>
    </w:p>
    <w:p w14:paraId="19D3AFBC" w14:textId="77777777" w:rsidR="00EA7C0D" w:rsidRPr="00EA7C0D" w:rsidRDefault="00EA7C0D" w:rsidP="00EA7C0D">
      <w:pPr>
        <w:ind w:firstLine="420"/>
      </w:pPr>
      <w:r w:rsidRPr="00EA7C0D">
        <w:t xml:space="preserve">2.1.3 </w:t>
      </w:r>
      <w:r w:rsidRPr="00EA7C0D">
        <w:t>技术服务</w:t>
      </w:r>
    </w:p>
    <w:p w14:paraId="690980EF" w14:textId="77777777" w:rsidR="00EA7C0D" w:rsidRPr="00EA7C0D" w:rsidRDefault="00EA7C0D" w:rsidP="00EA7C0D">
      <w:pPr>
        <w:ind w:firstLine="420"/>
      </w:pPr>
      <w:r w:rsidRPr="00EA7C0D">
        <w:t>提供覆盖项目全生命周期的一站式技术服务，保障设备快速落地、稳定运行与持续迭代升级：</w:t>
      </w:r>
    </w:p>
    <w:p w14:paraId="2CA42F29" w14:textId="77777777" w:rsidR="00EA7C0D" w:rsidRPr="00EA7C0D" w:rsidRDefault="00EA7C0D" w:rsidP="00EA7C0D">
      <w:pPr>
        <w:ind w:firstLine="420"/>
      </w:pPr>
      <w:r w:rsidRPr="00EA7C0D">
        <w:t>部署实施服务：现场环境勘测、硬件组装调试、软件系统部署与药房现有管理系统对接联调</w:t>
      </w:r>
    </w:p>
    <w:p w14:paraId="31B205AC" w14:textId="77777777" w:rsidR="00EA7C0D" w:rsidRPr="00EA7C0D" w:rsidRDefault="00EA7C0D" w:rsidP="00EA7C0D">
      <w:pPr>
        <w:ind w:firstLine="420"/>
      </w:pPr>
      <w:r w:rsidRPr="00EA7C0D">
        <w:t>操作培训服务：面向药房工作人员提供设备操作、日常维护、常见故障排查等系统化培训</w:t>
      </w:r>
    </w:p>
    <w:p w14:paraId="15905FCB" w14:textId="77777777" w:rsidR="00EA7C0D" w:rsidRPr="00EA7C0D" w:rsidRDefault="00EA7C0D" w:rsidP="00EA7C0D">
      <w:pPr>
        <w:ind w:firstLine="420"/>
      </w:pPr>
      <w:r w:rsidRPr="00EA7C0D">
        <w:t>售后运维服务：</w:t>
      </w:r>
      <w:r w:rsidRPr="00EA7C0D">
        <w:t>7×24</w:t>
      </w:r>
      <w:r w:rsidRPr="00EA7C0D">
        <w:t>小时远程技术支持、定期上门巡检、硬件故障快速更换与软件版本升级</w:t>
      </w:r>
    </w:p>
    <w:p w14:paraId="5EB7AD16" w14:textId="77777777" w:rsidR="00EA7C0D" w:rsidRPr="00EA7C0D" w:rsidRDefault="00EA7C0D" w:rsidP="00EA7C0D">
      <w:pPr>
        <w:ind w:firstLine="420"/>
      </w:pPr>
      <w:r w:rsidRPr="00EA7C0D">
        <w:t>定制</w:t>
      </w:r>
      <w:proofErr w:type="gramStart"/>
      <w:r w:rsidRPr="00EA7C0D">
        <w:t>化开发</w:t>
      </w:r>
      <w:proofErr w:type="gramEnd"/>
      <w:r w:rsidRPr="00EA7C0D">
        <w:t>服务：根据不同药房的药品布局、业务流程与个性化需求，提供功能定制、知识库更新与流程优化服务</w:t>
      </w:r>
    </w:p>
    <w:p w14:paraId="796053BE" w14:textId="529596D2" w:rsidR="00E93FEF" w:rsidRDefault="00EA7C0D" w:rsidP="00BE0136">
      <w:pPr>
        <w:ind w:firstLine="420"/>
      </w:pPr>
      <w:r w:rsidRPr="00EA7C0D">
        <w:t>数据增值服务：定期提供药品出入库统计、库存周转分析、热门药品排行等数据报表，辅助药房实现精细化运营管理</w:t>
      </w:r>
    </w:p>
    <w:p w14:paraId="7F79AA43"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12" w:name="_Toc13505"/>
      <w:r>
        <w:rPr>
          <w:rFonts w:ascii="Times New Roman" w:eastAsia="楷体_GB2312" w:hAnsi="Times New Roman" w:cs="Times New Roman" w:hint="eastAsia"/>
          <w:sz w:val="28"/>
          <w:szCs w:val="28"/>
        </w:rPr>
        <w:t xml:space="preserve">2.2 </w:t>
      </w:r>
      <w:r>
        <w:rPr>
          <w:rFonts w:ascii="Times New Roman" w:eastAsia="楷体_GB2312" w:hAnsi="Times New Roman" w:cs="Times New Roman" w:hint="eastAsia"/>
          <w:sz w:val="28"/>
          <w:szCs w:val="28"/>
        </w:rPr>
        <w:t>核心硬件系统</w:t>
      </w:r>
      <w:bookmarkEnd w:id="12"/>
    </w:p>
    <w:p w14:paraId="7985D17C"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硬件系统针对高稳定性与模块化拓展进行了深度选型与全链路协同优化，主要由以下四大核心硬件组件协同构成：</w:t>
      </w:r>
    </w:p>
    <w:p w14:paraId="1DC279B6"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1. </w:t>
      </w:r>
      <w:r>
        <w:rPr>
          <w:rFonts w:hint="eastAsia"/>
          <w:kern w:val="2"/>
          <w:sz w:val="21"/>
        </w:rPr>
        <w:t>主控单元：</w:t>
      </w:r>
      <w:r>
        <w:rPr>
          <w:rFonts w:hint="eastAsia"/>
          <w:kern w:val="2"/>
          <w:sz w:val="21"/>
        </w:rPr>
        <w:t xml:space="preserve">STM32 </w:t>
      </w:r>
      <w:r>
        <w:rPr>
          <w:rFonts w:hint="eastAsia"/>
          <w:kern w:val="2"/>
          <w:sz w:val="21"/>
        </w:rPr>
        <w:t>系列高性能嵌入式控制板作为系统的运动神经中枢，承载了底层的运动学正逆解算。该主控单元具备极高的工业级稳定性，支持多路传感器数据的实时高频通信。在保障多轴运动实现微秒级精准协同的同时，为整个边缘执行端提供坚实的低延时算力支撑。</w:t>
      </w:r>
    </w:p>
    <w:p w14:paraId="48C3F1BD"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2. </w:t>
      </w:r>
      <w:r>
        <w:rPr>
          <w:rFonts w:hint="eastAsia"/>
          <w:kern w:val="2"/>
          <w:sz w:val="21"/>
        </w:rPr>
        <w:t>执行机构：</w:t>
      </w:r>
      <w:r>
        <w:rPr>
          <w:rFonts w:hint="eastAsia"/>
          <w:kern w:val="2"/>
          <w:sz w:val="21"/>
        </w:rPr>
        <w:t xml:space="preserve">6 </w:t>
      </w:r>
      <w:r>
        <w:rPr>
          <w:rFonts w:hint="eastAsia"/>
          <w:kern w:val="2"/>
          <w:sz w:val="21"/>
        </w:rPr>
        <w:t>轴高精度数字舵机机械臂，采用</w:t>
      </w:r>
      <w:r>
        <w:rPr>
          <w:rFonts w:hint="eastAsia"/>
          <w:kern w:val="2"/>
          <w:sz w:val="21"/>
        </w:rPr>
        <w:t xml:space="preserve"> 6 </w:t>
      </w:r>
      <w:r>
        <w:rPr>
          <w:rFonts w:hint="eastAsia"/>
          <w:kern w:val="2"/>
          <w:sz w:val="21"/>
        </w:rPr>
        <w:t>自由度悬臂式设计，有效保证了物理空间内全方位运动的柔顺与平稳。其关节定位误差极小，具备卓越的重复定位精度，能够灵活完成狭窄药架空间内的旋转、侧向抓取、精准摆放以及立体码垛任务。</w:t>
      </w:r>
    </w:p>
    <w:p w14:paraId="201DC976"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3. </w:t>
      </w:r>
      <w:r>
        <w:rPr>
          <w:rFonts w:hint="eastAsia"/>
          <w:kern w:val="2"/>
          <w:sz w:val="21"/>
        </w:rPr>
        <w:t>感知模块：</w:t>
      </w:r>
      <w:r>
        <w:rPr>
          <w:rFonts w:hint="eastAsia"/>
          <w:kern w:val="2"/>
          <w:sz w:val="21"/>
        </w:rPr>
        <w:t xml:space="preserve">RGB-D </w:t>
      </w:r>
      <w:r>
        <w:rPr>
          <w:rFonts w:hint="eastAsia"/>
          <w:kern w:val="2"/>
          <w:sz w:val="21"/>
        </w:rPr>
        <w:t>深度视觉相机</w:t>
      </w:r>
      <w:r>
        <w:rPr>
          <w:rFonts w:hint="eastAsia"/>
          <w:kern w:val="2"/>
          <w:sz w:val="21"/>
        </w:rPr>
        <w:t xml:space="preserve"> + </w:t>
      </w:r>
      <w:r>
        <w:rPr>
          <w:rFonts w:hint="eastAsia"/>
          <w:kern w:val="2"/>
          <w:sz w:val="21"/>
        </w:rPr>
        <w:t>高速条码识别器构成了系统的视觉感知边界。通过实时捕获药盘与货架的三维深度点云信息，配合高容错率的扫描元件，在线完成药盒物理尺度的目标检测、三维空间位姿估计与状态分类，为机械臂的轨迹决策提供亚毫米级的高精度数据依据。</w:t>
      </w:r>
    </w:p>
    <w:p w14:paraId="31C679A0"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4. </w:t>
      </w:r>
      <w:r>
        <w:rPr>
          <w:rFonts w:hint="eastAsia"/>
          <w:kern w:val="2"/>
          <w:sz w:val="21"/>
        </w:rPr>
        <w:t>拓展接口：多功能通用工业级</w:t>
      </w:r>
      <w:r>
        <w:rPr>
          <w:rFonts w:hint="eastAsia"/>
          <w:kern w:val="2"/>
          <w:sz w:val="21"/>
        </w:rPr>
        <w:t xml:space="preserve"> I/O </w:t>
      </w:r>
      <w:r>
        <w:rPr>
          <w:rFonts w:hint="eastAsia"/>
          <w:kern w:val="2"/>
          <w:sz w:val="21"/>
        </w:rPr>
        <w:t>矩阵，预留了丰富的外部通信与扩展接口，原生支持滑轨驱动、语音交互控制、声光报警以及全方位状态监测模块。系统可根据实际药房货架长度、实验室教学等多样化物理场景进行柔性乐高式扩展，大幅提升了系统的延展性与长效复用价值。</w:t>
      </w:r>
    </w:p>
    <w:p w14:paraId="2634CD16"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13" w:name="_Toc25906"/>
      <w:r>
        <w:rPr>
          <w:rFonts w:ascii="Times New Roman" w:eastAsia="楷体_GB2312" w:hAnsi="Times New Roman" w:cs="Times New Roman" w:hint="eastAsia"/>
          <w:sz w:val="28"/>
          <w:szCs w:val="28"/>
        </w:rPr>
        <w:t xml:space="preserve">2.3 </w:t>
      </w:r>
      <w:r>
        <w:rPr>
          <w:rFonts w:ascii="Times New Roman" w:eastAsia="楷体_GB2312" w:hAnsi="Times New Roman" w:cs="Times New Roman" w:hint="eastAsia"/>
          <w:sz w:val="28"/>
          <w:szCs w:val="28"/>
        </w:rPr>
        <w:t>软件与算法系统</w:t>
      </w:r>
      <w:bookmarkEnd w:id="13"/>
    </w:p>
    <w:p w14:paraId="3D270A77" w14:textId="77777777" w:rsidR="007B0E0B" w:rsidRDefault="00000000">
      <w:pPr>
        <w:pStyle w:val="a3"/>
        <w:widowControl/>
        <w:shd w:val="clear" w:color="auto" w:fill="FFFFFF"/>
        <w:spacing w:beforeAutospacing="0" w:afterAutospacing="0"/>
        <w:ind w:firstLine="420"/>
        <w:rPr>
          <w:kern w:val="2"/>
          <w:sz w:val="21"/>
        </w:rPr>
      </w:pPr>
      <w:r>
        <w:rPr>
          <w:rFonts w:hint="eastAsia"/>
          <w:kern w:val="2"/>
          <w:sz w:val="21"/>
        </w:rPr>
        <w:t>软件算法栈采用分层模块化设计，向下对接工业级底层硬件，向上契合智慧药房管理系统业务层。系统整体采用分层递进的数据管线架构：</w:t>
      </w:r>
    </w:p>
    <w:p w14:paraId="4E5D7B0A" w14:textId="77777777" w:rsidR="007B0E0B" w:rsidRDefault="00000000">
      <w:pPr>
        <w:pStyle w:val="a3"/>
        <w:widowControl/>
        <w:shd w:val="clear" w:color="auto" w:fill="FFFFFF"/>
        <w:spacing w:beforeAutospacing="0" w:afterAutospacing="0"/>
        <w:ind w:firstLine="420"/>
        <w:rPr>
          <w:kern w:val="2"/>
          <w:sz w:val="21"/>
        </w:rPr>
      </w:pPr>
      <w:r>
        <w:rPr>
          <w:rFonts w:hint="eastAsia"/>
          <w:kern w:val="2"/>
          <w:sz w:val="21"/>
        </w:rPr>
        <w:t>由</w:t>
      </w:r>
      <w:r>
        <w:rPr>
          <w:rFonts w:hint="eastAsia"/>
          <w:kern w:val="2"/>
          <w:sz w:val="21"/>
        </w:rPr>
        <w:t xml:space="preserve"> OpenCV </w:t>
      </w:r>
      <w:r>
        <w:rPr>
          <w:rFonts w:hint="eastAsia"/>
          <w:kern w:val="2"/>
          <w:sz w:val="21"/>
        </w:rPr>
        <w:t>底座捕获原始图像，并行分发至条码、</w:t>
      </w:r>
      <w:r>
        <w:rPr>
          <w:rFonts w:hint="eastAsia"/>
          <w:kern w:val="2"/>
          <w:sz w:val="21"/>
        </w:rPr>
        <w:t xml:space="preserve">OCR </w:t>
      </w:r>
      <w:r>
        <w:rPr>
          <w:rFonts w:hint="eastAsia"/>
          <w:kern w:val="2"/>
          <w:sz w:val="21"/>
        </w:rPr>
        <w:t>与</w:t>
      </w:r>
      <w:r>
        <w:rPr>
          <w:rFonts w:hint="eastAsia"/>
          <w:kern w:val="2"/>
          <w:sz w:val="21"/>
        </w:rPr>
        <w:t xml:space="preserve"> YOLOv8 </w:t>
      </w:r>
      <w:r>
        <w:rPr>
          <w:rFonts w:hint="eastAsia"/>
          <w:kern w:val="2"/>
          <w:sz w:val="21"/>
        </w:rPr>
        <w:t>进行多模态融合特征提取；解析出的物理空间坐标与药品</w:t>
      </w:r>
      <w:r>
        <w:rPr>
          <w:rFonts w:hint="eastAsia"/>
          <w:kern w:val="2"/>
          <w:sz w:val="21"/>
        </w:rPr>
        <w:t xml:space="preserve"> ID </w:t>
      </w:r>
      <w:r>
        <w:rPr>
          <w:rFonts w:hint="eastAsia"/>
          <w:kern w:val="2"/>
          <w:sz w:val="21"/>
        </w:rPr>
        <w:t>向上实时驱动</w:t>
      </w:r>
      <w:r>
        <w:rPr>
          <w:rFonts w:hint="eastAsia"/>
          <w:kern w:val="2"/>
          <w:sz w:val="21"/>
        </w:rPr>
        <w:t xml:space="preserve"> </w:t>
      </w:r>
      <w:proofErr w:type="spellStart"/>
      <w:r>
        <w:rPr>
          <w:rFonts w:hint="eastAsia"/>
          <w:kern w:val="2"/>
          <w:sz w:val="21"/>
        </w:rPr>
        <w:t>MoveIt</w:t>
      </w:r>
      <w:proofErr w:type="spellEnd"/>
      <w:r>
        <w:rPr>
          <w:rFonts w:hint="eastAsia"/>
          <w:kern w:val="2"/>
          <w:sz w:val="21"/>
        </w:rPr>
        <w:t xml:space="preserve"> </w:t>
      </w:r>
      <w:r>
        <w:rPr>
          <w:rFonts w:hint="eastAsia"/>
          <w:kern w:val="2"/>
          <w:sz w:val="21"/>
        </w:rPr>
        <w:t>进行平滑轨迹规划，</w:t>
      </w:r>
      <w:r>
        <w:rPr>
          <w:rFonts w:hint="eastAsia"/>
          <w:kern w:val="2"/>
          <w:sz w:val="21"/>
        </w:rPr>
        <w:lastRenderedPageBreak/>
        <w:t>同时向下传导至</w:t>
      </w:r>
      <w:r>
        <w:rPr>
          <w:rFonts w:hint="eastAsia"/>
          <w:kern w:val="2"/>
          <w:sz w:val="21"/>
        </w:rPr>
        <w:t xml:space="preserve"> WMS </w:t>
      </w:r>
      <w:r>
        <w:rPr>
          <w:rFonts w:hint="eastAsia"/>
          <w:kern w:val="2"/>
          <w:sz w:val="21"/>
        </w:rPr>
        <w:t>与</w:t>
      </w:r>
      <w:r>
        <w:rPr>
          <w:rFonts w:hint="eastAsia"/>
          <w:kern w:val="2"/>
          <w:sz w:val="21"/>
        </w:rPr>
        <w:t xml:space="preserve"> ERP </w:t>
      </w:r>
      <w:r>
        <w:rPr>
          <w:rFonts w:hint="eastAsia"/>
          <w:kern w:val="2"/>
          <w:sz w:val="21"/>
        </w:rPr>
        <w:t>系统进行秒级库存核减与补仓预警，确保高并发状态下的低延时响应与精准交付。</w:t>
      </w:r>
    </w:p>
    <w:p w14:paraId="52AC964A" w14:textId="1DC94B61" w:rsidR="00E93FEF" w:rsidRDefault="00000000">
      <w:pPr>
        <w:pStyle w:val="a3"/>
        <w:widowControl/>
        <w:shd w:val="clear" w:color="auto" w:fill="FFFFFF"/>
        <w:spacing w:beforeAutospacing="0" w:afterAutospacing="0"/>
        <w:ind w:firstLine="420"/>
        <w:rPr>
          <w:kern w:val="2"/>
          <w:sz w:val="21"/>
        </w:rPr>
      </w:pPr>
      <w:r>
        <w:rPr>
          <w:rFonts w:hint="eastAsia"/>
          <w:kern w:val="2"/>
          <w:sz w:val="21"/>
        </w:rPr>
        <w:t>核心算法模块设计如下：</w:t>
      </w:r>
    </w:p>
    <w:p w14:paraId="420E71CB"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1. </w:t>
      </w:r>
      <w:r>
        <w:rPr>
          <w:rFonts w:hint="eastAsia"/>
          <w:kern w:val="2"/>
          <w:sz w:val="21"/>
        </w:rPr>
        <w:t>条码识别模块：基于</w:t>
      </w:r>
      <w:r>
        <w:rPr>
          <w:rFonts w:hint="eastAsia"/>
          <w:kern w:val="2"/>
          <w:sz w:val="21"/>
        </w:rPr>
        <w:t>pyzbar</w:t>
      </w:r>
      <w:r>
        <w:rPr>
          <w:rFonts w:hint="eastAsia"/>
          <w:kern w:val="2"/>
          <w:sz w:val="21"/>
        </w:rPr>
        <w:t>高性能条码解析引擎，实现对药品及医疗耗材表面一维码</w:t>
      </w:r>
      <w:r>
        <w:rPr>
          <w:rFonts w:hint="eastAsia"/>
          <w:kern w:val="2"/>
          <w:sz w:val="21"/>
        </w:rPr>
        <w:t>/</w:t>
      </w:r>
      <w:r>
        <w:rPr>
          <w:rFonts w:hint="eastAsia"/>
          <w:kern w:val="2"/>
          <w:sz w:val="21"/>
        </w:rPr>
        <w:t>二维码的高速、高容错率全向识别。系统自动提取药品全局唯一标识码</w:t>
      </w:r>
      <w:r>
        <w:rPr>
          <w:rFonts w:hint="eastAsia"/>
          <w:kern w:val="2"/>
          <w:sz w:val="21"/>
        </w:rPr>
        <w:t>UDI</w:t>
      </w:r>
      <w:r>
        <w:rPr>
          <w:rFonts w:hint="eastAsia"/>
          <w:kern w:val="2"/>
          <w:sz w:val="21"/>
        </w:rPr>
        <w:t>，作为快速出入库与一药一码全生命周期溯源的底层核心数据凭证。</w:t>
      </w:r>
    </w:p>
    <w:p w14:paraId="3F305B94"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2. OCR </w:t>
      </w:r>
      <w:r>
        <w:rPr>
          <w:rFonts w:hint="eastAsia"/>
          <w:kern w:val="2"/>
          <w:sz w:val="21"/>
        </w:rPr>
        <w:t>文字识别模块：集成</w:t>
      </w:r>
      <w:r>
        <w:rPr>
          <w:rFonts w:hint="eastAsia"/>
          <w:kern w:val="2"/>
          <w:sz w:val="21"/>
        </w:rPr>
        <w:t>PaddleOCR</w:t>
      </w:r>
      <w:r>
        <w:rPr>
          <w:rFonts w:hint="eastAsia"/>
          <w:kern w:val="2"/>
          <w:sz w:val="21"/>
        </w:rPr>
        <w:t>光学字符识别算法，对高清相机捕获的药盒、试剂瓶表面文本进行实时提取。算法经过轻量化量化剪枝，能够高精度过滤、匹配并锁定药品名称、规格型号、生产批号、生产日期及有效期等高敏感文本信息。</w:t>
      </w:r>
    </w:p>
    <w:p w14:paraId="3D3606A5"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3. </w:t>
      </w:r>
      <w:r>
        <w:rPr>
          <w:rFonts w:hint="eastAsia"/>
          <w:kern w:val="2"/>
          <w:sz w:val="21"/>
        </w:rPr>
        <w:t>视觉识别与定位模块：依托</w:t>
      </w:r>
      <w:r>
        <w:rPr>
          <w:rFonts w:hint="eastAsia"/>
          <w:kern w:val="2"/>
          <w:sz w:val="21"/>
        </w:rPr>
        <w:t>YOLOv8</w:t>
      </w:r>
      <w:r>
        <w:rPr>
          <w:rFonts w:hint="eastAsia"/>
          <w:kern w:val="2"/>
          <w:sz w:val="21"/>
        </w:rPr>
        <w:t>目标检测大模型，在线完成药品的边界框回归、品类分类与三维空间姿态估计。即使面对多品类药盒无序堆叠、倾斜摆放的复杂场景，也能为机械臂提供高频、可靠的抓取点三维空间坐标。</w:t>
      </w:r>
    </w:p>
    <w:p w14:paraId="5CA9C587"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4. </w:t>
      </w:r>
      <w:r>
        <w:rPr>
          <w:rFonts w:hint="eastAsia"/>
          <w:kern w:val="2"/>
          <w:sz w:val="21"/>
        </w:rPr>
        <w:t>运动控制模块：深度定制</w:t>
      </w:r>
      <w:r>
        <w:rPr>
          <w:rFonts w:hint="eastAsia"/>
          <w:kern w:val="2"/>
          <w:sz w:val="21"/>
        </w:rPr>
        <w:t>MoveIt</w:t>
      </w:r>
      <w:r>
        <w:rPr>
          <w:rFonts w:hint="eastAsia"/>
          <w:kern w:val="2"/>
          <w:sz w:val="21"/>
        </w:rPr>
        <w:t>运动规划框架。根据视觉感知层反馈的空间坐标，算法自主在关节空间与笛卡尔空间内完成复杂的路径规划、平滑轨迹优化及动态避障计算，确保机械臂在药品架间高速作业时动作流畅、安全、无物理碰撞。</w:t>
      </w:r>
    </w:p>
    <w:p w14:paraId="780BA0DC"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 xml:space="preserve">5. </w:t>
      </w:r>
      <w:r>
        <w:rPr>
          <w:rFonts w:hint="eastAsia"/>
          <w:kern w:val="2"/>
          <w:sz w:val="21"/>
        </w:rPr>
        <w:t>视觉处理管线：基于</w:t>
      </w:r>
      <w:r>
        <w:rPr>
          <w:rFonts w:hint="eastAsia"/>
          <w:kern w:val="2"/>
          <w:sz w:val="21"/>
        </w:rPr>
        <w:t>OpenCV</w:t>
      </w:r>
      <w:r>
        <w:rPr>
          <w:rFonts w:hint="eastAsia"/>
          <w:kern w:val="2"/>
          <w:sz w:val="21"/>
        </w:rPr>
        <w:t>搭建定制化工业视觉底座，负责前期的图像动态采集、去噪、逆光补偿、边缘特征提取以及实时感兴趣区域裁剪，构建起高效鲁棒的“感知—识别—控制”一体化前向数据流。</w:t>
      </w:r>
    </w:p>
    <w:p w14:paraId="71270970"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14" w:name="_Toc22853"/>
      <w:r>
        <w:rPr>
          <w:rFonts w:ascii="Times New Roman" w:eastAsia="楷体_GB2312" w:hAnsi="Times New Roman" w:cs="Times New Roman" w:hint="eastAsia"/>
          <w:sz w:val="28"/>
          <w:szCs w:val="28"/>
        </w:rPr>
        <w:t xml:space="preserve">2.4 </w:t>
      </w:r>
      <w:r>
        <w:rPr>
          <w:rFonts w:ascii="Times New Roman" w:eastAsia="楷体_GB2312" w:hAnsi="Times New Roman" w:cs="Times New Roman" w:hint="eastAsia"/>
          <w:sz w:val="28"/>
          <w:szCs w:val="28"/>
        </w:rPr>
        <w:t>技术创新点</w:t>
      </w:r>
      <w:bookmarkEnd w:id="14"/>
    </w:p>
    <w:p w14:paraId="01A1EEB9" w14:textId="677048CB" w:rsidR="00E93FEF" w:rsidRDefault="007B0E0B">
      <w:pPr>
        <w:pStyle w:val="a3"/>
        <w:widowControl/>
        <w:shd w:val="clear" w:color="auto" w:fill="FFFFFF"/>
        <w:spacing w:beforeAutospacing="0" w:afterAutospacing="0"/>
        <w:ind w:firstLine="420"/>
        <w:outlineLvl w:val="2"/>
        <w:rPr>
          <w:kern w:val="2"/>
          <w:sz w:val="21"/>
        </w:rPr>
      </w:pPr>
      <w:bookmarkStart w:id="15" w:name="_Toc17990"/>
      <w:r>
        <w:rPr>
          <w:rFonts w:hint="eastAsia"/>
          <w:kern w:val="2"/>
          <w:sz w:val="21"/>
        </w:rPr>
        <w:t xml:space="preserve">2.4.1. </w:t>
      </w:r>
      <w:proofErr w:type="gramStart"/>
      <w:r>
        <w:rPr>
          <w:rFonts w:hint="eastAsia"/>
          <w:kern w:val="2"/>
          <w:sz w:val="21"/>
        </w:rPr>
        <w:t>医疗大</w:t>
      </w:r>
      <w:proofErr w:type="gramEnd"/>
      <w:r>
        <w:rPr>
          <w:rFonts w:hint="eastAsia"/>
          <w:kern w:val="2"/>
          <w:sz w:val="21"/>
        </w:rPr>
        <w:t>模型引导的多模态交叉纠错机制</w:t>
      </w:r>
      <w:bookmarkEnd w:id="15"/>
    </w:p>
    <w:p w14:paraId="3C4FEB60"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针对药品包装表面反光、局部污损或褶皱导致传统</w:t>
      </w:r>
      <w:r>
        <w:rPr>
          <w:rFonts w:hint="eastAsia"/>
          <w:kern w:val="2"/>
          <w:sz w:val="21"/>
        </w:rPr>
        <w:t>OCR</w:t>
      </w:r>
      <w:r>
        <w:rPr>
          <w:rFonts w:hint="eastAsia"/>
          <w:kern w:val="2"/>
          <w:sz w:val="21"/>
        </w:rPr>
        <w:t>识别与条码扫描失效的行业痛点，项目开发了多模态交叉纠错算法。当边缘端识别置信度低于安全阈值时，系统会将残缺文本、视觉特征矩阵同步上传至云端。云端医疗垂类大模型结合本地药谱知识库的先验知识，在语义层面进行模糊对齐与自动纠偏。该机制将复杂物理场景下的药品综合识别准确率提升至</w:t>
      </w:r>
      <w:r>
        <w:rPr>
          <w:rFonts w:hint="eastAsia"/>
          <w:kern w:val="2"/>
          <w:sz w:val="21"/>
        </w:rPr>
        <w:t xml:space="preserve"> 99.5% </w:t>
      </w:r>
      <w:r>
        <w:rPr>
          <w:rFonts w:hint="eastAsia"/>
          <w:kern w:val="2"/>
          <w:sz w:val="21"/>
        </w:rPr>
        <w:t>以上，从根本上避免了因视觉失效导致的发药中止。</w:t>
      </w:r>
    </w:p>
    <w:p w14:paraId="6105963E" w14:textId="3D06ED69" w:rsidR="00E93FEF" w:rsidRDefault="007B0E0B">
      <w:pPr>
        <w:pStyle w:val="a3"/>
        <w:widowControl/>
        <w:shd w:val="clear" w:color="auto" w:fill="FFFFFF"/>
        <w:spacing w:beforeAutospacing="0" w:afterAutospacing="0"/>
        <w:ind w:firstLine="420"/>
        <w:outlineLvl w:val="2"/>
        <w:rPr>
          <w:kern w:val="2"/>
          <w:sz w:val="21"/>
        </w:rPr>
      </w:pPr>
      <w:bookmarkStart w:id="16" w:name="_Toc22344"/>
      <w:r>
        <w:rPr>
          <w:rFonts w:hint="eastAsia"/>
          <w:kern w:val="2"/>
          <w:sz w:val="21"/>
        </w:rPr>
        <w:t xml:space="preserve">2.4.2. </w:t>
      </w:r>
      <w:r>
        <w:rPr>
          <w:rFonts w:hint="eastAsia"/>
          <w:kern w:val="2"/>
          <w:sz w:val="21"/>
        </w:rPr>
        <w:t>免</w:t>
      </w:r>
      <w:r>
        <w:rPr>
          <w:rFonts w:hint="eastAsia"/>
          <w:kern w:val="2"/>
          <w:sz w:val="21"/>
        </w:rPr>
        <w:t>3D CAD</w:t>
      </w:r>
      <w:r>
        <w:rPr>
          <w:rFonts w:hint="eastAsia"/>
          <w:kern w:val="2"/>
          <w:sz w:val="21"/>
        </w:rPr>
        <w:t>模型的柔性自适应抓取</w:t>
      </w:r>
      <w:bookmarkEnd w:id="16"/>
    </w:p>
    <w:p w14:paraId="2E61C20F"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传统分拣机器人高度依赖目标的精确</w:t>
      </w:r>
      <w:r>
        <w:rPr>
          <w:rFonts w:hint="eastAsia"/>
          <w:kern w:val="2"/>
          <w:sz w:val="21"/>
        </w:rPr>
        <w:t>3D CAD</w:t>
      </w:r>
      <w:r>
        <w:rPr>
          <w:rFonts w:hint="eastAsia"/>
          <w:kern w:val="2"/>
          <w:sz w:val="21"/>
        </w:rPr>
        <w:t>数模，而零售药房药品品类繁多且更新频繁，逐一建模在实际商业落地中完全不可行。本项目利用</w:t>
      </w:r>
      <w:r>
        <w:rPr>
          <w:rFonts w:hint="eastAsia"/>
          <w:kern w:val="2"/>
          <w:sz w:val="21"/>
        </w:rPr>
        <w:t>RGB-D</w:t>
      </w:r>
      <w:r>
        <w:rPr>
          <w:rFonts w:hint="eastAsia"/>
          <w:kern w:val="2"/>
          <w:sz w:val="21"/>
        </w:rPr>
        <w:t>深度视觉相机实时捕捉货架表面的空间点云，在线快速预测物体抓取位姿。在夹爪执行物理接触的瞬间，底层主控通过电流反馈进行微秒级调节，自适应匹配最佳抓取力矩与接触面。无论是硬质纸盒、颗粒软袋还是易碎的玻璃试剂瓶，均能实现即见即抓的柔性无损交付。</w:t>
      </w:r>
    </w:p>
    <w:p w14:paraId="775E84C0" w14:textId="1B7E09CE" w:rsidR="00E93FEF" w:rsidRDefault="007B0E0B">
      <w:pPr>
        <w:pStyle w:val="a3"/>
        <w:widowControl/>
        <w:shd w:val="clear" w:color="auto" w:fill="FFFFFF"/>
        <w:spacing w:beforeAutospacing="0" w:afterAutospacing="0"/>
        <w:ind w:firstLine="420"/>
        <w:outlineLvl w:val="2"/>
        <w:rPr>
          <w:kern w:val="2"/>
          <w:sz w:val="21"/>
        </w:rPr>
      </w:pPr>
      <w:bookmarkStart w:id="17" w:name="_Toc16677"/>
      <w:r>
        <w:rPr>
          <w:rFonts w:hint="eastAsia"/>
          <w:kern w:val="2"/>
          <w:sz w:val="21"/>
        </w:rPr>
        <w:t xml:space="preserve">2.4.3. </w:t>
      </w:r>
      <w:r>
        <w:rPr>
          <w:rFonts w:hint="eastAsia"/>
          <w:kern w:val="2"/>
          <w:sz w:val="21"/>
        </w:rPr>
        <w:t>云</w:t>
      </w:r>
      <w:r>
        <w:rPr>
          <w:rFonts w:hint="eastAsia"/>
          <w:kern w:val="2"/>
          <w:sz w:val="21"/>
        </w:rPr>
        <w:t>-</w:t>
      </w:r>
      <w:r>
        <w:rPr>
          <w:rFonts w:hint="eastAsia"/>
          <w:kern w:val="2"/>
          <w:sz w:val="21"/>
        </w:rPr>
        <w:t>边</w:t>
      </w:r>
      <w:r>
        <w:rPr>
          <w:rFonts w:hint="eastAsia"/>
          <w:kern w:val="2"/>
          <w:sz w:val="21"/>
        </w:rPr>
        <w:t>-</w:t>
      </w:r>
      <w:proofErr w:type="gramStart"/>
      <w:r>
        <w:rPr>
          <w:rFonts w:hint="eastAsia"/>
          <w:kern w:val="2"/>
          <w:sz w:val="21"/>
        </w:rPr>
        <w:t>端全链路</w:t>
      </w:r>
      <w:proofErr w:type="gramEnd"/>
      <w:r>
        <w:rPr>
          <w:rFonts w:hint="eastAsia"/>
          <w:kern w:val="2"/>
          <w:sz w:val="21"/>
        </w:rPr>
        <w:t>“业务</w:t>
      </w:r>
      <w:r>
        <w:rPr>
          <w:rFonts w:hint="eastAsia"/>
          <w:kern w:val="2"/>
          <w:sz w:val="21"/>
        </w:rPr>
        <w:t xml:space="preserve"> + </w:t>
      </w:r>
      <w:r>
        <w:rPr>
          <w:rFonts w:hint="eastAsia"/>
          <w:kern w:val="2"/>
          <w:sz w:val="21"/>
        </w:rPr>
        <w:t>数据”双闭环</w:t>
      </w:r>
      <w:bookmarkEnd w:id="17"/>
    </w:p>
    <w:p w14:paraId="26AD9530" w14:textId="4D4AF0C9" w:rsidR="00E93FEF" w:rsidRDefault="00000000" w:rsidP="007B0E0B">
      <w:pPr>
        <w:pStyle w:val="a3"/>
        <w:widowControl/>
        <w:shd w:val="clear" w:color="auto" w:fill="FFFFFF"/>
        <w:spacing w:beforeAutospacing="0" w:afterAutospacing="0"/>
        <w:ind w:firstLine="420"/>
        <w:rPr>
          <w:kern w:val="2"/>
          <w:sz w:val="21"/>
        </w:rPr>
      </w:pPr>
      <w:r>
        <w:rPr>
          <w:rFonts w:hint="eastAsia"/>
          <w:kern w:val="2"/>
          <w:sz w:val="21"/>
        </w:rPr>
        <w:t>项目打破了前端问诊、机器人控制与后台仓储管理之间的信息孤岛，首次在桌面级轻量化系统上实现了跨域联动。在业务链路上，系统打通了患者自然语言主诉、云端大模型合规决策、边缘端机械臂物理出库的一步到位管线。在数据链路上，物理交付结果会秒级反向传导至美团、饿</w:t>
      </w:r>
      <w:proofErr w:type="gramStart"/>
      <w:r>
        <w:rPr>
          <w:rFonts w:hint="eastAsia"/>
          <w:kern w:val="2"/>
          <w:sz w:val="21"/>
        </w:rPr>
        <w:t>了么等线</w:t>
      </w:r>
      <w:proofErr w:type="gramEnd"/>
      <w:r>
        <w:rPr>
          <w:rFonts w:hint="eastAsia"/>
          <w:kern w:val="2"/>
          <w:sz w:val="21"/>
        </w:rPr>
        <w:t>上仓储与本地数据库，在自动完成库存核减的同时触发效期预警，确保了全生命周期数据的一致性与可追溯性。</w:t>
      </w:r>
    </w:p>
    <w:p w14:paraId="6C4124B5" w14:textId="77777777" w:rsidR="00E93FEF" w:rsidRDefault="00000000">
      <w:pPr>
        <w:adjustRightInd w:val="0"/>
        <w:snapToGrid w:val="0"/>
        <w:spacing w:beforeLines="100" w:before="312" w:afterLines="50" w:after="156" w:line="380" w:lineRule="exact"/>
        <w:outlineLvl w:val="0"/>
        <w:rPr>
          <w:rFonts w:ascii="Times New Roman" w:eastAsia="仿宋_GB2312" w:hAnsi="Times New Roman" w:cs="Times New Roman"/>
          <w:sz w:val="30"/>
          <w:szCs w:val="30"/>
        </w:rPr>
      </w:pPr>
      <w:bookmarkStart w:id="18" w:name="_Toc32278"/>
      <w:r>
        <w:rPr>
          <w:rFonts w:ascii="Times New Roman" w:eastAsia="仿宋_GB2312" w:hAnsi="Times New Roman" w:cs="Times New Roman" w:hint="eastAsia"/>
          <w:sz w:val="30"/>
          <w:szCs w:val="30"/>
        </w:rPr>
        <w:t>三、市场分析</w:t>
      </w:r>
      <w:bookmarkEnd w:id="18"/>
    </w:p>
    <w:p w14:paraId="1A2A2C2B"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19" w:name="_Toc9240"/>
      <w:r>
        <w:rPr>
          <w:rFonts w:ascii="Times New Roman" w:eastAsia="楷体_GB2312" w:hAnsi="Times New Roman" w:cs="Times New Roman" w:hint="eastAsia"/>
          <w:sz w:val="28"/>
          <w:szCs w:val="28"/>
        </w:rPr>
        <w:t xml:space="preserve">3.1 </w:t>
      </w:r>
      <w:r>
        <w:rPr>
          <w:rFonts w:ascii="Times New Roman" w:eastAsia="楷体_GB2312" w:hAnsi="Times New Roman" w:cs="Times New Roman" w:hint="eastAsia"/>
          <w:sz w:val="28"/>
          <w:szCs w:val="28"/>
        </w:rPr>
        <w:t>政策支持</w:t>
      </w:r>
      <w:bookmarkEnd w:id="19"/>
    </w:p>
    <w:p w14:paraId="5EED1D33" w14:textId="0723DF08" w:rsidR="00E93FEF" w:rsidRDefault="007C3710">
      <w:pPr>
        <w:ind w:firstLineChars="200" w:firstLine="420"/>
      </w:pPr>
      <w:r w:rsidRPr="007C3710">
        <w:rPr>
          <w:rFonts w:ascii="宋体" w:hAnsi="宋体"/>
        </w:rPr>
        <w:t>项目发展具备明确且刚性的政策支撑。在“互联网+医疗健康”方面，国务院办公厅《关于促进“互联网+医疗健康”发展的意见》明确鼓励有条件的医疗机构开展智能辅助诊疗等</w:t>
      </w:r>
      <w:r w:rsidRPr="007C3710">
        <w:rPr>
          <w:rFonts w:ascii="宋体" w:hAnsi="宋体"/>
        </w:rPr>
        <w:lastRenderedPageBreak/>
        <w:t>服务；在药品监管方面，国家药监局发布的《药品监管网络安全与信息化建设“十四五”规划》要求推进药品全生命周期数字化管理，且《药品经营和使用质量监督管理办法》已强制要求药品经营企业建立覆盖采购、验收、销售全环节的追溯系统，实现“一物一码、全程扫码、批号效期可追溯”。本系统内置的AI药师咨询辅助定位，以及条码识别与OCR自动记录功能，在技术路径上天然符合上述政策的合</w:t>
      </w:r>
      <w:proofErr w:type="gramStart"/>
      <w:r w:rsidRPr="007C3710">
        <w:rPr>
          <w:rFonts w:ascii="宋体" w:hAnsi="宋体"/>
        </w:rPr>
        <w:t>规</w:t>
      </w:r>
      <w:proofErr w:type="gramEnd"/>
      <w:r w:rsidRPr="007C3710">
        <w:rPr>
          <w:rFonts w:ascii="宋体" w:hAnsi="宋体"/>
        </w:rPr>
        <w:t>要求，落地基础坚实</w:t>
      </w:r>
      <w:r>
        <w:rPr>
          <w:rFonts w:hint="eastAsia"/>
        </w:rPr>
        <w:t>。</w:t>
      </w:r>
    </w:p>
    <w:p w14:paraId="4986147B"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20" w:name="_Toc30269"/>
      <w:r>
        <w:rPr>
          <w:rFonts w:ascii="Times New Roman" w:eastAsia="楷体_GB2312" w:hAnsi="Times New Roman" w:cs="Times New Roman" w:hint="eastAsia"/>
          <w:sz w:val="28"/>
          <w:szCs w:val="28"/>
        </w:rPr>
        <w:t xml:space="preserve">3.2 </w:t>
      </w:r>
      <w:r>
        <w:rPr>
          <w:rFonts w:ascii="Times New Roman" w:eastAsia="楷体_GB2312" w:hAnsi="Times New Roman" w:cs="Times New Roman" w:hint="eastAsia"/>
          <w:sz w:val="28"/>
          <w:szCs w:val="28"/>
        </w:rPr>
        <w:t>市场定位</w:t>
      </w:r>
      <w:bookmarkEnd w:id="20"/>
    </w:p>
    <w:p w14:paraId="37CC7C30" w14:textId="77777777" w:rsidR="00E93FEF" w:rsidRDefault="00000000">
      <w:pPr>
        <w:ind w:firstLineChars="200" w:firstLine="420"/>
      </w:pPr>
      <w:r>
        <w:rPr>
          <w:rFonts w:hint="eastAsia"/>
        </w:rPr>
        <w:t>我国医疗服务体系持续扩容，全民就医、购药需求保持高位增长，药品调配、零售及即时配送业务体量不断扩大。但行业整体智能化水平明显滞后，药房自动化设备普及度偏低。</w:t>
      </w:r>
      <w:r>
        <w:rPr>
          <w:rFonts w:hint="eastAsia"/>
        </w:rPr>
        <w:t xml:space="preserve">2022 </w:t>
      </w:r>
      <w:r>
        <w:rPr>
          <w:rFonts w:hint="eastAsia"/>
        </w:rPr>
        <w:t>年我国各级医院自动化药房平均渗透率为</w:t>
      </w:r>
      <w:r>
        <w:rPr>
          <w:rFonts w:hint="eastAsia"/>
        </w:rPr>
        <w:t>18.9%</w:t>
      </w:r>
      <w:r>
        <w:rPr>
          <w:rFonts w:hint="eastAsia"/>
        </w:rPr>
        <w:t>，零售药店自动化渗透率仅为</w:t>
      </w:r>
      <w:r>
        <w:rPr>
          <w:rFonts w:hint="eastAsia"/>
        </w:rPr>
        <w:t>0.5%</w:t>
      </w:r>
      <w:r>
        <w:rPr>
          <w:rFonts w:hint="eastAsia"/>
        </w:rPr>
        <w:t>，远低于美国等发达国家水平，行业智能化升级存在巨大缺口。</w:t>
      </w:r>
    </w:p>
    <w:p w14:paraId="3AC51E8C" w14:textId="77777777" w:rsidR="00E93FEF" w:rsidRDefault="00000000">
      <w:pPr>
        <w:ind w:firstLineChars="200" w:firstLine="420"/>
      </w:pPr>
      <w:r>
        <w:rPr>
          <w:rFonts w:hint="eastAsia"/>
        </w:rPr>
        <w:t>传统人工药房普遍存在：患者取药排队时间长、高峰时段药师劳动强度大、发药错漏风险高、人工盘点效率低、库存管理粗放等问题。尤其在基层医疗机构，药师配置不足、专业能力参差不齐，难以提供稳定、标准化的药事服务，更难以满足</w:t>
      </w:r>
      <w:r>
        <w:rPr>
          <w:rFonts w:hint="eastAsia"/>
        </w:rPr>
        <w:t>24</w:t>
      </w:r>
      <w:r>
        <w:rPr>
          <w:rFonts w:hint="eastAsia"/>
        </w:rPr>
        <w:t>小时用药咨询与安全用药指导需求。</w:t>
      </w:r>
    </w:p>
    <w:p w14:paraId="3731A3EC" w14:textId="77777777" w:rsidR="00E93FEF" w:rsidRDefault="00000000">
      <w:pPr>
        <w:ind w:firstLineChars="200" w:firstLine="420"/>
      </w:pPr>
      <w:r>
        <w:rPr>
          <w:rFonts w:hint="eastAsia"/>
        </w:rPr>
        <w:t>本项目以轻量化、高性价比、易部署、高适配为核心定位，打造智能视觉机械臂一体化药房解决方案。相较于传统大型自动发药设备造价高、体积大、部署周期长、运维复杂的短板，本方案采用小型化、模块化、低成本设计，可快速落地、灵活适配狭小场地，显著降低采购与运维门槛。产品精准面向基层医疗机构、社区卫生服务中心、乡镇诊所、连锁及单体零售药店、高校实验室等预算有限、场地紧凑、运维能力薄弱的场景，有效填补国内中低端轻量化药房自动化设备的市场空白，为行业提供低成本、可复制的智能化升级路径。</w:t>
      </w:r>
    </w:p>
    <w:p w14:paraId="066A5E05"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21" w:name="_Toc25406"/>
      <w:r>
        <w:rPr>
          <w:rFonts w:ascii="Times New Roman" w:eastAsia="楷体_GB2312" w:hAnsi="Times New Roman" w:cs="Times New Roman"/>
          <w:sz w:val="28"/>
          <w:szCs w:val="28"/>
        </w:rPr>
        <w:t xml:space="preserve">3.3 </w:t>
      </w:r>
      <w:r>
        <w:rPr>
          <w:rFonts w:ascii="Times New Roman" w:eastAsia="楷体_GB2312" w:hAnsi="Times New Roman" w:cs="Times New Roman"/>
          <w:sz w:val="28"/>
          <w:szCs w:val="28"/>
        </w:rPr>
        <w:t>目标用户</w:t>
      </w:r>
      <w:bookmarkEnd w:id="21"/>
    </w:p>
    <w:p w14:paraId="39A58BA8" w14:textId="77777777" w:rsidR="00E93FEF" w:rsidRDefault="00000000">
      <w:pPr>
        <w:ind w:firstLineChars="200" w:firstLine="420"/>
      </w:pPr>
      <w:r>
        <w:rPr>
          <w:rFonts w:hint="eastAsia"/>
        </w:rPr>
        <w:t>结合行业业态差异与实际运营痛点，本项目将目标客户划分为三大类别，并针对性提供适配的落地解决方案。</w:t>
      </w:r>
    </w:p>
    <w:p w14:paraId="1EEB7B75" w14:textId="77777777" w:rsidR="00E93FEF" w:rsidRPr="0034625C" w:rsidRDefault="00000000">
      <w:pPr>
        <w:ind w:firstLineChars="200" w:firstLine="422"/>
        <w:outlineLvl w:val="2"/>
        <w:rPr>
          <w:b/>
          <w:bCs/>
        </w:rPr>
      </w:pPr>
      <w:bookmarkStart w:id="22" w:name="_Toc8737"/>
      <w:r w:rsidRPr="0034625C">
        <w:rPr>
          <w:rFonts w:hint="eastAsia"/>
          <w:b/>
          <w:bCs/>
        </w:rPr>
        <w:t xml:space="preserve">A </w:t>
      </w:r>
      <w:r w:rsidRPr="0034625C">
        <w:rPr>
          <w:rFonts w:hint="eastAsia"/>
          <w:b/>
          <w:bCs/>
        </w:rPr>
        <w:t>类：连锁药店</w:t>
      </w:r>
      <w:bookmarkEnd w:id="22"/>
    </w:p>
    <w:p w14:paraId="4AEBFFA9" w14:textId="77777777" w:rsidR="00E93FEF" w:rsidRDefault="00000000">
      <w:pPr>
        <w:ind w:firstLineChars="200" w:firstLine="420"/>
      </w:pPr>
      <w:r>
        <w:rPr>
          <w:rFonts w:hint="eastAsia"/>
        </w:rPr>
        <w:t>当下连锁药店普遍遭遇人力成本攀升、执业药师招聘困难、人员流动性大等问题，夜间营业时段更是常出现在岗人员不足的情况。人工分拣、货品整理等重复性工作不仅消耗大量人力，也制约门店服务效率。本产品可替代人工完成药品分拣、核对、归类等基础作业，有效削减人力开支，同时保障夜间售药服务正常开展，全面提升门店全天候运营能力与服务质量。</w:t>
      </w:r>
    </w:p>
    <w:p w14:paraId="5ABBCD29" w14:textId="77777777" w:rsidR="00E93FEF" w:rsidRPr="0034625C" w:rsidRDefault="00000000">
      <w:pPr>
        <w:ind w:firstLineChars="200" w:firstLine="422"/>
        <w:outlineLvl w:val="2"/>
        <w:rPr>
          <w:b/>
          <w:bCs/>
        </w:rPr>
      </w:pPr>
      <w:bookmarkStart w:id="23" w:name="_Toc824"/>
      <w:r w:rsidRPr="0034625C">
        <w:rPr>
          <w:rFonts w:hint="eastAsia"/>
          <w:b/>
          <w:bCs/>
        </w:rPr>
        <w:t xml:space="preserve">B </w:t>
      </w:r>
      <w:r w:rsidRPr="0034625C">
        <w:rPr>
          <w:rFonts w:hint="eastAsia"/>
          <w:b/>
          <w:bCs/>
        </w:rPr>
        <w:t>类：基层医疗机构</w:t>
      </w:r>
      <w:bookmarkEnd w:id="23"/>
    </w:p>
    <w:p w14:paraId="71BA84C5" w14:textId="77777777" w:rsidR="00E93FEF" w:rsidRDefault="00000000">
      <w:pPr>
        <w:ind w:firstLineChars="200" w:firstLine="420"/>
      </w:pPr>
      <w:r>
        <w:rPr>
          <w:rFonts w:hint="eastAsia"/>
        </w:rPr>
        <w:t>以乡镇卫生院、社区卫生服务中心为代表的基层医疗机构，普遍存在药房使用面积狭小、硬件采购预算有限、专职药剂人员短缺等问题，大型自动化设备难以落地应用。本设备体积小巧、功能高度集成，融合药品智能分拣、用药咨询辅助、智能库存管理多项能力，部署简便、操作易懂，能够充分适配基层药房的场地条件与成本预算，补齐基层医药服务的智能化短板。</w:t>
      </w:r>
    </w:p>
    <w:p w14:paraId="1B846278" w14:textId="77777777" w:rsidR="00E93FEF" w:rsidRPr="0034625C" w:rsidRDefault="00000000">
      <w:pPr>
        <w:ind w:firstLineChars="200" w:firstLine="422"/>
        <w:outlineLvl w:val="2"/>
        <w:rPr>
          <w:b/>
          <w:bCs/>
        </w:rPr>
      </w:pPr>
      <w:bookmarkStart w:id="24" w:name="_Toc14433"/>
      <w:r w:rsidRPr="0034625C">
        <w:rPr>
          <w:rFonts w:hint="eastAsia"/>
          <w:b/>
          <w:bCs/>
        </w:rPr>
        <w:t xml:space="preserve">C </w:t>
      </w:r>
      <w:r w:rsidRPr="0034625C">
        <w:rPr>
          <w:rFonts w:hint="eastAsia"/>
          <w:b/>
          <w:bCs/>
        </w:rPr>
        <w:t>类：线上</w:t>
      </w:r>
      <w:r w:rsidRPr="0034625C">
        <w:rPr>
          <w:rFonts w:hint="eastAsia"/>
          <w:b/>
          <w:bCs/>
        </w:rPr>
        <w:t xml:space="preserve"> O2O </w:t>
      </w:r>
      <w:r w:rsidRPr="0034625C">
        <w:rPr>
          <w:rFonts w:hint="eastAsia"/>
          <w:b/>
          <w:bCs/>
        </w:rPr>
        <w:t>医药平台前置仓</w:t>
      </w:r>
      <w:bookmarkEnd w:id="24"/>
    </w:p>
    <w:p w14:paraId="40C25475" w14:textId="77777777" w:rsidR="00E93FEF" w:rsidRDefault="00000000">
      <w:pPr>
        <w:ind w:firstLineChars="200" w:firstLine="420"/>
      </w:pPr>
      <w:r>
        <w:rPr>
          <w:rFonts w:hint="eastAsia"/>
        </w:rPr>
        <w:t>医药</w:t>
      </w:r>
      <w:r>
        <w:rPr>
          <w:rFonts w:hint="eastAsia"/>
        </w:rPr>
        <w:t xml:space="preserve"> O2O </w:t>
      </w:r>
      <w:r>
        <w:rPr>
          <w:rFonts w:hint="eastAsia"/>
        </w:rPr>
        <w:t>前置</w:t>
      </w:r>
      <w:proofErr w:type="gramStart"/>
      <w:r>
        <w:rPr>
          <w:rFonts w:hint="eastAsia"/>
        </w:rPr>
        <w:t>仓承担线</w:t>
      </w:r>
      <w:proofErr w:type="gramEnd"/>
      <w:r>
        <w:rPr>
          <w:rFonts w:hint="eastAsia"/>
        </w:rPr>
        <w:t>上订单分拣、打包、发货的核心职能，具备订单量大、流转速度快、时效要求严苛的特点。单纯依靠人工拣货，不仅效率难以达标，还容易出现分拣失误、库存数据更新滞后等问题。</w:t>
      </w:r>
      <w:proofErr w:type="gramStart"/>
      <w:r>
        <w:rPr>
          <w:rFonts w:hint="eastAsia"/>
        </w:rPr>
        <w:t>本设备</w:t>
      </w:r>
      <w:proofErr w:type="gramEnd"/>
      <w:r>
        <w:rPr>
          <w:rFonts w:hint="eastAsia"/>
        </w:rPr>
        <w:t>依托高精度视觉识别与自动抓取技术，可快速完成药品分拣与分类打包，同时实现与线上订单系统的数据实时互通，大幅提升订单履约效率与准确率。</w:t>
      </w:r>
    </w:p>
    <w:p w14:paraId="6BB89079" w14:textId="4025728B" w:rsidR="00355B60" w:rsidRDefault="00355B60" w:rsidP="00355B60">
      <w:pPr>
        <w:jc w:val="center"/>
      </w:pPr>
      <w:r w:rsidRPr="00355B60">
        <w:rPr>
          <w:noProof/>
        </w:rPr>
        <w:lastRenderedPageBreak/>
        <w:drawing>
          <wp:inline distT="0" distB="0" distL="0" distR="0" wp14:anchorId="067EB2A2" wp14:editId="72F84BDB">
            <wp:extent cx="5602197" cy="2065245"/>
            <wp:effectExtent l="0" t="0" r="0" b="0"/>
            <wp:docPr id="135015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3773" cy="2073199"/>
                    </a:xfrm>
                    <a:prstGeom prst="rect">
                      <a:avLst/>
                    </a:prstGeom>
                    <a:noFill/>
                    <a:ln>
                      <a:noFill/>
                    </a:ln>
                  </pic:spPr>
                </pic:pic>
              </a:graphicData>
            </a:graphic>
          </wp:inline>
        </w:drawing>
      </w:r>
    </w:p>
    <w:p w14:paraId="7A2EF58D"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25" w:name="_Toc14987"/>
      <w:r>
        <w:rPr>
          <w:rFonts w:ascii="Times New Roman" w:eastAsia="楷体_GB2312" w:hAnsi="Times New Roman" w:cs="Times New Roman" w:hint="eastAsia"/>
          <w:sz w:val="28"/>
          <w:szCs w:val="28"/>
        </w:rPr>
        <w:t xml:space="preserve">3.4 </w:t>
      </w:r>
      <w:r>
        <w:rPr>
          <w:rFonts w:ascii="Times New Roman" w:eastAsia="楷体_GB2312" w:hAnsi="Times New Roman" w:cs="Times New Roman" w:hint="eastAsia"/>
          <w:sz w:val="28"/>
          <w:szCs w:val="28"/>
        </w:rPr>
        <w:t>市场容量</w:t>
      </w:r>
      <w:bookmarkEnd w:id="25"/>
    </w:p>
    <w:p w14:paraId="540B5DC8" w14:textId="2F2DE278" w:rsidR="0034625C" w:rsidRPr="0034625C" w:rsidRDefault="0034625C" w:rsidP="0034625C">
      <w:pPr>
        <w:ind w:firstLineChars="200" w:firstLine="420"/>
      </w:pPr>
      <w:r w:rsidRPr="0034625C">
        <w:t>1.</w:t>
      </w:r>
      <w:r w:rsidRPr="0034625C">
        <w:t>市场概况</w:t>
      </w:r>
    </w:p>
    <w:p w14:paraId="5319AB01" w14:textId="72939CFB" w:rsidR="0034625C" w:rsidRPr="0034625C" w:rsidRDefault="0034625C" w:rsidP="0034625C">
      <w:pPr>
        <w:ind w:firstLineChars="200" w:firstLine="422"/>
      </w:pPr>
      <w:r w:rsidRPr="0034625C">
        <w:rPr>
          <w:b/>
          <w:bCs/>
        </w:rPr>
        <w:t>零售药店（</w:t>
      </w:r>
      <w:r w:rsidRPr="0034625C">
        <w:rPr>
          <w:b/>
          <w:bCs/>
        </w:rPr>
        <w:t>2025Q4</w:t>
      </w:r>
      <w:r w:rsidRPr="0034625C">
        <w:rPr>
          <w:b/>
          <w:bCs/>
        </w:rPr>
        <w:t>，中康</w:t>
      </w:r>
      <w:r w:rsidRPr="0034625C">
        <w:rPr>
          <w:b/>
          <w:bCs/>
        </w:rPr>
        <w:t xml:space="preserve"> CMH</w:t>
      </w:r>
      <w:r w:rsidRPr="0034625C">
        <w:rPr>
          <w:b/>
          <w:bCs/>
        </w:rPr>
        <w:t>）：</w:t>
      </w:r>
      <w:r w:rsidRPr="0034625C">
        <w:t>全国约</w:t>
      </w:r>
      <w:r w:rsidRPr="0034625C">
        <w:t>68.05</w:t>
      </w:r>
      <w:r w:rsidRPr="0034625C">
        <w:t>万家，连锁化率</w:t>
      </w:r>
      <w:r w:rsidRPr="0034625C">
        <w:t>62.3%</w:t>
      </w:r>
      <w:r w:rsidRPr="0034625C">
        <w:t>，对应连锁门店约</w:t>
      </w:r>
      <w:r w:rsidRPr="0034625C">
        <w:t>42.4</w:t>
      </w:r>
      <w:r w:rsidRPr="0034625C">
        <w:t>万家。行业自动化渗透率约</w:t>
      </w:r>
      <w:r w:rsidRPr="0034625C">
        <w:t>0.5%</w:t>
      </w:r>
      <w:r w:rsidRPr="0034625C">
        <w:t>，升级需求强烈。按</w:t>
      </w:r>
      <w:r w:rsidRPr="0034625C">
        <w:t>1%</w:t>
      </w:r>
      <w:r w:rsidRPr="0034625C">
        <w:t>可改造门店测算，约</w:t>
      </w:r>
      <w:r w:rsidRPr="0034625C">
        <w:t>3500</w:t>
      </w:r>
      <w:r w:rsidRPr="0034625C">
        <w:t>家；单店设备</w:t>
      </w:r>
      <w:r w:rsidRPr="0034625C">
        <w:t>+</w:t>
      </w:r>
      <w:r w:rsidRPr="0034625C">
        <w:t>运维均价</w:t>
      </w:r>
      <w:r w:rsidRPr="0034625C">
        <w:t xml:space="preserve">3 </w:t>
      </w:r>
      <w:r w:rsidRPr="0034625C">
        <w:t>万元，短期市场规模超</w:t>
      </w:r>
      <w:r w:rsidRPr="0034625C">
        <w:t>1</w:t>
      </w:r>
      <w:r w:rsidRPr="0034625C">
        <w:t>亿元。</w:t>
      </w:r>
    </w:p>
    <w:p w14:paraId="1AC22E0A" w14:textId="77777777" w:rsidR="0034625C" w:rsidRPr="0034625C" w:rsidRDefault="0034625C" w:rsidP="0034625C">
      <w:pPr>
        <w:ind w:firstLineChars="200" w:firstLine="422"/>
      </w:pPr>
      <w:r w:rsidRPr="0034625C">
        <w:rPr>
          <w:b/>
          <w:bCs/>
        </w:rPr>
        <w:t>基层医疗（</w:t>
      </w:r>
      <w:r w:rsidRPr="0034625C">
        <w:rPr>
          <w:b/>
          <w:bCs/>
        </w:rPr>
        <w:t>2025</w:t>
      </w:r>
      <w:r w:rsidRPr="0034625C">
        <w:rPr>
          <w:b/>
          <w:bCs/>
        </w:rPr>
        <w:t>，国家卫健委）：</w:t>
      </w:r>
      <w:r w:rsidRPr="0034625C">
        <w:t>全国基层医疗卫生机构超</w:t>
      </w:r>
      <w:r w:rsidRPr="0034625C">
        <w:t xml:space="preserve">105 </w:t>
      </w:r>
      <w:r w:rsidRPr="0034625C">
        <w:t>万个河北省卫生健康委员会，自动化渗透率不足</w:t>
      </w:r>
      <w:r w:rsidRPr="0034625C">
        <w:t>0.3%</w:t>
      </w:r>
      <w:r w:rsidRPr="0034625C">
        <w:t>，市场近乎空白。随拓展至诊所、养老机构、校园医务室等，终端持续扩容。</w:t>
      </w:r>
    </w:p>
    <w:p w14:paraId="266D05F5" w14:textId="535FB267" w:rsidR="0034625C" w:rsidRDefault="0034625C" w:rsidP="0034625C">
      <w:pPr>
        <w:ind w:firstLineChars="200" w:firstLine="422"/>
      </w:pPr>
      <w:r w:rsidRPr="0034625C">
        <w:rPr>
          <w:b/>
          <w:bCs/>
        </w:rPr>
        <w:t>整体潜力：</w:t>
      </w:r>
      <w:r w:rsidRPr="0034625C">
        <w:t>依托海量基数</w:t>
      </w:r>
      <w:r w:rsidRPr="0034625C">
        <w:t>+</w:t>
      </w:r>
      <w:r w:rsidRPr="0034625C">
        <w:t>极低渗透，项目中长期潜在规模达百亿级，规模化前景明确。</w:t>
      </w:r>
    </w:p>
    <w:p w14:paraId="2EA9439D" w14:textId="77777777" w:rsidR="00B40675" w:rsidRPr="0034625C" w:rsidRDefault="00B40675" w:rsidP="0034625C">
      <w:pPr>
        <w:ind w:firstLineChars="200" w:firstLine="420"/>
      </w:pPr>
    </w:p>
    <w:p w14:paraId="3F8A570E" w14:textId="1127A381" w:rsidR="0034625C" w:rsidRPr="0034625C" w:rsidRDefault="0034625C" w:rsidP="0034625C">
      <w:pPr>
        <w:ind w:firstLineChars="200" w:firstLine="420"/>
      </w:pPr>
      <w:r>
        <w:rPr>
          <w:rFonts w:hint="eastAsia"/>
        </w:rPr>
        <w:t>2.</w:t>
      </w:r>
      <w:r w:rsidRPr="0034625C">
        <w:t>核心测算逻辑（</w:t>
      </w:r>
      <w:r w:rsidRPr="0034625C">
        <w:t>2027-2029</w:t>
      </w:r>
      <w:r w:rsidRPr="0034625C">
        <w:t>）</w:t>
      </w:r>
    </w:p>
    <w:p w14:paraId="393A7FC4" w14:textId="41568BF2" w:rsidR="0034625C" w:rsidRPr="0034625C" w:rsidRDefault="0034625C" w:rsidP="0034625C">
      <w:pPr>
        <w:ind w:firstLineChars="200" w:firstLine="420"/>
      </w:pPr>
      <w:r w:rsidRPr="0034625C">
        <w:t>采用</w:t>
      </w:r>
      <w:r w:rsidRPr="0034625C">
        <w:t xml:space="preserve"> “</w:t>
      </w:r>
      <w:r w:rsidRPr="0034625C">
        <w:t>头部药店（短期）</w:t>
      </w:r>
      <w:r w:rsidRPr="0034625C">
        <w:t xml:space="preserve">+ </w:t>
      </w:r>
      <w:r w:rsidRPr="0034625C">
        <w:t>基层医疗（长期）</w:t>
      </w:r>
      <w:r w:rsidRPr="0034625C">
        <w:t xml:space="preserve">+O2O </w:t>
      </w:r>
      <w:r w:rsidRPr="0034625C">
        <w:t>前置仓（高价值）</w:t>
      </w:r>
      <w:r w:rsidRPr="0034625C">
        <w:t xml:space="preserve">” </w:t>
      </w:r>
      <w:r w:rsidRPr="0034625C">
        <w:t>三轨模型，分保守</w:t>
      </w:r>
      <w:r>
        <w:rPr>
          <w:rFonts w:hint="eastAsia"/>
        </w:rPr>
        <w:t>、</w:t>
      </w:r>
      <w:r w:rsidRPr="0034625C">
        <w:t>中性</w:t>
      </w:r>
      <w:r>
        <w:rPr>
          <w:rFonts w:hint="eastAsia"/>
        </w:rPr>
        <w:t>、</w:t>
      </w:r>
      <w:r w:rsidRPr="0034625C">
        <w:t>乐观渗透率预测。</w:t>
      </w:r>
    </w:p>
    <w:p w14:paraId="14444737" w14:textId="30439B8E" w:rsidR="0034625C" w:rsidRPr="0034625C" w:rsidRDefault="0034625C" w:rsidP="0034625C">
      <w:pPr>
        <w:ind w:firstLineChars="200" w:firstLine="420"/>
      </w:pPr>
      <w:r w:rsidRPr="0034625C">
        <w:t>连锁药店（核心存量）：</w:t>
      </w:r>
      <w:r w:rsidRPr="0034625C">
        <w:t>42.4</w:t>
      </w:r>
      <w:r w:rsidRPr="0034625C">
        <w:t>万家连锁门店，降本增效诉求强、付费意愿高，为前期核心目标。</w:t>
      </w:r>
    </w:p>
    <w:p w14:paraId="1A6CC7A0" w14:textId="1A130214" w:rsidR="0034625C" w:rsidRPr="0034625C" w:rsidRDefault="0034625C" w:rsidP="0034625C">
      <w:pPr>
        <w:ind w:firstLineChars="200" w:firstLine="420"/>
      </w:pPr>
      <w:r w:rsidRPr="0034625C">
        <w:t>基层医疗机构（增量天花板）：</w:t>
      </w:r>
      <w:r w:rsidRPr="0034625C">
        <w:t>105</w:t>
      </w:r>
      <w:r w:rsidRPr="0034625C">
        <w:t>万</w:t>
      </w:r>
      <w:r w:rsidRPr="0034625C">
        <w:t>+</w:t>
      </w:r>
      <w:r w:rsidRPr="0034625C">
        <w:t>机构，付费周期偏长，但政策驱动智能化改造空间巨大，决定中长期规模上限河北省卫生健康委员会。</w:t>
      </w:r>
    </w:p>
    <w:p w14:paraId="6A3457D8" w14:textId="2447245D" w:rsidR="00E93FEF" w:rsidRDefault="0034625C" w:rsidP="0034625C">
      <w:pPr>
        <w:ind w:firstLineChars="200" w:firstLine="420"/>
      </w:pPr>
      <w:r w:rsidRPr="0034625C">
        <w:t>O2O</w:t>
      </w:r>
      <w:r w:rsidRPr="0034625C">
        <w:t>前置仓（高价值突破点）：头部平台前置仓及大店约</w:t>
      </w:r>
      <w:r w:rsidRPr="0034625C">
        <w:t>2</w:t>
      </w:r>
      <w:r w:rsidRPr="0034625C">
        <w:t>万家，订单密度高、自动化分拣需求刚性、客单价更高财新网。</w:t>
      </w:r>
    </w:p>
    <w:tbl>
      <w:tblPr>
        <w:tblStyle w:val="1"/>
        <w:tblW w:w="8523" w:type="dxa"/>
        <w:tblLook w:val="04A0" w:firstRow="1" w:lastRow="0" w:firstColumn="1" w:lastColumn="0" w:noHBand="0" w:noVBand="1"/>
      </w:tblPr>
      <w:tblGrid>
        <w:gridCol w:w="1668"/>
        <w:gridCol w:w="1559"/>
        <w:gridCol w:w="1559"/>
        <w:gridCol w:w="1276"/>
        <w:gridCol w:w="1276"/>
        <w:gridCol w:w="1185"/>
      </w:tblGrid>
      <w:tr w:rsidR="00B40675" w:rsidRPr="00B40675" w14:paraId="3422B3E6" w14:textId="77777777" w:rsidTr="00B40675">
        <w:trPr>
          <w:cnfStyle w:val="100000000000" w:firstRow="1" w:lastRow="0" w:firstColumn="0" w:lastColumn="0" w:oddVBand="0" w:evenVBand="0" w:oddHBand="0" w:evenHBand="0" w:firstRowFirstColumn="0" w:firstRowLastColumn="0" w:lastRowFirstColumn="0" w:lastRowLastColumn="0"/>
        </w:trPr>
        <w:tc>
          <w:tcPr>
            <w:tcW w:w="1668" w:type="dxa"/>
            <w:hideMark/>
          </w:tcPr>
          <w:p w14:paraId="5854E970" w14:textId="77777777" w:rsidR="00B40675" w:rsidRPr="00B40675" w:rsidRDefault="00B40675" w:rsidP="00B40675">
            <w:pPr>
              <w:keepNext/>
              <w:widowControl/>
              <w:spacing w:line="375" w:lineRule="atLeast"/>
              <w:jc w:val="left"/>
              <w:rPr>
                <w:rFonts w:asciiTheme="minorHAnsi" w:eastAsia="黑体" w:hAnsiTheme="minorHAnsi" w:cstheme="minorHAnsi"/>
                <w:color w:val="0F1115"/>
                <w:kern w:val="0"/>
                <w:szCs w:val="21"/>
              </w:rPr>
            </w:pPr>
            <w:r w:rsidRPr="00B40675">
              <w:rPr>
                <w:rFonts w:asciiTheme="minorHAnsi" w:eastAsia="黑体" w:hAnsiTheme="minorHAnsi" w:cstheme="minorHAnsi"/>
                <w:color w:val="0F1115"/>
                <w:kern w:val="0"/>
                <w:szCs w:val="21"/>
              </w:rPr>
              <w:lastRenderedPageBreak/>
              <w:t>客户细分</w:t>
            </w:r>
          </w:p>
        </w:tc>
        <w:tc>
          <w:tcPr>
            <w:tcW w:w="1559" w:type="dxa"/>
            <w:hideMark/>
          </w:tcPr>
          <w:p w14:paraId="4C8C45F4" w14:textId="77777777" w:rsidR="00B40675" w:rsidRPr="00B40675" w:rsidRDefault="00B40675" w:rsidP="00B40675">
            <w:pPr>
              <w:keepNext/>
              <w:widowControl/>
              <w:spacing w:line="375" w:lineRule="atLeast"/>
              <w:jc w:val="left"/>
              <w:rPr>
                <w:rFonts w:asciiTheme="minorHAnsi" w:eastAsia="黑体" w:hAnsiTheme="minorHAnsi" w:cstheme="minorHAnsi"/>
                <w:color w:val="0F1115"/>
                <w:kern w:val="0"/>
                <w:szCs w:val="21"/>
              </w:rPr>
            </w:pPr>
            <w:r w:rsidRPr="00B40675">
              <w:rPr>
                <w:rFonts w:asciiTheme="minorHAnsi" w:eastAsia="黑体" w:hAnsiTheme="minorHAnsi" w:cstheme="minorHAnsi"/>
                <w:color w:val="0F1115"/>
                <w:kern w:val="0"/>
                <w:szCs w:val="21"/>
              </w:rPr>
              <w:t>总基数（万家）</w:t>
            </w:r>
          </w:p>
        </w:tc>
        <w:tc>
          <w:tcPr>
            <w:tcW w:w="1559" w:type="dxa"/>
            <w:hideMark/>
          </w:tcPr>
          <w:p w14:paraId="3C647A6E" w14:textId="77777777" w:rsidR="00B40675" w:rsidRPr="00B40675" w:rsidRDefault="00B40675" w:rsidP="00B40675">
            <w:pPr>
              <w:keepNext/>
              <w:widowControl/>
              <w:spacing w:line="375" w:lineRule="atLeast"/>
              <w:jc w:val="left"/>
              <w:rPr>
                <w:rFonts w:asciiTheme="minorHAnsi" w:eastAsia="黑体" w:hAnsiTheme="minorHAnsi" w:cstheme="minorHAnsi"/>
                <w:color w:val="0F1115"/>
                <w:kern w:val="0"/>
                <w:szCs w:val="21"/>
              </w:rPr>
            </w:pPr>
            <w:r w:rsidRPr="00B40675">
              <w:rPr>
                <w:rFonts w:asciiTheme="minorHAnsi" w:eastAsia="黑体" w:hAnsiTheme="minorHAnsi" w:cstheme="minorHAnsi"/>
                <w:color w:val="0F1115"/>
                <w:kern w:val="0"/>
                <w:szCs w:val="21"/>
              </w:rPr>
              <w:t>测算维度</w:t>
            </w:r>
          </w:p>
        </w:tc>
        <w:tc>
          <w:tcPr>
            <w:tcW w:w="1276" w:type="dxa"/>
            <w:hideMark/>
          </w:tcPr>
          <w:p w14:paraId="75B9B12A" w14:textId="77777777" w:rsidR="00B40675" w:rsidRPr="00B40675" w:rsidRDefault="00B40675" w:rsidP="00B40675">
            <w:pPr>
              <w:keepNext/>
              <w:widowControl/>
              <w:spacing w:line="375" w:lineRule="atLeast"/>
              <w:jc w:val="left"/>
              <w:rPr>
                <w:rFonts w:asciiTheme="minorHAnsi" w:eastAsia="黑体" w:hAnsiTheme="minorHAnsi" w:cstheme="minorHAnsi"/>
                <w:color w:val="0F1115"/>
                <w:kern w:val="0"/>
                <w:szCs w:val="21"/>
              </w:rPr>
            </w:pPr>
            <w:r w:rsidRPr="00B40675">
              <w:rPr>
                <w:rFonts w:asciiTheme="minorHAnsi" w:eastAsia="黑体" w:hAnsiTheme="minorHAnsi" w:cstheme="minorHAnsi"/>
                <w:color w:val="0F1115"/>
                <w:kern w:val="0"/>
                <w:szCs w:val="21"/>
              </w:rPr>
              <w:t>保守场景</w:t>
            </w:r>
          </w:p>
        </w:tc>
        <w:tc>
          <w:tcPr>
            <w:tcW w:w="1276" w:type="dxa"/>
            <w:hideMark/>
          </w:tcPr>
          <w:p w14:paraId="6FCE84FA" w14:textId="77777777" w:rsidR="00B40675" w:rsidRPr="00B40675" w:rsidRDefault="00B40675" w:rsidP="00B40675">
            <w:pPr>
              <w:keepNext/>
              <w:widowControl/>
              <w:spacing w:line="375" w:lineRule="atLeast"/>
              <w:jc w:val="left"/>
              <w:rPr>
                <w:rFonts w:asciiTheme="minorHAnsi" w:eastAsia="黑体" w:hAnsiTheme="minorHAnsi" w:cstheme="minorHAnsi"/>
                <w:color w:val="0F1115"/>
                <w:kern w:val="0"/>
                <w:szCs w:val="21"/>
              </w:rPr>
            </w:pPr>
            <w:r w:rsidRPr="00B40675">
              <w:rPr>
                <w:rFonts w:asciiTheme="minorHAnsi" w:eastAsia="黑体" w:hAnsiTheme="minorHAnsi" w:cstheme="minorHAnsi"/>
                <w:color w:val="0F1115"/>
                <w:kern w:val="0"/>
                <w:szCs w:val="21"/>
              </w:rPr>
              <w:t>中性场景</w:t>
            </w:r>
          </w:p>
        </w:tc>
        <w:tc>
          <w:tcPr>
            <w:tcW w:w="1185" w:type="dxa"/>
            <w:hideMark/>
          </w:tcPr>
          <w:p w14:paraId="60D05A3D" w14:textId="77777777" w:rsidR="00B40675" w:rsidRPr="00B40675" w:rsidRDefault="00B40675" w:rsidP="00B40675">
            <w:pPr>
              <w:keepNext/>
              <w:widowControl/>
              <w:spacing w:line="375" w:lineRule="atLeast"/>
              <w:jc w:val="left"/>
              <w:rPr>
                <w:rFonts w:asciiTheme="minorHAnsi" w:eastAsia="黑体" w:hAnsiTheme="minorHAnsi" w:cstheme="minorHAnsi"/>
                <w:color w:val="0F1115"/>
                <w:kern w:val="0"/>
                <w:szCs w:val="21"/>
              </w:rPr>
            </w:pPr>
            <w:r w:rsidRPr="00B40675">
              <w:rPr>
                <w:rFonts w:asciiTheme="minorHAnsi" w:eastAsia="黑体" w:hAnsiTheme="minorHAnsi" w:cstheme="minorHAnsi"/>
                <w:color w:val="0F1115"/>
                <w:kern w:val="0"/>
                <w:szCs w:val="21"/>
              </w:rPr>
              <w:t>乐观场景</w:t>
            </w:r>
          </w:p>
        </w:tc>
      </w:tr>
      <w:tr w:rsidR="00B40675" w:rsidRPr="00B40675" w14:paraId="144D7D3A" w14:textId="77777777" w:rsidTr="00B40675">
        <w:tc>
          <w:tcPr>
            <w:tcW w:w="1668" w:type="dxa"/>
            <w:hideMark/>
          </w:tcPr>
          <w:p w14:paraId="325C3AF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连锁药店</w:t>
            </w:r>
          </w:p>
        </w:tc>
        <w:tc>
          <w:tcPr>
            <w:tcW w:w="1559" w:type="dxa"/>
            <w:hideMark/>
          </w:tcPr>
          <w:p w14:paraId="174E3F31"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42.4</w:t>
            </w:r>
          </w:p>
        </w:tc>
        <w:tc>
          <w:tcPr>
            <w:tcW w:w="1559" w:type="dxa"/>
            <w:hideMark/>
          </w:tcPr>
          <w:p w14:paraId="2FDAF625"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Y1</w:t>
            </w:r>
            <w:r w:rsidRPr="00B40675">
              <w:rPr>
                <w:rFonts w:asciiTheme="minorHAnsi" w:hAnsiTheme="minorHAnsi" w:cstheme="minorHAnsi"/>
                <w:color w:val="0F1115"/>
                <w:kern w:val="0"/>
                <w:szCs w:val="21"/>
              </w:rPr>
              <w:t>渗透率</w:t>
            </w:r>
          </w:p>
        </w:tc>
        <w:tc>
          <w:tcPr>
            <w:tcW w:w="1276" w:type="dxa"/>
            <w:hideMark/>
          </w:tcPr>
          <w:p w14:paraId="7E21BDE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0.1%</w:t>
            </w:r>
          </w:p>
        </w:tc>
        <w:tc>
          <w:tcPr>
            <w:tcW w:w="1276" w:type="dxa"/>
            <w:hideMark/>
          </w:tcPr>
          <w:p w14:paraId="6F7E7C2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0.2%</w:t>
            </w:r>
          </w:p>
        </w:tc>
        <w:tc>
          <w:tcPr>
            <w:tcW w:w="1185" w:type="dxa"/>
            <w:hideMark/>
          </w:tcPr>
          <w:p w14:paraId="626D406D"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0.3%</w:t>
            </w:r>
          </w:p>
        </w:tc>
      </w:tr>
      <w:tr w:rsidR="00B40675" w:rsidRPr="00B40675" w14:paraId="0B9302D1" w14:textId="77777777" w:rsidTr="00B40675">
        <w:tc>
          <w:tcPr>
            <w:tcW w:w="1668" w:type="dxa"/>
            <w:hideMark/>
          </w:tcPr>
          <w:p w14:paraId="7BC9D58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0912D7B2"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32E98E2C"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Y2</w:t>
            </w:r>
            <w:r w:rsidRPr="00B40675">
              <w:rPr>
                <w:rFonts w:asciiTheme="minorHAnsi" w:hAnsiTheme="minorHAnsi" w:cstheme="minorHAnsi"/>
                <w:color w:val="0F1115"/>
                <w:kern w:val="0"/>
                <w:szCs w:val="21"/>
              </w:rPr>
              <w:t>渗透率</w:t>
            </w:r>
          </w:p>
        </w:tc>
        <w:tc>
          <w:tcPr>
            <w:tcW w:w="1276" w:type="dxa"/>
            <w:hideMark/>
          </w:tcPr>
          <w:p w14:paraId="450004E7"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0.3%</w:t>
            </w:r>
          </w:p>
        </w:tc>
        <w:tc>
          <w:tcPr>
            <w:tcW w:w="1276" w:type="dxa"/>
            <w:hideMark/>
          </w:tcPr>
          <w:p w14:paraId="2CC8E05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0.5%</w:t>
            </w:r>
          </w:p>
        </w:tc>
        <w:tc>
          <w:tcPr>
            <w:tcW w:w="1185" w:type="dxa"/>
            <w:hideMark/>
          </w:tcPr>
          <w:p w14:paraId="315456C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0.8%</w:t>
            </w:r>
          </w:p>
        </w:tc>
      </w:tr>
      <w:tr w:rsidR="00B40675" w:rsidRPr="00B40675" w14:paraId="32893A24" w14:textId="77777777" w:rsidTr="00B40675">
        <w:tc>
          <w:tcPr>
            <w:tcW w:w="1668" w:type="dxa"/>
            <w:hideMark/>
          </w:tcPr>
          <w:p w14:paraId="21DFC79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20F7F5FF"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63A4F5D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Y3</w:t>
            </w:r>
            <w:r w:rsidRPr="00B40675">
              <w:rPr>
                <w:rFonts w:asciiTheme="minorHAnsi" w:hAnsiTheme="minorHAnsi" w:cstheme="minorHAnsi"/>
                <w:color w:val="0F1115"/>
                <w:kern w:val="0"/>
                <w:szCs w:val="21"/>
              </w:rPr>
              <w:t>渗透率</w:t>
            </w:r>
          </w:p>
        </w:tc>
        <w:tc>
          <w:tcPr>
            <w:tcW w:w="1276" w:type="dxa"/>
            <w:hideMark/>
          </w:tcPr>
          <w:p w14:paraId="4A7796B7"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0.6%</w:t>
            </w:r>
          </w:p>
        </w:tc>
        <w:tc>
          <w:tcPr>
            <w:tcW w:w="1276" w:type="dxa"/>
            <w:hideMark/>
          </w:tcPr>
          <w:p w14:paraId="68DDB60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1.0%</w:t>
            </w:r>
          </w:p>
        </w:tc>
        <w:tc>
          <w:tcPr>
            <w:tcW w:w="1185" w:type="dxa"/>
            <w:hideMark/>
          </w:tcPr>
          <w:p w14:paraId="1C9C482A"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1.5%</w:t>
            </w:r>
          </w:p>
        </w:tc>
      </w:tr>
      <w:tr w:rsidR="00B40675" w:rsidRPr="00B40675" w14:paraId="3D0051E9" w14:textId="77777777" w:rsidTr="00B40675">
        <w:tc>
          <w:tcPr>
            <w:tcW w:w="1668" w:type="dxa"/>
            <w:hideMark/>
          </w:tcPr>
          <w:p w14:paraId="55884A79"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689DE42A"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0C4701CB"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综合客单价</w:t>
            </w:r>
          </w:p>
        </w:tc>
        <w:tc>
          <w:tcPr>
            <w:tcW w:w="1276" w:type="dxa"/>
            <w:hideMark/>
          </w:tcPr>
          <w:p w14:paraId="1B1C76C1"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1.8</w:t>
            </w:r>
            <w:r w:rsidRPr="00B40675">
              <w:rPr>
                <w:rFonts w:asciiTheme="minorHAnsi" w:hAnsiTheme="minorHAnsi" w:cstheme="minorHAnsi"/>
                <w:color w:val="0F1115"/>
                <w:kern w:val="0"/>
                <w:szCs w:val="21"/>
              </w:rPr>
              <w:t>万元</w:t>
            </w:r>
          </w:p>
        </w:tc>
        <w:tc>
          <w:tcPr>
            <w:tcW w:w="1276" w:type="dxa"/>
            <w:hideMark/>
          </w:tcPr>
          <w:p w14:paraId="2E0491D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2.0</w:t>
            </w:r>
            <w:r w:rsidRPr="00B40675">
              <w:rPr>
                <w:rFonts w:asciiTheme="minorHAnsi" w:hAnsiTheme="minorHAnsi" w:cstheme="minorHAnsi"/>
                <w:color w:val="0F1115"/>
                <w:kern w:val="0"/>
                <w:szCs w:val="21"/>
              </w:rPr>
              <w:t>万元</w:t>
            </w:r>
          </w:p>
        </w:tc>
        <w:tc>
          <w:tcPr>
            <w:tcW w:w="1185" w:type="dxa"/>
            <w:hideMark/>
          </w:tcPr>
          <w:p w14:paraId="005AF89D"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2.5</w:t>
            </w:r>
            <w:r w:rsidRPr="00B40675">
              <w:rPr>
                <w:rFonts w:asciiTheme="minorHAnsi" w:hAnsiTheme="minorHAnsi" w:cstheme="minorHAnsi"/>
                <w:color w:val="0F1115"/>
                <w:kern w:val="0"/>
                <w:szCs w:val="21"/>
              </w:rPr>
              <w:t>万元</w:t>
            </w:r>
          </w:p>
        </w:tc>
      </w:tr>
      <w:tr w:rsidR="00B40675" w:rsidRPr="00B40675" w14:paraId="252225CE" w14:textId="77777777" w:rsidTr="00B40675">
        <w:tc>
          <w:tcPr>
            <w:tcW w:w="1668" w:type="dxa"/>
            <w:hideMark/>
          </w:tcPr>
          <w:p w14:paraId="50533E4C"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基层医疗机构</w:t>
            </w:r>
          </w:p>
        </w:tc>
        <w:tc>
          <w:tcPr>
            <w:tcW w:w="1559" w:type="dxa"/>
            <w:hideMark/>
          </w:tcPr>
          <w:p w14:paraId="2489CBFE"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105</w:t>
            </w:r>
          </w:p>
        </w:tc>
        <w:tc>
          <w:tcPr>
            <w:tcW w:w="1559" w:type="dxa"/>
            <w:hideMark/>
          </w:tcPr>
          <w:p w14:paraId="556395B4"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Y1</w:t>
            </w:r>
            <w:r w:rsidRPr="00B40675">
              <w:rPr>
                <w:rFonts w:asciiTheme="minorHAnsi" w:hAnsiTheme="minorHAnsi" w:cstheme="minorHAnsi"/>
                <w:color w:val="0F1115"/>
                <w:kern w:val="0"/>
                <w:szCs w:val="21"/>
              </w:rPr>
              <w:t>渗透率</w:t>
            </w:r>
          </w:p>
        </w:tc>
        <w:tc>
          <w:tcPr>
            <w:tcW w:w="1276" w:type="dxa"/>
            <w:hideMark/>
          </w:tcPr>
          <w:p w14:paraId="687310B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0.005%</w:t>
            </w:r>
          </w:p>
        </w:tc>
        <w:tc>
          <w:tcPr>
            <w:tcW w:w="1276" w:type="dxa"/>
            <w:hideMark/>
          </w:tcPr>
          <w:p w14:paraId="21549BF7"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0.01%</w:t>
            </w:r>
          </w:p>
        </w:tc>
        <w:tc>
          <w:tcPr>
            <w:tcW w:w="1185" w:type="dxa"/>
            <w:hideMark/>
          </w:tcPr>
          <w:p w14:paraId="45F00CA6"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0.02%</w:t>
            </w:r>
          </w:p>
        </w:tc>
      </w:tr>
      <w:tr w:rsidR="00B40675" w:rsidRPr="00B40675" w14:paraId="3529E693" w14:textId="77777777" w:rsidTr="00B40675">
        <w:tc>
          <w:tcPr>
            <w:tcW w:w="1668" w:type="dxa"/>
            <w:hideMark/>
          </w:tcPr>
          <w:p w14:paraId="2A112016"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6E08B412"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5EF10CB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Y2</w:t>
            </w:r>
            <w:r w:rsidRPr="00B40675">
              <w:rPr>
                <w:rFonts w:asciiTheme="minorHAnsi" w:hAnsiTheme="minorHAnsi" w:cstheme="minorHAnsi"/>
                <w:color w:val="0F1115"/>
                <w:kern w:val="0"/>
                <w:szCs w:val="21"/>
              </w:rPr>
              <w:t>渗透率</w:t>
            </w:r>
          </w:p>
        </w:tc>
        <w:tc>
          <w:tcPr>
            <w:tcW w:w="1276" w:type="dxa"/>
            <w:hideMark/>
          </w:tcPr>
          <w:p w14:paraId="60811A19"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0.01%</w:t>
            </w:r>
          </w:p>
        </w:tc>
        <w:tc>
          <w:tcPr>
            <w:tcW w:w="1276" w:type="dxa"/>
            <w:hideMark/>
          </w:tcPr>
          <w:p w14:paraId="53D3209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0.03%</w:t>
            </w:r>
          </w:p>
        </w:tc>
        <w:tc>
          <w:tcPr>
            <w:tcW w:w="1185" w:type="dxa"/>
            <w:hideMark/>
          </w:tcPr>
          <w:p w14:paraId="65958C07"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0.05%</w:t>
            </w:r>
          </w:p>
        </w:tc>
      </w:tr>
      <w:tr w:rsidR="00B40675" w:rsidRPr="00B40675" w14:paraId="1AEC9F4E" w14:textId="77777777" w:rsidTr="00B40675">
        <w:tc>
          <w:tcPr>
            <w:tcW w:w="1668" w:type="dxa"/>
            <w:hideMark/>
          </w:tcPr>
          <w:p w14:paraId="237F5CD0"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68184F02"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079BE974"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Y3</w:t>
            </w:r>
            <w:r w:rsidRPr="00B40675">
              <w:rPr>
                <w:rFonts w:asciiTheme="minorHAnsi" w:hAnsiTheme="minorHAnsi" w:cstheme="minorHAnsi"/>
                <w:color w:val="0F1115"/>
                <w:kern w:val="0"/>
                <w:szCs w:val="21"/>
              </w:rPr>
              <w:t>渗透率</w:t>
            </w:r>
          </w:p>
        </w:tc>
        <w:tc>
          <w:tcPr>
            <w:tcW w:w="1276" w:type="dxa"/>
            <w:hideMark/>
          </w:tcPr>
          <w:p w14:paraId="0357C5E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0.03%</w:t>
            </w:r>
          </w:p>
        </w:tc>
        <w:tc>
          <w:tcPr>
            <w:tcW w:w="1276" w:type="dxa"/>
            <w:hideMark/>
          </w:tcPr>
          <w:p w14:paraId="59511D8A"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0.05%</w:t>
            </w:r>
          </w:p>
        </w:tc>
        <w:tc>
          <w:tcPr>
            <w:tcW w:w="1185" w:type="dxa"/>
            <w:hideMark/>
          </w:tcPr>
          <w:p w14:paraId="17E72E6C"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0.1%</w:t>
            </w:r>
          </w:p>
        </w:tc>
      </w:tr>
      <w:tr w:rsidR="00B40675" w:rsidRPr="00B40675" w14:paraId="5B9C8C15" w14:textId="77777777" w:rsidTr="00B40675">
        <w:tc>
          <w:tcPr>
            <w:tcW w:w="1668" w:type="dxa"/>
            <w:hideMark/>
          </w:tcPr>
          <w:p w14:paraId="02A8446A"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0C553827"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3C57F900"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综合客单价</w:t>
            </w:r>
          </w:p>
        </w:tc>
        <w:tc>
          <w:tcPr>
            <w:tcW w:w="1276" w:type="dxa"/>
            <w:hideMark/>
          </w:tcPr>
          <w:p w14:paraId="15F854C0"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1.0</w:t>
            </w:r>
            <w:r w:rsidRPr="00B40675">
              <w:rPr>
                <w:rFonts w:asciiTheme="minorHAnsi" w:hAnsiTheme="minorHAnsi" w:cstheme="minorHAnsi"/>
                <w:color w:val="0F1115"/>
                <w:kern w:val="0"/>
                <w:szCs w:val="21"/>
              </w:rPr>
              <w:t>万元</w:t>
            </w:r>
          </w:p>
        </w:tc>
        <w:tc>
          <w:tcPr>
            <w:tcW w:w="1276" w:type="dxa"/>
            <w:hideMark/>
          </w:tcPr>
          <w:p w14:paraId="72D8198C"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1.2</w:t>
            </w:r>
            <w:r w:rsidRPr="00B40675">
              <w:rPr>
                <w:rFonts w:asciiTheme="minorHAnsi" w:hAnsiTheme="minorHAnsi" w:cstheme="minorHAnsi"/>
                <w:color w:val="0F1115"/>
                <w:kern w:val="0"/>
                <w:szCs w:val="21"/>
              </w:rPr>
              <w:t>万元</w:t>
            </w:r>
          </w:p>
        </w:tc>
        <w:tc>
          <w:tcPr>
            <w:tcW w:w="1185" w:type="dxa"/>
            <w:hideMark/>
          </w:tcPr>
          <w:p w14:paraId="6758FADB"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1.5</w:t>
            </w:r>
            <w:r w:rsidRPr="00B40675">
              <w:rPr>
                <w:rFonts w:asciiTheme="minorHAnsi" w:hAnsiTheme="minorHAnsi" w:cstheme="minorHAnsi"/>
                <w:color w:val="0F1115"/>
                <w:kern w:val="0"/>
                <w:szCs w:val="21"/>
              </w:rPr>
              <w:t>万元</w:t>
            </w:r>
          </w:p>
        </w:tc>
      </w:tr>
      <w:tr w:rsidR="00B40675" w:rsidRPr="00B40675" w14:paraId="297955B4" w14:textId="77777777" w:rsidTr="00B40675">
        <w:tc>
          <w:tcPr>
            <w:tcW w:w="1668" w:type="dxa"/>
            <w:hideMark/>
          </w:tcPr>
          <w:p w14:paraId="1FB6EA6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O2O</w:t>
            </w:r>
            <w:r w:rsidRPr="00B40675">
              <w:rPr>
                <w:rFonts w:asciiTheme="minorHAnsi" w:hAnsiTheme="minorHAnsi" w:cstheme="minorHAnsi"/>
                <w:b/>
                <w:bCs/>
                <w:color w:val="0F1115"/>
                <w:kern w:val="0"/>
                <w:szCs w:val="21"/>
              </w:rPr>
              <w:t>前置仓</w:t>
            </w:r>
          </w:p>
        </w:tc>
        <w:tc>
          <w:tcPr>
            <w:tcW w:w="1559" w:type="dxa"/>
            <w:hideMark/>
          </w:tcPr>
          <w:p w14:paraId="474A6288"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2</w:t>
            </w:r>
          </w:p>
        </w:tc>
        <w:tc>
          <w:tcPr>
            <w:tcW w:w="1559" w:type="dxa"/>
            <w:hideMark/>
          </w:tcPr>
          <w:p w14:paraId="0BB2C657"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Y1</w:t>
            </w:r>
            <w:r w:rsidRPr="00B40675">
              <w:rPr>
                <w:rFonts w:asciiTheme="minorHAnsi" w:hAnsiTheme="minorHAnsi" w:cstheme="minorHAnsi"/>
                <w:color w:val="0F1115"/>
                <w:kern w:val="0"/>
                <w:szCs w:val="21"/>
              </w:rPr>
              <w:t>渗透率</w:t>
            </w:r>
          </w:p>
        </w:tc>
        <w:tc>
          <w:tcPr>
            <w:tcW w:w="1276" w:type="dxa"/>
            <w:hideMark/>
          </w:tcPr>
          <w:p w14:paraId="646F9D4B"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0.2%</w:t>
            </w:r>
          </w:p>
        </w:tc>
        <w:tc>
          <w:tcPr>
            <w:tcW w:w="1276" w:type="dxa"/>
            <w:hideMark/>
          </w:tcPr>
          <w:p w14:paraId="28F22E19"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0.5%</w:t>
            </w:r>
          </w:p>
        </w:tc>
        <w:tc>
          <w:tcPr>
            <w:tcW w:w="1185" w:type="dxa"/>
            <w:hideMark/>
          </w:tcPr>
          <w:p w14:paraId="6DDF457A"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0.8%</w:t>
            </w:r>
          </w:p>
        </w:tc>
      </w:tr>
      <w:tr w:rsidR="00B40675" w:rsidRPr="00B40675" w14:paraId="7BB1C7FC" w14:textId="77777777" w:rsidTr="00B40675">
        <w:tc>
          <w:tcPr>
            <w:tcW w:w="1668" w:type="dxa"/>
            <w:hideMark/>
          </w:tcPr>
          <w:p w14:paraId="2ED9A1F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6E26ACA9"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5CBAB0E0"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Y2</w:t>
            </w:r>
            <w:r w:rsidRPr="00B40675">
              <w:rPr>
                <w:rFonts w:asciiTheme="minorHAnsi" w:hAnsiTheme="minorHAnsi" w:cstheme="minorHAnsi"/>
                <w:color w:val="0F1115"/>
                <w:kern w:val="0"/>
                <w:szCs w:val="21"/>
              </w:rPr>
              <w:t>渗透率</w:t>
            </w:r>
          </w:p>
        </w:tc>
        <w:tc>
          <w:tcPr>
            <w:tcW w:w="1276" w:type="dxa"/>
            <w:hideMark/>
          </w:tcPr>
          <w:p w14:paraId="0120675B"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0.5%</w:t>
            </w:r>
          </w:p>
        </w:tc>
        <w:tc>
          <w:tcPr>
            <w:tcW w:w="1276" w:type="dxa"/>
            <w:hideMark/>
          </w:tcPr>
          <w:p w14:paraId="5329C9B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1.0%</w:t>
            </w:r>
          </w:p>
        </w:tc>
        <w:tc>
          <w:tcPr>
            <w:tcW w:w="1185" w:type="dxa"/>
            <w:hideMark/>
          </w:tcPr>
          <w:p w14:paraId="052BC85A"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2.0%</w:t>
            </w:r>
          </w:p>
        </w:tc>
      </w:tr>
      <w:tr w:rsidR="00B40675" w:rsidRPr="00B40675" w14:paraId="456FF2CF" w14:textId="77777777" w:rsidTr="00B40675">
        <w:tc>
          <w:tcPr>
            <w:tcW w:w="1668" w:type="dxa"/>
            <w:hideMark/>
          </w:tcPr>
          <w:p w14:paraId="6E51FD97"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5A7A6B30"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256EE87B"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Y3</w:t>
            </w:r>
            <w:r w:rsidRPr="00B40675">
              <w:rPr>
                <w:rFonts w:asciiTheme="minorHAnsi" w:hAnsiTheme="minorHAnsi" w:cstheme="minorHAnsi"/>
                <w:color w:val="0F1115"/>
                <w:kern w:val="0"/>
                <w:szCs w:val="21"/>
              </w:rPr>
              <w:t>渗透率</w:t>
            </w:r>
          </w:p>
        </w:tc>
        <w:tc>
          <w:tcPr>
            <w:tcW w:w="1276" w:type="dxa"/>
            <w:hideMark/>
          </w:tcPr>
          <w:p w14:paraId="2AD97A9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1.0%</w:t>
            </w:r>
          </w:p>
        </w:tc>
        <w:tc>
          <w:tcPr>
            <w:tcW w:w="1276" w:type="dxa"/>
            <w:hideMark/>
          </w:tcPr>
          <w:p w14:paraId="743FFC3E"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2.0%</w:t>
            </w:r>
          </w:p>
        </w:tc>
        <w:tc>
          <w:tcPr>
            <w:tcW w:w="1185" w:type="dxa"/>
            <w:hideMark/>
          </w:tcPr>
          <w:p w14:paraId="55BCC21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5.0%</w:t>
            </w:r>
          </w:p>
        </w:tc>
      </w:tr>
      <w:tr w:rsidR="00B40675" w:rsidRPr="00B40675" w14:paraId="367ABC85" w14:textId="77777777" w:rsidTr="00B40675">
        <w:tc>
          <w:tcPr>
            <w:tcW w:w="1668" w:type="dxa"/>
            <w:hideMark/>
          </w:tcPr>
          <w:p w14:paraId="72C2B6FA"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32F29579"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1F5D1827"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综合客单价</w:t>
            </w:r>
          </w:p>
        </w:tc>
        <w:tc>
          <w:tcPr>
            <w:tcW w:w="1276" w:type="dxa"/>
            <w:hideMark/>
          </w:tcPr>
          <w:p w14:paraId="517457CC"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2.5</w:t>
            </w:r>
            <w:r w:rsidRPr="00B40675">
              <w:rPr>
                <w:rFonts w:asciiTheme="minorHAnsi" w:hAnsiTheme="minorHAnsi" w:cstheme="minorHAnsi"/>
                <w:color w:val="0F1115"/>
                <w:kern w:val="0"/>
                <w:szCs w:val="21"/>
              </w:rPr>
              <w:t>万元</w:t>
            </w:r>
          </w:p>
        </w:tc>
        <w:tc>
          <w:tcPr>
            <w:tcW w:w="1276" w:type="dxa"/>
            <w:hideMark/>
          </w:tcPr>
          <w:p w14:paraId="77591FD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3.0</w:t>
            </w:r>
            <w:r w:rsidRPr="00B40675">
              <w:rPr>
                <w:rFonts w:asciiTheme="minorHAnsi" w:hAnsiTheme="minorHAnsi" w:cstheme="minorHAnsi"/>
                <w:color w:val="0F1115"/>
                <w:kern w:val="0"/>
                <w:szCs w:val="21"/>
              </w:rPr>
              <w:t>万元</w:t>
            </w:r>
          </w:p>
        </w:tc>
        <w:tc>
          <w:tcPr>
            <w:tcW w:w="1185" w:type="dxa"/>
            <w:hideMark/>
          </w:tcPr>
          <w:p w14:paraId="3126BF04"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color w:val="0F1115"/>
                <w:kern w:val="0"/>
                <w:szCs w:val="21"/>
              </w:rPr>
              <w:t>3.5</w:t>
            </w:r>
            <w:r w:rsidRPr="00B40675">
              <w:rPr>
                <w:rFonts w:asciiTheme="minorHAnsi" w:hAnsiTheme="minorHAnsi" w:cstheme="minorHAnsi"/>
                <w:color w:val="0F1115"/>
                <w:kern w:val="0"/>
                <w:szCs w:val="21"/>
              </w:rPr>
              <w:t>万元</w:t>
            </w:r>
          </w:p>
        </w:tc>
      </w:tr>
      <w:tr w:rsidR="00B40675" w:rsidRPr="00B40675" w14:paraId="05948917" w14:textId="77777777" w:rsidTr="00B40675">
        <w:tc>
          <w:tcPr>
            <w:tcW w:w="1668" w:type="dxa"/>
            <w:hideMark/>
          </w:tcPr>
          <w:p w14:paraId="1D9EF969"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年度市场规模（合计）</w:t>
            </w:r>
          </w:p>
        </w:tc>
        <w:tc>
          <w:tcPr>
            <w:tcW w:w="1559" w:type="dxa"/>
            <w:hideMark/>
          </w:tcPr>
          <w:p w14:paraId="76D2E25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13433D51"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Y1</w:t>
            </w:r>
          </w:p>
        </w:tc>
        <w:tc>
          <w:tcPr>
            <w:tcW w:w="1276" w:type="dxa"/>
            <w:hideMark/>
          </w:tcPr>
          <w:p w14:paraId="159407F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0.14 </w:t>
            </w:r>
            <w:r w:rsidRPr="00B40675">
              <w:rPr>
                <w:rFonts w:asciiTheme="minorHAnsi" w:hAnsiTheme="minorHAnsi" w:cstheme="minorHAnsi"/>
                <w:b/>
                <w:bCs/>
                <w:color w:val="0F1115"/>
                <w:kern w:val="0"/>
                <w:szCs w:val="21"/>
              </w:rPr>
              <w:t>亿</w:t>
            </w:r>
          </w:p>
        </w:tc>
        <w:tc>
          <w:tcPr>
            <w:tcW w:w="1276" w:type="dxa"/>
            <w:hideMark/>
          </w:tcPr>
          <w:p w14:paraId="6B03849F"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0.28 </w:t>
            </w:r>
            <w:r w:rsidRPr="00B40675">
              <w:rPr>
                <w:rFonts w:asciiTheme="minorHAnsi" w:hAnsiTheme="minorHAnsi" w:cstheme="minorHAnsi"/>
                <w:b/>
                <w:bCs/>
                <w:color w:val="0F1115"/>
                <w:kern w:val="0"/>
                <w:szCs w:val="21"/>
              </w:rPr>
              <w:t>亿</w:t>
            </w:r>
          </w:p>
        </w:tc>
        <w:tc>
          <w:tcPr>
            <w:tcW w:w="1185" w:type="dxa"/>
            <w:hideMark/>
          </w:tcPr>
          <w:p w14:paraId="0103B071"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0.57 </w:t>
            </w:r>
            <w:r w:rsidRPr="00B40675">
              <w:rPr>
                <w:rFonts w:asciiTheme="minorHAnsi" w:hAnsiTheme="minorHAnsi" w:cstheme="minorHAnsi"/>
                <w:b/>
                <w:bCs/>
                <w:color w:val="0F1115"/>
                <w:kern w:val="0"/>
                <w:szCs w:val="21"/>
              </w:rPr>
              <w:t>亿</w:t>
            </w:r>
          </w:p>
        </w:tc>
      </w:tr>
      <w:tr w:rsidR="00B40675" w:rsidRPr="00B40675" w14:paraId="4216EF95" w14:textId="77777777" w:rsidTr="00B40675">
        <w:tc>
          <w:tcPr>
            <w:tcW w:w="1668" w:type="dxa"/>
            <w:hideMark/>
          </w:tcPr>
          <w:p w14:paraId="2E5BE70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16BA3125"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7FFC24D4"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Y2</w:t>
            </w:r>
          </w:p>
        </w:tc>
        <w:tc>
          <w:tcPr>
            <w:tcW w:w="1276" w:type="dxa"/>
            <w:hideMark/>
          </w:tcPr>
          <w:p w14:paraId="071DCD0C"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0.36 </w:t>
            </w:r>
            <w:r w:rsidRPr="00B40675">
              <w:rPr>
                <w:rFonts w:asciiTheme="minorHAnsi" w:hAnsiTheme="minorHAnsi" w:cstheme="minorHAnsi"/>
                <w:b/>
                <w:bCs/>
                <w:color w:val="0F1115"/>
                <w:kern w:val="0"/>
                <w:szCs w:val="21"/>
              </w:rPr>
              <w:t>亿</w:t>
            </w:r>
          </w:p>
        </w:tc>
        <w:tc>
          <w:tcPr>
            <w:tcW w:w="1276" w:type="dxa"/>
            <w:hideMark/>
          </w:tcPr>
          <w:p w14:paraId="1D4FF025"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0.79 </w:t>
            </w:r>
            <w:r w:rsidRPr="00B40675">
              <w:rPr>
                <w:rFonts w:asciiTheme="minorHAnsi" w:hAnsiTheme="minorHAnsi" w:cstheme="minorHAnsi"/>
                <w:b/>
                <w:bCs/>
                <w:color w:val="0F1115"/>
                <w:kern w:val="0"/>
                <w:szCs w:val="21"/>
              </w:rPr>
              <w:t>亿</w:t>
            </w:r>
          </w:p>
        </w:tc>
        <w:tc>
          <w:tcPr>
            <w:tcW w:w="1185" w:type="dxa"/>
            <w:hideMark/>
          </w:tcPr>
          <w:p w14:paraId="1EBC8A6B"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1.72 </w:t>
            </w:r>
            <w:r w:rsidRPr="00B40675">
              <w:rPr>
                <w:rFonts w:asciiTheme="minorHAnsi" w:hAnsiTheme="minorHAnsi" w:cstheme="minorHAnsi"/>
                <w:b/>
                <w:bCs/>
                <w:color w:val="0F1115"/>
                <w:kern w:val="0"/>
                <w:szCs w:val="21"/>
              </w:rPr>
              <w:t>亿</w:t>
            </w:r>
          </w:p>
        </w:tc>
      </w:tr>
      <w:tr w:rsidR="00B40675" w:rsidRPr="00B40675" w14:paraId="32033E06" w14:textId="77777777" w:rsidTr="00B40675">
        <w:tc>
          <w:tcPr>
            <w:tcW w:w="1668" w:type="dxa"/>
            <w:hideMark/>
          </w:tcPr>
          <w:p w14:paraId="04F1F043"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p>
        </w:tc>
        <w:tc>
          <w:tcPr>
            <w:tcW w:w="1559" w:type="dxa"/>
            <w:hideMark/>
          </w:tcPr>
          <w:p w14:paraId="509AF89B" w14:textId="77777777" w:rsidR="00B40675" w:rsidRPr="00B40675" w:rsidRDefault="00B40675" w:rsidP="00B40675">
            <w:pPr>
              <w:keepNext/>
              <w:widowControl/>
              <w:spacing w:line="375" w:lineRule="atLeast"/>
              <w:jc w:val="left"/>
              <w:rPr>
                <w:rFonts w:asciiTheme="minorHAnsi" w:hAnsiTheme="minorHAnsi" w:cstheme="minorHAnsi"/>
                <w:kern w:val="0"/>
                <w:szCs w:val="21"/>
              </w:rPr>
            </w:pPr>
          </w:p>
        </w:tc>
        <w:tc>
          <w:tcPr>
            <w:tcW w:w="1559" w:type="dxa"/>
            <w:hideMark/>
          </w:tcPr>
          <w:p w14:paraId="644029F9"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Y3</w:t>
            </w:r>
          </w:p>
        </w:tc>
        <w:tc>
          <w:tcPr>
            <w:tcW w:w="1276" w:type="dxa"/>
            <w:hideMark/>
          </w:tcPr>
          <w:p w14:paraId="0C97233B"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0.69 </w:t>
            </w:r>
            <w:r w:rsidRPr="00B40675">
              <w:rPr>
                <w:rFonts w:asciiTheme="minorHAnsi" w:hAnsiTheme="minorHAnsi" w:cstheme="minorHAnsi"/>
                <w:b/>
                <w:bCs/>
                <w:color w:val="0F1115"/>
                <w:kern w:val="0"/>
                <w:szCs w:val="21"/>
              </w:rPr>
              <w:t>亿</w:t>
            </w:r>
          </w:p>
        </w:tc>
        <w:tc>
          <w:tcPr>
            <w:tcW w:w="1276" w:type="dxa"/>
            <w:hideMark/>
          </w:tcPr>
          <w:p w14:paraId="1D2F45E2"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1.58 </w:t>
            </w:r>
            <w:r w:rsidRPr="00B40675">
              <w:rPr>
                <w:rFonts w:asciiTheme="minorHAnsi" w:hAnsiTheme="minorHAnsi" w:cstheme="minorHAnsi"/>
                <w:b/>
                <w:bCs/>
                <w:color w:val="0F1115"/>
                <w:kern w:val="0"/>
                <w:szCs w:val="21"/>
              </w:rPr>
              <w:t>亿</w:t>
            </w:r>
          </w:p>
        </w:tc>
        <w:tc>
          <w:tcPr>
            <w:tcW w:w="1185" w:type="dxa"/>
            <w:hideMark/>
          </w:tcPr>
          <w:p w14:paraId="3998B276" w14:textId="77777777" w:rsidR="00B40675" w:rsidRPr="00B40675" w:rsidRDefault="00B40675" w:rsidP="00B40675">
            <w:pPr>
              <w:keepNext/>
              <w:widowControl/>
              <w:spacing w:line="375" w:lineRule="atLeast"/>
              <w:jc w:val="left"/>
              <w:rPr>
                <w:rFonts w:asciiTheme="minorHAnsi" w:hAnsiTheme="minorHAnsi" w:cstheme="minorHAnsi"/>
                <w:color w:val="0F1115"/>
                <w:kern w:val="0"/>
                <w:szCs w:val="21"/>
              </w:rPr>
            </w:pPr>
            <w:r w:rsidRPr="00B40675">
              <w:rPr>
                <w:rFonts w:asciiTheme="minorHAnsi" w:hAnsiTheme="minorHAnsi" w:cstheme="minorHAnsi"/>
                <w:b/>
                <w:bCs/>
                <w:color w:val="0F1115"/>
                <w:kern w:val="0"/>
                <w:szCs w:val="21"/>
              </w:rPr>
              <w:t xml:space="preserve">3.88 </w:t>
            </w:r>
            <w:r w:rsidRPr="00B40675">
              <w:rPr>
                <w:rFonts w:asciiTheme="minorHAnsi" w:hAnsiTheme="minorHAnsi" w:cstheme="minorHAnsi"/>
                <w:b/>
                <w:bCs/>
                <w:color w:val="0F1115"/>
                <w:kern w:val="0"/>
                <w:szCs w:val="21"/>
              </w:rPr>
              <w:t>亿</w:t>
            </w:r>
          </w:p>
        </w:tc>
      </w:tr>
    </w:tbl>
    <w:p w14:paraId="49702874" w14:textId="77777777" w:rsidR="0034625C" w:rsidRPr="0034625C" w:rsidRDefault="0034625C" w:rsidP="00B40675"/>
    <w:p w14:paraId="751AF46C"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26" w:name="_Toc3658"/>
      <w:r>
        <w:rPr>
          <w:rFonts w:ascii="Times New Roman" w:eastAsia="楷体_GB2312" w:hAnsi="Times New Roman" w:cs="Times New Roman"/>
          <w:sz w:val="28"/>
          <w:szCs w:val="28"/>
        </w:rPr>
        <w:t xml:space="preserve">3.5 </w:t>
      </w:r>
      <w:r>
        <w:rPr>
          <w:rFonts w:ascii="Times New Roman" w:eastAsia="楷体_GB2312" w:hAnsi="Times New Roman" w:cs="Times New Roman"/>
          <w:sz w:val="28"/>
          <w:szCs w:val="28"/>
        </w:rPr>
        <w:t>竞</w:t>
      </w:r>
      <w:r>
        <w:rPr>
          <w:rFonts w:ascii="Times New Roman" w:eastAsia="楷体_GB2312" w:hAnsi="Times New Roman" w:cs="Times New Roman" w:hint="eastAsia"/>
          <w:sz w:val="28"/>
          <w:szCs w:val="28"/>
        </w:rPr>
        <w:t>争</w:t>
      </w:r>
      <w:r>
        <w:rPr>
          <w:rFonts w:ascii="Times New Roman" w:eastAsia="楷体_GB2312" w:hAnsi="Times New Roman" w:cs="Times New Roman"/>
          <w:sz w:val="28"/>
          <w:szCs w:val="28"/>
        </w:rPr>
        <w:t>分析</w:t>
      </w:r>
      <w:bookmarkEnd w:id="26"/>
    </w:p>
    <w:p w14:paraId="444F1FF4" w14:textId="77777777" w:rsidR="00355B60" w:rsidRDefault="00355B60" w:rsidP="00355B60">
      <w:pPr>
        <w:ind w:firstLineChars="200" w:firstLine="420"/>
      </w:pPr>
      <w:r>
        <w:rPr>
          <w:rFonts w:hint="eastAsia"/>
        </w:rPr>
        <w:t>当前国内药房自动化市场呈现明显的分层竞争格局。面向大型公立医院的高端市场，主要由行业头部企业与海外品牌把控，这类设备技术成熟、功能全面，但普遍造价高昂、体积庞大</w:t>
      </w:r>
      <w:proofErr w:type="gramStart"/>
      <w:r>
        <w:rPr>
          <w:rFonts w:hint="eastAsia"/>
        </w:rPr>
        <w:t>且部署</w:t>
      </w:r>
      <w:proofErr w:type="gramEnd"/>
      <w:r>
        <w:rPr>
          <w:rFonts w:hint="eastAsia"/>
        </w:rPr>
        <w:t>流程复杂，市场准入门槛较高。而零售药店、基层医疗机构、医药</w:t>
      </w:r>
      <w:r>
        <w:rPr>
          <w:rFonts w:hint="eastAsia"/>
        </w:rPr>
        <w:t>O2O</w:t>
      </w:r>
      <w:r>
        <w:rPr>
          <w:rFonts w:hint="eastAsia"/>
        </w:rPr>
        <w:t>前置仓等下沉市场，入局主体数量较多，但多数产品功能单一、同质化问题突出，行业整体智能化渗透率处于较低水平，尚未出现具备绝对统治力的龙头企业，市场存在大量待挖掘的增量空间。</w:t>
      </w:r>
    </w:p>
    <w:p w14:paraId="2A89AC22" w14:textId="77777777" w:rsidR="00355B60" w:rsidRDefault="00355B60" w:rsidP="00355B60">
      <w:pPr>
        <w:ind w:firstLineChars="200" w:firstLine="420"/>
      </w:pPr>
      <w:r>
        <w:rPr>
          <w:rFonts w:hint="eastAsia"/>
        </w:rPr>
        <w:t>现阶段市场中的主流</w:t>
      </w:r>
      <w:proofErr w:type="gramStart"/>
      <w:r>
        <w:rPr>
          <w:rFonts w:hint="eastAsia"/>
        </w:rPr>
        <w:t>竞品存在</w:t>
      </w:r>
      <w:proofErr w:type="gramEnd"/>
      <w:r>
        <w:rPr>
          <w:rFonts w:hint="eastAsia"/>
        </w:rPr>
        <w:t>显著短板：传统大型自动发药机仅可实现药品分发这一基础功能，缺失用药咨询、智能辅助等服务模块，受成本、场地限制，无法在基层场景广泛推广；</w:t>
      </w:r>
      <w:proofErr w:type="gramStart"/>
      <w:r>
        <w:rPr>
          <w:rFonts w:hint="eastAsia"/>
        </w:rPr>
        <w:t>纯线上</w:t>
      </w:r>
      <w:proofErr w:type="gramEnd"/>
      <w:r>
        <w:rPr>
          <w:rFonts w:hint="eastAsia"/>
        </w:rPr>
        <w:t>AI</w:t>
      </w:r>
      <w:r>
        <w:rPr>
          <w:rFonts w:hint="eastAsia"/>
        </w:rPr>
        <w:t>问诊类软件仅聚焦咨询交互环节，脱离线下实体运营，不具备药品分拣、实物交付能力，难以形成</w:t>
      </w:r>
      <w:proofErr w:type="gramStart"/>
      <w:r>
        <w:rPr>
          <w:rFonts w:hint="eastAsia"/>
        </w:rPr>
        <w:t>完整服务</w:t>
      </w:r>
      <w:proofErr w:type="gramEnd"/>
      <w:r>
        <w:rPr>
          <w:rFonts w:hint="eastAsia"/>
        </w:rPr>
        <w:t>闭环。</w:t>
      </w:r>
    </w:p>
    <w:p w14:paraId="3959C7B4" w14:textId="75D31F6A" w:rsidR="00355B60" w:rsidRPr="00355B60" w:rsidRDefault="00355B60" w:rsidP="00355B60">
      <w:pPr>
        <w:ind w:firstLineChars="200" w:firstLine="420"/>
      </w:pPr>
      <w:r>
        <w:rPr>
          <w:rFonts w:hint="eastAsia"/>
        </w:rPr>
        <w:t>本项目依托软硬件一体化架构，将智能用药咨询、高精度自动分拣、全流程库存管理等功能深度融合，同时兼顾小型化、高性价比、部署便捷等特性，精准贴合下沉市场的实际需求。与现有产品形成清晰差异，有效规避同质化竞争，凭借综合优势抢占市场空白，构建起独特的核心竞争力。</w:t>
      </w:r>
    </w:p>
    <w:p w14:paraId="54C72309" w14:textId="6689F44B" w:rsidR="00355B60" w:rsidRDefault="00B40675" w:rsidP="00355B60">
      <w:pPr>
        <w:ind w:firstLineChars="200" w:firstLine="420"/>
      </w:pPr>
      <w:r w:rsidRPr="00B40675">
        <w:t>当前国内药房智能化市场呈现明显的两极分化：一端是服务于大型医院的昂贵重型设备，另一端是仅优化信息流的纯软件方案。在两端之间的广阔中间地带，面向基层药房、社区诊所、</w:t>
      </w:r>
      <w:r w:rsidRPr="00B40675">
        <w:t>O2O</w:t>
      </w:r>
      <w:r w:rsidRPr="00B40675">
        <w:t>前置仓的轻量化自动化解决方案几乎空白。</w:t>
      </w:r>
    </w:p>
    <w:tbl>
      <w:tblPr>
        <w:tblStyle w:val="1"/>
        <w:tblW w:w="0" w:type="auto"/>
        <w:jc w:val="center"/>
        <w:tblLook w:val="04A0" w:firstRow="1" w:lastRow="0" w:firstColumn="1" w:lastColumn="0" w:noHBand="0" w:noVBand="1"/>
      </w:tblPr>
      <w:tblGrid>
        <w:gridCol w:w="1066"/>
        <w:gridCol w:w="1257"/>
        <w:gridCol w:w="1931"/>
        <w:gridCol w:w="1515"/>
        <w:gridCol w:w="2537"/>
      </w:tblGrid>
      <w:tr w:rsidR="00355B60" w:rsidRPr="00A14201" w14:paraId="459EE985" w14:textId="77777777" w:rsidTr="00355B60">
        <w:trPr>
          <w:cnfStyle w:val="100000000000" w:firstRow="1" w:lastRow="0" w:firstColumn="0" w:lastColumn="0" w:oddVBand="0" w:evenVBand="0" w:oddHBand="0" w:evenHBand="0" w:firstRowFirstColumn="0" w:firstRowLastColumn="0" w:lastRowFirstColumn="0" w:lastRowLastColumn="0"/>
          <w:jc w:val="center"/>
        </w:trPr>
        <w:tc>
          <w:tcPr>
            <w:tcW w:w="1101" w:type="dxa"/>
            <w:hideMark/>
          </w:tcPr>
          <w:p w14:paraId="4ABEA6FA" w14:textId="77777777" w:rsidR="00355B60" w:rsidRPr="00A14201" w:rsidRDefault="00355B60" w:rsidP="00355B60">
            <w:pPr>
              <w:keepNext/>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lastRenderedPageBreak/>
              <w:t>对比维度</w:t>
            </w:r>
          </w:p>
        </w:tc>
        <w:tc>
          <w:tcPr>
            <w:tcW w:w="1275" w:type="dxa"/>
            <w:hideMark/>
          </w:tcPr>
          <w:p w14:paraId="0F1892D3" w14:textId="77777777" w:rsidR="00355B60" w:rsidRPr="00A14201" w:rsidRDefault="00355B60" w:rsidP="00355B60">
            <w:pPr>
              <w:keepNext/>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大型自动发药设备</w:t>
            </w:r>
          </w:p>
        </w:tc>
        <w:tc>
          <w:tcPr>
            <w:tcW w:w="1985" w:type="dxa"/>
            <w:hideMark/>
          </w:tcPr>
          <w:p w14:paraId="3CC55F80" w14:textId="77777777" w:rsidR="00355B60" w:rsidRPr="00A14201" w:rsidRDefault="00355B60" w:rsidP="00355B60">
            <w:pPr>
              <w:keepNext/>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通用协作机械臂</w:t>
            </w:r>
          </w:p>
        </w:tc>
        <w:tc>
          <w:tcPr>
            <w:tcW w:w="1559" w:type="dxa"/>
            <w:hideMark/>
          </w:tcPr>
          <w:p w14:paraId="7AED89D6" w14:textId="77777777" w:rsidR="00355B60" w:rsidRPr="00A14201" w:rsidRDefault="00355B60" w:rsidP="00355B60">
            <w:pPr>
              <w:keepNext/>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纯软件</w:t>
            </w:r>
            <w:r w:rsidRPr="00A14201">
              <w:rPr>
                <w:rFonts w:asciiTheme="minorHAnsi" w:eastAsia="黑体" w:hAnsiTheme="minorHAnsi" w:cstheme="minorHAnsi"/>
                <w:color w:val="0F1115"/>
                <w:kern w:val="0"/>
                <w:szCs w:val="21"/>
              </w:rPr>
              <w:t>/SaaS</w:t>
            </w:r>
            <w:r w:rsidRPr="00A14201">
              <w:rPr>
                <w:rFonts w:asciiTheme="minorHAnsi" w:eastAsia="黑体" w:hAnsiTheme="minorHAnsi" w:cstheme="minorHAnsi"/>
                <w:color w:val="0F1115"/>
                <w:kern w:val="0"/>
                <w:szCs w:val="21"/>
              </w:rPr>
              <w:t>平台</w:t>
            </w:r>
          </w:p>
        </w:tc>
        <w:tc>
          <w:tcPr>
            <w:tcW w:w="2602" w:type="dxa"/>
            <w:hideMark/>
          </w:tcPr>
          <w:p w14:paraId="05CDDCDE" w14:textId="77777777" w:rsidR="00355B60" w:rsidRPr="00A14201" w:rsidRDefault="00355B60" w:rsidP="00355B60">
            <w:pPr>
              <w:keepNext/>
              <w:widowControl/>
              <w:spacing w:line="375" w:lineRule="atLeast"/>
              <w:jc w:val="center"/>
              <w:rPr>
                <w:rFonts w:asciiTheme="minorHAnsi" w:eastAsia="黑体" w:hAnsiTheme="minorHAnsi" w:cstheme="minorHAnsi"/>
                <w:color w:val="0F1115"/>
                <w:kern w:val="0"/>
                <w:szCs w:val="21"/>
              </w:rPr>
            </w:pPr>
            <w:proofErr w:type="spellStart"/>
            <w:r w:rsidRPr="00A14201">
              <w:rPr>
                <w:rFonts w:asciiTheme="minorHAnsi" w:eastAsia="黑体" w:hAnsiTheme="minorHAnsi" w:cstheme="minorHAnsi"/>
                <w:color w:val="0F1115"/>
                <w:kern w:val="0"/>
                <w:szCs w:val="21"/>
              </w:rPr>
              <w:t>PharmacyBot</w:t>
            </w:r>
            <w:proofErr w:type="spellEnd"/>
            <w:r w:rsidRPr="00A14201">
              <w:rPr>
                <w:rFonts w:asciiTheme="minorHAnsi" w:eastAsia="黑体" w:hAnsiTheme="minorHAnsi" w:cstheme="minorHAnsi"/>
                <w:color w:val="0F1115"/>
                <w:kern w:val="0"/>
                <w:szCs w:val="21"/>
              </w:rPr>
              <w:t>（本项目）</w:t>
            </w:r>
          </w:p>
        </w:tc>
      </w:tr>
      <w:tr w:rsidR="00355B60" w:rsidRPr="00A14201" w14:paraId="3773AAB2" w14:textId="77777777" w:rsidTr="00355B60">
        <w:trPr>
          <w:trHeight w:val="908"/>
          <w:jc w:val="center"/>
        </w:trPr>
        <w:tc>
          <w:tcPr>
            <w:tcW w:w="1101" w:type="dxa"/>
            <w:hideMark/>
          </w:tcPr>
          <w:p w14:paraId="7C7167FB"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市场定位</w:t>
            </w:r>
          </w:p>
        </w:tc>
        <w:tc>
          <w:tcPr>
            <w:tcW w:w="1275" w:type="dxa"/>
            <w:hideMark/>
          </w:tcPr>
          <w:p w14:paraId="25AF1221"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大型三甲医院门诊药房</w:t>
            </w:r>
          </w:p>
        </w:tc>
        <w:tc>
          <w:tcPr>
            <w:tcW w:w="1985" w:type="dxa"/>
            <w:hideMark/>
          </w:tcPr>
          <w:p w14:paraId="48573EE6"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proofErr w:type="gramStart"/>
            <w:r w:rsidRPr="00A14201">
              <w:rPr>
                <w:rFonts w:asciiTheme="minorHAnsi" w:eastAsiaTheme="minorEastAsia" w:hAnsiTheme="minorHAnsi" w:cstheme="minorHAnsi"/>
                <w:color w:val="0F1115"/>
                <w:kern w:val="0"/>
                <w:szCs w:val="21"/>
              </w:rPr>
              <w:t>工业产线</w:t>
            </w:r>
            <w:proofErr w:type="gramEnd"/>
            <w:r w:rsidRPr="00A14201">
              <w:rPr>
                <w:rFonts w:asciiTheme="minorHAnsi" w:eastAsiaTheme="minorEastAsia" w:hAnsiTheme="minorHAnsi" w:cstheme="minorHAnsi"/>
                <w:color w:val="0F1115"/>
                <w:kern w:val="0"/>
                <w:szCs w:val="21"/>
              </w:rPr>
              <w:t>/</w:t>
            </w:r>
            <w:r w:rsidRPr="00A14201">
              <w:rPr>
                <w:rFonts w:asciiTheme="minorHAnsi" w:eastAsiaTheme="minorEastAsia" w:hAnsiTheme="minorHAnsi" w:cstheme="minorHAnsi"/>
                <w:color w:val="0F1115"/>
                <w:kern w:val="0"/>
                <w:szCs w:val="21"/>
              </w:rPr>
              <w:t>实验室</w:t>
            </w:r>
            <w:r w:rsidRPr="00A14201">
              <w:rPr>
                <w:rFonts w:asciiTheme="minorHAnsi" w:eastAsiaTheme="minorEastAsia" w:hAnsiTheme="minorHAnsi" w:cstheme="minorHAnsi"/>
                <w:color w:val="0F1115"/>
                <w:kern w:val="0"/>
                <w:szCs w:val="21"/>
              </w:rPr>
              <w:t>/</w:t>
            </w:r>
            <w:r w:rsidRPr="00A14201">
              <w:rPr>
                <w:rFonts w:asciiTheme="minorHAnsi" w:eastAsiaTheme="minorEastAsia" w:hAnsiTheme="minorHAnsi" w:cstheme="minorHAnsi"/>
                <w:color w:val="0F1115"/>
                <w:kern w:val="0"/>
                <w:szCs w:val="21"/>
              </w:rPr>
              <w:t>教育</w:t>
            </w:r>
          </w:p>
        </w:tc>
        <w:tc>
          <w:tcPr>
            <w:tcW w:w="1559" w:type="dxa"/>
            <w:hideMark/>
          </w:tcPr>
          <w:p w14:paraId="5614DF43"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proofErr w:type="gramStart"/>
            <w:r w:rsidRPr="00A14201">
              <w:rPr>
                <w:rFonts w:asciiTheme="minorHAnsi" w:eastAsiaTheme="minorEastAsia" w:hAnsiTheme="minorHAnsi" w:cstheme="minorHAnsi"/>
                <w:color w:val="0F1115"/>
                <w:kern w:val="0"/>
                <w:szCs w:val="21"/>
              </w:rPr>
              <w:t>全类型</w:t>
            </w:r>
            <w:proofErr w:type="gramEnd"/>
            <w:r w:rsidRPr="00A14201">
              <w:rPr>
                <w:rFonts w:asciiTheme="minorHAnsi" w:eastAsiaTheme="minorEastAsia" w:hAnsiTheme="minorHAnsi" w:cstheme="minorHAnsi"/>
                <w:color w:val="0F1115"/>
                <w:kern w:val="0"/>
                <w:szCs w:val="21"/>
              </w:rPr>
              <w:t>药店的信息管理</w:t>
            </w:r>
          </w:p>
        </w:tc>
        <w:tc>
          <w:tcPr>
            <w:tcW w:w="2602" w:type="dxa"/>
            <w:hideMark/>
          </w:tcPr>
          <w:p w14:paraId="79C5E1C8"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基层社区药房、诊所、</w:t>
            </w:r>
            <w:r w:rsidRPr="00A14201">
              <w:rPr>
                <w:rFonts w:asciiTheme="minorHAnsi" w:eastAsiaTheme="minorEastAsia" w:hAnsiTheme="minorHAnsi" w:cstheme="minorHAnsi"/>
                <w:color w:val="0F1115"/>
                <w:kern w:val="0"/>
                <w:szCs w:val="21"/>
              </w:rPr>
              <w:t>O2O</w:t>
            </w:r>
            <w:r w:rsidRPr="00A14201">
              <w:rPr>
                <w:rFonts w:asciiTheme="minorHAnsi" w:eastAsiaTheme="minorEastAsia" w:hAnsiTheme="minorHAnsi" w:cstheme="minorHAnsi"/>
                <w:color w:val="0F1115"/>
                <w:kern w:val="0"/>
                <w:szCs w:val="21"/>
              </w:rPr>
              <w:t>前置仓</w:t>
            </w:r>
          </w:p>
        </w:tc>
      </w:tr>
      <w:tr w:rsidR="00355B60" w:rsidRPr="00A14201" w14:paraId="598599AD" w14:textId="77777777" w:rsidTr="00355B60">
        <w:trPr>
          <w:trHeight w:val="1697"/>
          <w:jc w:val="center"/>
        </w:trPr>
        <w:tc>
          <w:tcPr>
            <w:tcW w:w="1101" w:type="dxa"/>
            <w:hideMark/>
          </w:tcPr>
          <w:p w14:paraId="6B683E03"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典型厂商</w:t>
            </w:r>
            <w:r w:rsidRPr="00A14201">
              <w:rPr>
                <w:rFonts w:asciiTheme="minorHAnsi" w:eastAsia="黑体" w:hAnsiTheme="minorHAnsi" w:cstheme="minorHAnsi"/>
                <w:color w:val="0F1115"/>
                <w:kern w:val="0"/>
                <w:szCs w:val="21"/>
              </w:rPr>
              <w:t>/</w:t>
            </w:r>
            <w:r w:rsidRPr="00A14201">
              <w:rPr>
                <w:rFonts w:asciiTheme="minorHAnsi" w:eastAsia="黑体" w:hAnsiTheme="minorHAnsi" w:cstheme="minorHAnsi"/>
                <w:color w:val="0F1115"/>
                <w:kern w:val="0"/>
                <w:szCs w:val="21"/>
              </w:rPr>
              <w:t>产品</w:t>
            </w:r>
          </w:p>
        </w:tc>
        <w:tc>
          <w:tcPr>
            <w:tcW w:w="1275" w:type="dxa"/>
            <w:hideMark/>
          </w:tcPr>
          <w:p w14:paraId="191FE0A5"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德国</w:t>
            </w:r>
            <w:r w:rsidRPr="00A14201">
              <w:rPr>
                <w:rFonts w:asciiTheme="minorHAnsi" w:eastAsiaTheme="minorEastAsia" w:hAnsiTheme="minorHAnsi" w:cstheme="minorHAnsi"/>
                <w:color w:val="0F1115"/>
                <w:kern w:val="0"/>
                <w:szCs w:val="21"/>
              </w:rPr>
              <w:t>Rowa</w:t>
            </w:r>
            <w:r w:rsidRPr="00A14201">
              <w:rPr>
                <w:rFonts w:asciiTheme="minorHAnsi" w:eastAsiaTheme="minorEastAsia" w:hAnsiTheme="minorHAnsi" w:cstheme="minorHAnsi"/>
                <w:color w:val="0F1115"/>
                <w:kern w:val="0"/>
                <w:szCs w:val="21"/>
              </w:rPr>
              <w:t>、</w:t>
            </w:r>
            <w:proofErr w:type="spellStart"/>
            <w:r w:rsidRPr="00A14201">
              <w:rPr>
                <w:rFonts w:asciiTheme="minorHAnsi" w:eastAsiaTheme="minorEastAsia" w:hAnsiTheme="minorHAnsi" w:cstheme="minorHAnsi"/>
                <w:color w:val="0F1115"/>
                <w:kern w:val="0"/>
                <w:szCs w:val="21"/>
              </w:rPr>
              <w:t>Swisslog</w:t>
            </w:r>
            <w:proofErr w:type="spellEnd"/>
            <w:r w:rsidRPr="00A14201">
              <w:rPr>
                <w:rFonts w:asciiTheme="minorHAnsi" w:eastAsiaTheme="minorEastAsia" w:hAnsiTheme="minorHAnsi" w:cstheme="minorHAnsi"/>
                <w:color w:val="0F1115"/>
                <w:kern w:val="0"/>
                <w:szCs w:val="21"/>
              </w:rPr>
              <w:br/>
            </w:r>
            <w:proofErr w:type="gramStart"/>
            <w:r w:rsidRPr="00A14201">
              <w:rPr>
                <w:rFonts w:asciiTheme="minorHAnsi" w:eastAsiaTheme="minorEastAsia" w:hAnsiTheme="minorHAnsi" w:cstheme="minorHAnsi"/>
                <w:color w:val="0F1115"/>
                <w:kern w:val="0"/>
                <w:szCs w:val="21"/>
              </w:rPr>
              <w:t>国内健海</w:t>
            </w:r>
            <w:proofErr w:type="gramEnd"/>
            <w:r w:rsidRPr="00A14201">
              <w:rPr>
                <w:rFonts w:asciiTheme="minorHAnsi" w:eastAsiaTheme="minorEastAsia" w:hAnsiTheme="minorHAnsi" w:cstheme="minorHAnsi"/>
                <w:color w:val="0F1115"/>
                <w:kern w:val="0"/>
                <w:szCs w:val="21"/>
              </w:rPr>
              <w:t>、艾隆</w:t>
            </w:r>
          </w:p>
        </w:tc>
        <w:tc>
          <w:tcPr>
            <w:tcW w:w="1985" w:type="dxa"/>
            <w:hideMark/>
          </w:tcPr>
          <w:p w14:paraId="76F9CE9D"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proofErr w:type="gramStart"/>
            <w:r w:rsidRPr="00A14201">
              <w:rPr>
                <w:rFonts w:asciiTheme="minorHAnsi" w:eastAsiaTheme="minorEastAsia" w:hAnsiTheme="minorHAnsi" w:cstheme="minorHAnsi"/>
                <w:color w:val="0F1115"/>
                <w:kern w:val="0"/>
                <w:szCs w:val="21"/>
              </w:rPr>
              <w:t>越疆</w:t>
            </w:r>
            <w:proofErr w:type="spellStart"/>
            <w:proofErr w:type="gramEnd"/>
            <w:r w:rsidRPr="00A14201">
              <w:rPr>
                <w:rFonts w:asciiTheme="minorHAnsi" w:eastAsiaTheme="minorEastAsia" w:hAnsiTheme="minorHAnsi" w:cstheme="minorHAnsi"/>
                <w:color w:val="0F1115"/>
                <w:kern w:val="0"/>
                <w:szCs w:val="21"/>
              </w:rPr>
              <w:t>Dobot</w:t>
            </w:r>
            <w:proofErr w:type="spellEnd"/>
            <w:r w:rsidRPr="00A14201">
              <w:rPr>
                <w:rFonts w:asciiTheme="minorHAnsi" w:eastAsiaTheme="minorEastAsia" w:hAnsiTheme="minorHAnsi" w:cstheme="minorHAnsi"/>
                <w:color w:val="0F1115"/>
                <w:kern w:val="0"/>
                <w:szCs w:val="21"/>
              </w:rPr>
              <w:t>、</w:t>
            </w:r>
            <w:proofErr w:type="gramStart"/>
            <w:r w:rsidRPr="00A14201">
              <w:rPr>
                <w:rFonts w:asciiTheme="minorHAnsi" w:eastAsiaTheme="minorEastAsia" w:hAnsiTheme="minorHAnsi" w:cstheme="minorHAnsi"/>
                <w:color w:val="0F1115"/>
                <w:kern w:val="0"/>
                <w:szCs w:val="21"/>
              </w:rPr>
              <w:t>节卡</w:t>
            </w:r>
            <w:proofErr w:type="gramEnd"/>
            <w:r w:rsidRPr="00A14201">
              <w:rPr>
                <w:rFonts w:asciiTheme="minorHAnsi" w:eastAsiaTheme="minorEastAsia" w:hAnsiTheme="minorHAnsi" w:cstheme="minorHAnsi"/>
                <w:color w:val="0F1115"/>
                <w:kern w:val="0"/>
                <w:szCs w:val="21"/>
              </w:rPr>
              <w:t>Jaka</w:t>
            </w:r>
            <w:r w:rsidRPr="00A14201">
              <w:rPr>
                <w:rFonts w:asciiTheme="minorHAnsi" w:eastAsiaTheme="minorEastAsia" w:hAnsiTheme="minorHAnsi" w:cstheme="minorHAnsi"/>
                <w:color w:val="0F1115"/>
                <w:kern w:val="0"/>
                <w:szCs w:val="21"/>
              </w:rPr>
              <w:br/>
            </w:r>
            <w:proofErr w:type="gramStart"/>
            <w:r w:rsidRPr="00A14201">
              <w:rPr>
                <w:rFonts w:asciiTheme="minorHAnsi" w:eastAsiaTheme="minorEastAsia" w:hAnsiTheme="minorHAnsi" w:cstheme="minorHAnsi"/>
                <w:color w:val="0F1115"/>
                <w:kern w:val="0"/>
                <w:szCs w:val="21"/>
              </w:rPr>
              <w:t>遨</w:t>
            </w:r>
            <w:proofErr w:type="gramEnd"/>
            <w:r w:rsidRPr="00A14201">
              <w:rPr>
                <w:rFonts w:asciiTheme="minorHAnsi" w:eastAsiaTheme="minorEastAsia" w:hAnsiTheme="minorHAnsi" w:cstheme="minorHAnsi"/>
                <w:color w:val="0F1115"/>
                <w:kern w:val="0"/>
                <w:szCs w:val="21"/>
              </w:rPr>
              <w:t>博</w:t>
            </w:r>
            <w:r w:rsidRPr="00A14201">
              <w:rPr>
                <w:rFonts w:asciiTheme="minorHAnsi" w:eastAsiaTheme="minorEastAsia" w:hAnsiTheme="minorHAnsi" w:cstheme="minorHAnsi"/>
                <w:color w:val="0F1115"/>
                <w:kern w:val="0"/>
                <w:szCs w:val="21"/>
              </w:rPr>
              <w:t>AUBO</w:t>
            </w:r>
            <w:r w:rsidRPr="00A14201">
              <w:rPr>
                <w:rFonts w:asciiTheme="minorHAnsi" w:eastAsiaTheme="minorEastAsia" w:hAnsiTheme="minorHAnsi" w:cstheme="minorHAnsi"/>
                <w:color w:val="0F1115"/>
                <w:kern w:val="0"/>
                <w:szCs w:val="21"/>
              </w:rPr>
              <w:t>、优傲</w:t>
            </w:r>
            <w:r w:rsidRPr="00A14201">
              <w:rPr>
                <w:rFonts w:asciiTheme="minorHAnsi" w:eastAsiaTheme="minorEastAsia" w:hAnsiTheme="minorHAnsi" w:cstheme="minorHAnsi"/>
                <w:color w:val="0F1115"/>
                <w:kern w:val="0"/>
                <w:szCs w:val="21"/>
              </w:rPr>
              <w:t>UR</w:t>
            </w:r>
          </w:p>
        </w:tc>
        <w:tc>
          <w:tcPr>
            <w:tcW w:w="1559" w:type="dxa"/>
            <w:hideMark/>
          </w:tcPr>
          <w:p w14:paraId="68785179"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创美智药、</w:t>
            </w:r>
            <w:proofErr w:type="gramStart"/>
            <w:r w:rsidRPr="00A14201">
              <w:rPr>
                <w:rFonts w:asciiTheme="minorHAnsi" w:eastAsiaTheme="minorEastAsia" w:hAnsiTheme="minorHAnsi" w:cstheme="minorHAnsi"/>
                <w:color w:val="0F1115"/>
                <w:kern w:val="0"/>
                <w:szCs w:val="21"/>
              </w:rPr>
              <w:t>雨诺</w:t>
            </w:r>
            <w:r w:rsidRPr="00A14201">
              <w:rPr>
                <w:rFonts w:asciiTheme="minorHAnsi" w:eastAsiaTheme="minorEastAsia" w:hAnsiTheme="minorHAnsi" w:cstheme="minorHAnsi"/>
                <w:color w:val="0F1115"/>
                <w:kern w:val="0"/>
                <w:szCs w:val="21"/>
              </w:rPr>
              <w:br/>
            </w:r>
            <w:r w:rsidRPr="00A14201">
              <w:rPr>
                <w:rFonts w:asciiTheme="minorHAnsi" w:eastAsiaTheme="minorEastAsia" w:hAnsiTheme="minorHAnsi" w:cstheme="minorHAnsi"/>
                <w:color w:val="0F1115"/>
                <w:kern w:val="0"/>
                <w:szCs w:val="21"/>
              </w:rPr>
              <w:t>美团</w:t>
            </w:r>
            <w:proofErr w:type="gramEnd"/>
            <w:r w:rsidRPr="00A14201">
              <w:rPr>
                <w:rFonts w:asciiTheme="minorHAnsi" w:eastAsiaTheme="minorEastAsia" w:hAnsiTheme="minorHAnsi" w:cstheme="minorHAnsi"/>
                <w:color w:val="0F1115"/>
                <w:kern w:val="0"/>
                <w:szCs w:val="21"/>
              </w:rPr>
              <w:t>买药商家</w:t>
            </w:r>
            <w:r w:rsidRPr="00A14201">
              <w:rPr>
                <w:rFonts w:asciiTheme="minorHAnsi" w:eastAsiaTheme="minorEastAsia" w:hAnsiTheme="minorHAnsi" w:cstheme="minorHAnsi"/>
                <w:color w:val="0F1115"/>
                <w:kern w:val="0"/>
                <w:szCs w:val="21"/>
              </w:rPr>
              <w:t>SaaS</w:t>
            </w:r>
          </w:p>
        </w:tc>
        <w:tc>
          <w:tcPr>
            <w:tcW w:w="2602" w:type="dxa"/>
            <w:hideMark/>
          </w:tcPr>
          <w:p w14:paraId="6ADA7349"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proofErr w:type="spellStart"/>
            <w:r w:rsidRPr="00A14201">
              <w:rPr>
                <w:rFonts w:asciiTheme="minorHAnsi" w:eastAsiaTheme="minorEastAsia" w:hAnsiTheme="minorHAnsi" w:cstheme="minorHAnsi"/>
                <w:color w:val="0F1115"/>
                <w:kern w:val="0"/>
                <w:szCs w:val="21"/>
              </w:rPr>
              <w:t>PharmacyBot</w:t>
            </w:r>
            <w:proofErr w:type="spellEnd"/>
            <w:r w:rsidRPr="00A14201">
              <w:rPr>
                <w:rFonts w:asciiTheme="minorHAnsi" w:eastAsiaTheme="minorEastAsia" w:hAnsiTheme="minorHAnsi" w:cstheme="minorHAnsi"/>
                <w:color w:val="0F1115"/>
                <w:kern w:val="0"/>
                <w:szCs w:val="21"/>
              </w:rPr>
              <w:t xml:space="preserve"> </w:t>
            </w:r>
            <w:r w:rsidRPr="00A14201">
              <w:rPr>
                <w:rFonts w:asciiTheme="minorHAnsi" w:eastAsiaTheme="minorEastAsia" w:hAnsiTheme="minorHAnsi" w:cstheme="minorHAnsi"/>
                <w:color w:val="0F1115"/>
                <w:kern w:val="0"/>
                <w:szCs w:val="21"/>
              </w:rPr>
              <w:t>一体化系统</w:t>
            </w:r>
          </w:p>
        </w:tc>
      </w:tr>
      <w:tr w:rsidR="00355B60" w:rsidRPr="00A14201" w14:paraId="3A297198" w14:textId="77777777" w:rsidTr="00355B60">
        <w:trPr>
          <w:trHeight w:val="1281"/>
          <w:jc w:val="center"/>
        </w:trPr>
        <w:tc>
          <w:tcPr>
            <w:tcW w:w="1101" w:type="dxa"/>
            <w:hideMark/>
          </w:tcPr>
          <w:p w14:paraId="756559E3"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硬件形态</w:t>
            </w:r>
          </w:p>
        </w:tc>
        <w:tc>
          <w:tcPr>
            <w:tcW w:w="1275" w:type="dxa"/>
            <w:hideMark/>
          </w:tcPr>
          <w:p w14:paraId="4C3643B6"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封闭式立体货柜</w:t>
            </w:r>
            <w:r w:rsidRPr="00A14201">
              <w:rPr>
                <w:rFonts w:asciiTheme="minorHAnsi" w:eastAsiaTheme="minorEastAsia" w:hAnsiTheme="minorHAnsi" w:cstheme="minorHAnsi"/>
                <w:color w:val="0F1115"/>
                <w:kern w:val="0"/>
                <w:szCs w:val="21"/>
              </w:rPr>
              <w:t>+</w:t>
            </w:r>
            <w:r w:rsidRPr="00A14201">
              <w:rPr>
                <w:rFonts w:asciiTheme="minorHAnsi" w:eastAsiaTheme="minorEastAsia" w:hAnsiTheme="minorHAnsi" w:cstheme="minorHAnsi"/>
                <w:color w:val="0F1115"/>
                <w:kern w:val="0"/>
                <w:szCs w:val="21"/>
              </w:rPr>
              <w:t>传送带</w:t>
            </w:r>
          </w:p>
        </w:tc>
        <w:tc>
          <w:tcPr>
            <w:tcW w:w="1985" w:type="dxa"/>
            <w:hideMark/>
          </w:tcPr>
          <w:p w14:paraId="58D08CD6"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桌面</w:t>
            </w:r>
            <w:r w:rsidRPr="00A14201">
              <w:rPr>
                <w:rFonts w:asciiTheme="minorHAnsi" w:eastAsiaTheme="minorEastAsia" w:hAnsiTheme="minorHAnsi" w:cstheme="minorHAnsi"/>
                <w:color w:val="0F1115"/>
                <w:kern w:val="0"/>
                <w:szCs w:val="21"/>
              </w:rPr>
              <w:t>6</w:t>
            </w:r>
            <w:r w:rsidRPr="00A14201">
              <w:rPr>
                <w:rFonts w:asciiTheme="minorHAnsi" w:eastAsiaTheme="minorEastAsia" w:hAnsiTheme="minorHAnsi" w:cstheme="minorHAnsi"/>
                <w:color w:val="0F1115"/>
                <w:kern w:val="0"/>
                <w:szCs w:val="21"/>
              </w:rPr>
              <w:t>轴机械臂裸机</w:t>
            </w:r>
          </w:p>
        </w:tc>
        <w:tc>
          <w:tcPr>
            <w:tcW w:w="1559" w:type="dxa"/>
            <w:hideMark/>
          </w:tcPr>
          <w:p w14:paraId="53B7C0E9"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无硬件</w:t>
            </w:r>
          </w:p>
        </w:tc>
        <w:tc>
          <w:tcPr>
            <w:tcW w:w="2602" w:type="dxa"/>
            <w:hideMark/>
          </w:tcPr>
          <w:p w14:paraId="4B709C4F"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6</w:t>
            </w:r>
            <w:r w:rsidRPr="00A14201">
              <w:rPr>
                <w:rFonts w:asciiTheme="minorHAnsi" w:eastAsiaTheme="minorEastAsia" w:hAnsiTheme="minorHAnsi" w:cstheme="minorHAnsi"/>
                <w:color w:val="0F1115"/>
                <w:kern w:val="0"/>
                <w:szCs w:val="21"/>
              </w:rPr>
              <w:t>轴机械臂</w:t>
            </w:r>
            <w:r w:rsidRPr="00A14201">
              <w:rPr>
                <w:rFonts w:asciiTheme="minorHAnsi" w:eastAsiaTheme="minorEastAsia" w:hAnsiTheme="minorHAnsi" w:cstheme="minorHAnsi"/>
                <w:color w:val="0F1115"/>
                <w:kern w:val="0"/>
                <w:szCs w:val="21"/>
              </w:rPr>
              <w:t>+</w:t>
            </w:r>
            <w:r w:rsidRPr="00A14201">
              <w:rPr>
                <w:rFonts w:asciiTheme="minorHAnsi" w:eastAsiaTheme="minorEastAsia" w:hAnsiTheme="minorHAnsi" w:cstheme="minorHAnsi"/>
                <w:color w:val="0F1115"/>
                <w:kern w:val="0"/>
                <w:szCs w:val="21"/>
              </w:rPr>
              <w:t>深度相机</w:t>
            </w:r>
            <w:r w:rsidRPr="00A14201">
              <w:rPr>
                <w:rFonts w:asciiTheme="minorHAnsi" w:eastAsiaTheme="minorEastAsia" w:hAnsiTheme="minorHAnsi" w:cstheme="minorHAnsi"/>
                <w:color w:val="0F1115"/>
                <w:kern w:val="0"/>
                <w:szCs w:val="21"/>
              </w:rPr>
              <w:t>+</w:t>
            </w:r>
            <w:proofErr w:type="gramStart"/>
            <w:r w:rsidRPr="00A14201">
              <w:rPr>
                <w:rFonts w:asciiTheme="minorHAnsi" w:eastAsiaTheme="minorEastAsia" w:hAnsiTheme="minorHAnsi" w:cstheme="minorHAnsi"/>
                <w:color w:val="0F1115"/>
                <w:kern w:val="0"/>
                <w:szCs w:val="21"/>
              </w:rPr>
              <w:t>扫码模块</w:t>
            </w:r>
            <w:proofErr w:type="gramEnd"/>
            <w:r w:rsidRPr="00A14201">
              <w:rPr>
                <w:rFonts w:asciiTheme="minorHAnsi" w:eastAsiaTheme="minorEastAsia" w:hAnsiTheme="minorHAnsi" w:cstheme="minorHAnsi"/>
                <w:color w:val="0F1115"/>
                <w:kern w:val="0"/>
                <w:szCs w:val="21"/>
              </w:rPr>
              <w:t>一体化整机</w:t>
            </w:r>
          </w:p>
        </w:tc>
      </w:tr>
      <w:tr w:rsidR="00355B60" w:rsidRPr="00A14201" w14:paraId="1A861D21" w14:textId="77777777" w:rsidTr="00355B60">
        <w:trPr>
          <w:trHeight w:val="860"/>
          <w:jc w:val="center"/>
        </w:trPr>
        <w:tc>
          <w:tcPr>
            <w:tcW w:w="1101" w:type="dxa"/>
            <w:hideMark/>
          </w:tcPr>
          <w:p w14:paraId="62F7A776"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单套成本</w:t>
            </w:r>
          </w:p>
        </w:tc>
        <w:tc>
          <w:tcPr>
            <w:tcW w:w="1275" w:type="dxa"/>
            <w:hideMark/>
          </w:tcPr>
          <w:p w14:paraId="51E05280"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150</w:t>
            </w:r>
            <w:r w:rsidRPr="00A14201">
              <w:rPr>
                <w:rFonts w:asciiTheme="minorHAnsi" w:eastAsiaTheme="minorEastAsia" w:hAnsiTheme="minorHAnsi" w:cstheme="minorHAnsi"/>
                <w:color w:val="0F1115"/>
                <w:kern w:val="0"/>
                <w:szCs w:val="21"/>
              </w:rPr>
              <w:t>万</w:t>
            </w:r>
            <w:r w:rsidRPr="00A14201">
              <w:rPr>
                <w:rFonts w:asciiTheme="minorHAnsi" w:eastAsiaTheme="minorEastAsia" w:hAnsiTheme="minorHAnsi" w:cstheme="minorHAnsi"/>
                <w:color w:val="0F1115"/>
                <w:kern w:val="0"/>
                <w:szCs w:val="21"/>
              </w:rPr>
              <w:t>-500</w:t>
            </w:r>
            <w:r w:rsidRPr="00A14201">
              <w:rPr>
                <w:rFonts w:asciiTheme="minorHAnsi" w:eastAsiaTheme="minorEastAsia" w:hAnsiTheme="minorHAnsi" w:cstheme="minorHAnsi"/>
                <w:color w:val="0F1115"/>
                <w:kern w:val="0"/>
                <w:szCs w:val="21"/>
              </w:rPr>
              <w:t>万元</w:t>
            </w:r>
          </w:p>
        </w:tc>
        <w:tc>
          <w:tcPr>
            <w:tcW w:w="1985" w:type="dxa"/>
            <w:hideMark/>
          </w:tcPr>
          <w:p w14:paraId="25C9E346"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w:t>
            </w:r>
            <w:r w:rsidRPr="00A14201">
              <w:rPr>
                <w:rFonts w:asciiTheme="minorHAnsi" w:eastAsiaTheme="minorEastAsia" w:hAnsiTheme="minorHAnsi" w:cstheme="minorHAnsi"/>
                <w:color w:val="0F1115"/>
                <w:kern w:val="0"/>
                <w:szCs w:val="21"/>
              </w:rPr>
              <w:t>万</w:t>
            </w:r>
            <w:r w:rsidRPr="00A14201">
              <w:rPr>
                <w:rFonts w:asciiTheme="minorHAnsi" w:eastAsiaTheme="minorEastAsia" w:hAnsiTheme="minorHAnsi" w:cstheme="minorHAnsi"/>
                <w:color w:val="0F1115"/>
                <w:kern w:val="0"/>
                <w:szCs w:val="21"/>
              </w:rPr>
              <w:t>-15</w:t>
            </w:r>
            <w:r w:rsidRPr="00A14201">
              <w:rPr>
                <w:rFonts w:asciiTheme="minorHAnsi" w:eastAsiaTheme="minorEastAsia" w:hAnsiTheme="minorHAnsi" w:cstheme="minorHAnsi"/>
                <w:color w:val="0F1115"/>
                <w:kern w:val="0"/>
                <w:szCs w:val="21"/>
              </w:rPr>
              <w:t>万元（</w:t>
            </w:r>
            <w:proofErr w:type="gramStart"/>
            <w:r w:rsidRPr="00A14201">
              <w:rPr>
                <w:rFonts w:asciiTheme="minorHAnsi" w:eastAsiaTheme="minorEastAsia" w:hAnsiTheme="minorHAnsi" w:cstheme="minorHAnsi"/>
                <w:color w:val="0F1115"/>
                <w:kern w:val="0"/>
                <w:szCs w:val="21"/>
              </w:rPr>
              <w:t>仅臂体</w:t>
            </w:r>
            <w:proofErr w:type="gramEnd"/>
            <w:r w:rsidRPr="00A14201">
              <w:rPr>
                <w:rFonts w:asciiTheme="minorHAnsi" w:eastAsiaTheme="minorEastAsia" w:hAnsiTheme="minorHAnsi" w:cstheme="minorHAnsi"/>
                <w:color w:val="0F1115"/>
                <w:kern w:val="0"/>
                <w:szCs w:val="21"/>
              </w:rPr>
              <w:t>）</w:t>
            </w:r>
          </w:p>
        </w:tc>
        <w:tc>
          <w:tcPr>
            <w:tcW w:w="1559" w:type="dxa"/>
            <w:hideMark/>
          </w:tcPr>
          <w:p w14:paraId="4D20C80D"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年费</w:t>
            </w:r>
            <w:r w:rsidRPr="00A14201">
              <w:rPr>
                <w:rFonts w:asciiTheme="minorHAnsi" w:eastAsiaTheme="minorEastAsia" w:hAnsiTheme="minorHAnsi" w:cstheme="minorHAnsi"/>
                <w:color w:val="0F1115"/>
                <w:kern w:val="0"/>
                <w:szCs w:val="21"/>
              </w:rPr>
              <w:t>3000-2</w:t>
            </w:r>
            <w:r w:rsidRPr="00A14201">
              <w:rPr>
                <w:rFonts w:asciiTheme="minorHAnsi" w:eastAsiaTheme="minorEastAsia" w:hAnsiTheme="minorHAnsi" w:cstheme="minorHAnsi"/>
                <w:color w:val="0F1115"/>
                <w:kern w:val="0"/>
                <w:szCs w:val="21"/>
              </w:rPr>
              <w:t>万元</w:t>
            </w:r>
          </w:p>
        </w:tc>
        <w:tc>
          <w:tcPr>
            <w:tcW w:w="2602" w:type="dxa"/>
            <w:hideMark/>
          </w:tcPr>
          <w:p w14:paraId="7DA76978"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w:t>
            </w:r>
            <w:r w:rsidRPr="00A14201">
              <w:rPr>
                <w:rFonts w:asciiTheme="minorHAnsi" w:eastAsiaTheme="minorEastAsia" w:hAnsiTheme="minorHAnsi" w:cstheme="minorHAnsi"/>
                <w:color w:val="0F1115"/>
                <w:kern w:val="0"/>
                <w:szCs w:val="21"/>
              </w:rPr>
              <w:t>万</w:t>
            </w:r>
            <w:r w:rsidRPr="00A14201">
              <w:rPr>
                <w:rFonts w:asciiTheme="minorHAnsi" w:eastAsiaTheme="minorEastAsia" w:hAnsiTheme="minorHAnsi" w:cstheme="minorHAnsi"/>
                <w:color w:val="0F1115"/>
                <w:kern w:val="0"/>
                <w:szCs w:val="21"/>
              </w:rPr>
              <w:t>-5</w:t>
            </w:r>
            <w:r w:rsidRPr="00A14201">
              <w:rPr>
                <w:rFonts w:asciiTheme="minorHAnsi" w:eastAsiaTheme="minorEastAsia" w:hAnsiTheme="minorHAnsi" w:cstheme="minorHAnsi"/>
                <w:color w:val="0F1115"/>
                <w:kern w:val="0"/>
                <w:szCs w:val="21"/>
              </w:rPr>
              <w:t>万元（含视觉与控制系统）</w:t>
            </w:r>
          </w:p>
        </w:tc>
      </w:tr>
      <w:tr w:rsidR="00355B60" w:rsidRPr="00A14201" w14:paraId="5961BA69" w14:textId="77777777" w:rsidTr="00355B60">
        <w:trPr>
          <w:trHeight w:val="1269"/>
          <w:jc w:val="center"/>
        </w:trPr>
        <w:tc>
          <w:tcPr>
            <w:tcW w:w="1101" w:type="dxa"/>
            <w:hideMark/>
          </w:tcPr>
          <w:p w14:paraId="26182A45"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场地要求</w:t>
            </w:r>
          </w:p>
        </w:tc>
        <w:tc>
          <w:tcPr>
            <w:tcW w:w="1275" w:type="dxa"/>
            <w:hideMark/>
          </w:tcPr>
          <w:p w14:paraId="081A6426"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需专门药房改造，</w:t>
            </w:r>
            <w:r w:rsidRPr="00A14201">
              <w:rPr>
                <w:rFonts w:asciiTheme="minorHAnsi" w:eastAsiaTheme="minorEastAsia" w:hAnsiTheme="minorHAnsi" w:cstheme="minorHAnsi"/>
                <w:color w:val="0F1115"/>
                <w:kern w:val="0"/>
                <w:szCs w:val="21"/>
              </w:rPr>
              <w:t>≥50</w:t>
            </w:r>
            <w:r w:rsidRPr="00A14201">
              <w:rPr>
                <w:rFonts w:asciiTheme="minorHAnsi" w:eastAsiaTheme="minorEastAsia" w:hAnsiTheme="minorHAnsi" w:cstheme="minorHAnsi"/>
                <w:color w:val="0F1115"/>
                <w:kern w:val="0"/>
                <w:szCs w:val="21"/>
              </w:rPr>
              <w:t>㎡</w:t>
            </w:r>
          </w:p>
        </w:tc>
        <w:tc>
          <w:tcPr>
            <w:tcW w:w="1985" w:type="dxa"/>
            <w:hideMark/>
          </w:tcPr>
          <w:p w14:paraId="7780B96D"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桌面级，约</w:t>
            </w:r>
            <w:r w:rsidRPr="00A14201">
              <w:rPr>
                <w:rFonts w:asciiTheme="minorHAnsi" w:eastAsiaTheme="minorEastAsia" w:hAnsiTheme="minorHAnsi" w:cstheme="minorHAnsi"/>
                <w:color w:val="0F1115"/>
                <w:kern w:val="0"/>
                <w:szCs w:val="21"/>
              </w:rPr>
              <w:t>1-2</w:t>
            </w:r>
            <w:r w:rsidRPr="00A14201">
              <w:rPr>
                <w:rFonts w:asciiTheme="minorHAnsi" w:eastAsiaTheme="minorEastAsia" w:hAnsiTheme="minorHAnsi" w:cstheme="minorHAnsi"/>
                <w:color w:val="0F1115"/>
                <w:kern w:val="0"/>
                <w:szCs w:val="21"/>
              </w:rPr>
              <w:t>㎡</w:t>
            </w:r>
          </w:p>
        </w:tc>
        <w:tc>
          <w:tcPr>
            <w:tcW w:w="1559" w:type="dxa"/>
            <w:hideMark/>
          </w:tcPr>
          <w:p w14:paraId="20569092"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无要求</w:t>
            </w:r>
          </w:p>
        </w:tc>
        <w:tc>
          <w:tcPr>
            <w:tcW w:w="2602" w:type="dxa"/>
            <w:hideMark/>
          </w:tcPr>
          <w:p w14:paraId="33F50230"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桌面级，</w:t>
            </w:r>
            <w:r w:rsidRPr="00A14201">
              <w:rPr>
                <w:rFonts w:asciiTheme="minorHAnsi" w:eastAsiaTheme="minorEastAsia" w:hAnsiTheme="minorHAnsi" w:cstheme="minorHAnsi"/>
                <w:color w:val="0F1115"/>
                <w:kern w:val="0"/>
                <w:szCs w:val="21"/>
              </w:rPr>
              <w:t>≤1.5</w:t>
            </w:r>
            <w:r w:rsidRPr="00A14201">
              <w:rPr>
                <w:rFonts w:asciiTheme="minorHAnsi" w:eastAsiaTheme="minorEastAsia" w:hAnsiTheme="minorHAnsi" w:cstheme="minorHAnsi"/>
                <w:color w:val="0F1115"/>
                <w:kern w:val="0"/>
                <w:szCs w:val="21"/>
              </w:rPr>
              <w:t>㎡，无需场地改造</w:t>
            </w:r>
          </w:p>
        </w:tc>
      </w:tr>
      <w:tr w:rsidR="00355B60" w:rsidRPr="00A14201" w14:paraId="31CB25C9" w14:textId="77777777" w:rsidTr="00355B60">
        <w:trPr>
          <w:trHeight w:val="1273"/>
          <w:jc w:val="center"/>
        </w:trPr>
        <w:tc>
          <w:tcPr>
            <w:tcW w:w="1101" w:type="dxa"/>
            <w:hideMark/>
          </w:tcPr>
          <w:p w14:paraId="15393938"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能否独立完成</w:t>
            </w:r>
            <w:proofErr w:type="gramStart"/>
            <w:r w:rsidRPr="00A14201">
              <w:rPr>
                <w:rFonts w:asciiTheme="minorHAnsi" w:eastAsia="黑体" w:hAnsiTheme="minorHAnsi" w:cstheme="minorHAnsi"/>
                <w:color w:val="0F1115"/>
                <w:kern w:val="0"/>
                <w:szCs w:val="21"/>
              </w:rPr>
              <w:t>药房拣货</w:t>
            </w:r>
            <w:proofErr w:type="gramEnd"/>
          </w:p>
        </w:tc>
        <w:tc>
          <w:tcPr>
            <w:tcW w:w="1275" w:type="dxa"/>
            <w:hideMark/>
          </w:tcPr>
          <w:p w14:paraId="4F54E279" w14:textId="691E3F86"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需定制药槽与系统集成</w:t>
            </w:r>
          </w:p>
        </w:tc>
        <w:tc>
          <w:tcPr>
            <w:tcW w:w="1985" w:type="dxa"/>
            <w:hideMark/>
          </w:tcPr>
          <w:p w14:paraId="06812097" w14:textId="2D3702C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裸机无法识别药品，需二次开发</w:t>
            </w:r>
          </w:p>
        </w:tc>
        <w:tc>
          <w:tcPr>
            <w:tcW w:w="1559" w:type="dxa"/>
            <w:hideMark/>
          </w:tcPr>
          <w:p w14:paraId="22CBF229" w14:textId="38EF9E81"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完全依赖</w:t>
            </w:r>
            <w:proofErr w:type="gramStart"/>
            <w:r w:rsidRPr="00A14201">
              <w:rPr>
                <w:rFonts w:asciiTheme="minorHAnsi" w:eastAsiaTheme="minorEastAsia" w:hAnsiTheme="minorHAnsi" w:cstheme="minorHAnsi"/>
                <w:color w:val="0F1115"/>
                <w:kern w:val="0"/>
                <w:szCs w:val="21"/>
              </w:rPr>
              <w:t>人工拣货</w:t>
            </w:r>
            <w:proofErr w:type="gramEnd"/>
          </w:p>
        </w:tc>
        <w:tc>
          <w:tcPr>
            <w:tcW w:w="2602" w:type="dxa"/>
            <w:hideMark/>
          </w:tcPr>
          <w:p w14:paraId="0515D64E" w14:textId="3A3651E9"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开箱即用，视觉引导自动抓取</w:t>
            </w:r>
          </w:p>
        </w:tc>
      </w:tr>
      <w:tr w:rsidR="00355B60" w:rsidRPr="00A14201" w14:paraId="607E1DBF" w14:textId="77777777" w:rsidTr="00355B60">
        <w:trPr>
          <w:trHeight w:val="852"/>
          <w:jc w:val="center"/>
        </w:trPr>
        <w:tc>
          <w:tcPr>
            <w:tcW w:w="1101" w:type="dxa"/>
            <w:hideMark/>
          </w:tcPr>
          <w:p w14:paraId="59755361"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药品核对能力</w:t>
            </w:r>
          </w:p>
        </w:tc>
        <w:tc>
          <w:tcPr>
            <w:tcW w:w="1275" w:type="dxa"/>
            <w:hideMark/>
          </w:tcPr>
          <w:p w14:paraId="050C9565"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条码扫描</w:t>
            </w:r>
          </w:p>
        </w:tc>
        <w:tc>
          <w:tcPr>
            <w:tcW w:w="1985" w:type="dxa"/>
            <w:hideMark/>
          </w:tcPr>
          <w:p w14:paraId="4ECBFF69"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无（需外挂）</w:t>
            </w:r>
          </w:p>
        </w:tc>
        <w:tc>
          <w:tcPr>
            <w:tcW w:w="1559" w:type="dxa"/>
            <w:hideMark/>
          </w:tcPr>
          <w:p w14:paraId="03123012"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无物理核对</w:t>
            </w:r>
          </w:p>
        </w:tc>
        <w:tc>
          <w:tcPr>
            <w:tcW w:w="2602" w:type="dxa"/>
            <w:hideMark/>
          </w:tcPr>
          <w:p w14:paraId="6BCADC9B"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条码</w:t>
            </w:r>
            <w:r w:rsidRPr="00A14201">
              <w:rPr>
                <w:rFonts w:asciiTheme="minorHAnsi" w:eastAsiaTheme="minorEastAsia" w:hAnsiTheme="minorHAnsi" w:cstheme="minorHAnsi"/>
                <w:color w:val="0F1115"/>
                <w:kern w:val="0"/>
                <w:szCs w:val="21"/>
              </w:rPr>
              <w:t>+OCR+</w:t>
            </w:r>
            <w:r w:rsidRPr="00A14201">
              <w:rPr>
                <w:rFonts w:asciiTheme="minorHAnsi" w:eastAsiaTheme="minorEastAsia" w:hAnsiTheme="minorHAnsi" w:cstheme="minorHAnsi"/>
                <w:color w:val="0F1115"/>
                <w:kern w:val="0"/>
                <w:szCs w:val="21"/>
              </w:rPr>
              <w:t>视觉三重校验</w:t>
            </w:r>
          </w:p>
        </w:tc>
      </w:tr>
      <w:tr w:rsidR="00355B60" w:rsidRPr="00A14201" w14:paraId="580AE839" w14:textId="77777777" w:rsidTr="00355B60">
        <w:trPr>
          <w:trHeight w:val="850"/>
          <w:jc w:val="center"/>
        </w:trPr>
        <w:tc>
          <w:tcPr>
            <w:tcW w:w="1101" w:type="dxa"/>
            <w:hideMark/>
          </w:tcPr>
          <w:p w14:paraId="61480778"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AI</w:t>
            </w:r>
            <w:r w:rsidRPr="00A14201">
              <w:rPr>
                <w:rFonts w:asciiTheme="minorHAnsi" w:eastAsia="黑体" w:hAnsiTheme="minorHAnsi" w:cstheme="minorHAnsi"/>
                <w:color w:val="0F1115"/>
                <w:kern w:val="0"/>
                <w:szCs w:val="21"/>
              </w:rPr>
              <w:t>用药咨询</w:t>
            </w:r>
          </w:p>
        </w:tc>
        <w:tc>
          <w:tcPr>
            <w:tcW w:w="1275" w:type="dxa"/>
            <w:hideMark/>
          </w:tcPr>
          <w:p w14:paraId="235373B1"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无</w:t>
            </w:r>
          </w:p>
        </w:tc>
        <w:tc>
          <w:tcPr>
            <w:tcW w:w="1985" w:type="dxa"/>
            <w:hideMark/>
          </w:tcPr>
          <w:p w14:paraId="538A12C2"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无</w:t>
            </w:r>
          </w:p>
        </w:tc>
        <w:tc>
          <w:tcPr>
            <w:tcW w:w="1559" w:type="dxa"/>
            <w:hideMark/>
          </w:tcPr>
          <w:p w14:paraId="72FE84EC"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部分平台集成在线问诊</w:t>
            </w:r>
          </w:p>
        </w:tc>
        <w:tc>
          <w:tcPr>
            <w:tcW w:w="2602" w:type="dxa"/>
            <w:hideMark/>
          </w:tcPr>
          <w:p w14:paraId="293E59E1"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proofErr w:type="gramStart"/>
            <w:r w:rsidRPr="00A14201">
              <w:rPr>
                <w:rFonts w:asciiTheme="minorHAnsi" w:eastAsiaTheme="minorEastAsia" w:hAnsiTheme="minorHAnsi" w:cstheme="minorHAnsi"/>
                <w:color w:val="0F1115"/>
                <w:kern w:val="0"/>
                <w:szCs w:val="21"/>
              </w:rPr>
              <w:t>医疗大</w:t>
            </w:r>
            <w:proofErr w:type="gramEnd"/>
            <w:r w:rsidRPr="00A14201">
              <w:rPr>
                <w:rFonts w:asciiTheme="minorHAnsi" w:eastAsiaTheme="minorEastAsia" w:hAnsiTheme="minorHAnsi" w:cstheme="minorHAnsi"/>
                <w:color w:val="0F1115"/>
                <w:kern w:val="0"/>
                <w:szCs w:val="21"/>
              </w:rPr>
              <w:t>模型</w:t>
            </w:r>
            <w:r w:rsidRPr="00A14201">
              <w:rPr>
                <w:rFonts w:asciiTheme="minorHAnsi" w:eastAsiaTheme="minorEastAsia" w:hAnsiTheme="minorHAnsi" w:cstheme="minorHAnsi"/>
                <w:color w:val="0F1115"/>
                <w:kern w:val="0"/>
                <w:szCs w:val="21"/>
              </w:rPr>
              <w:t>+</w:t>
            </w:r>
            <w:r w:rsidRPr="00A14201">
              <w:rPr>
                <w:rFonts w:asciiTheme="minorHAnsi" w:eastAsiaTheme="minorEastAsia" w:hAnsiTheme="minorHAnsi" w:cstheme="minorHAnsi"/>
                <w:color w:val="0F1115"/>
                <w:kern w:val="0"/>
                <w:szCs w:val="21"/>
              </w:rPr>
              <w:t>合</w:t>
            </w:r>
            <w:proofErr w:type="gramStart"/>
            <w:r w:rsidRPr="00A14201">
              <w:rPr>
                <w:rFonts w:asciiTheme="minorHAnsi" w:eastAsiaTheme="minorEastAsia" w:hAnsiTheme="minorHAnsi" w:cstheme="minorHAnsi"/>
                <w:color w:val="0F1115"/>
                <w:kern w:val="0"/>
                <w:szCs w:val="21"/>
              </w:rPr>
              <w:t>规</w:t>
            </w:r>
            <w:proofErr w:type="gramEnd"/>
            <w:r w:rsidRPr="00A14201">
              <w:rPr>
                <w:rFonts w:asciiTheme="minorHAnsi" w:eastAsiaTheme="minorEastAsia" w:hAnsiTheme="minorHAnsi" w:cstheme="minorHAnsi"/>
                <w:color w:val="0F1115"/>
                <w:kern w:val="0"/>
                <w:szCs w:val="21"/>
              </w:rPr>
              <w:t>兜底</w:t>
            </w:r>
          </w:p>
        </w:tc>
      </w:tr>
      <w:tr w:rsidR="00355B60" w:rsidRPr="00A14201" w14:paraId="6EE85018" w14:textId="77777777" w:rsidTr="00355B60">
        <w:trPr>
          <w:trHeight w:val="990"/>
          <w:jc w:val="center"/>
        </w:trPr>
        <w:tc>
          <w:tcPr>
            <w:tcW w:w="1101" w:type="dxa"/>
            <w:hideMark/>
          </w:tcPr>
          <w:p w14:paraId="357BCA98"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库存实时更新</w:t>
            </w:r>
          </w:p>
        </w:tc>
        <w:tc>
          <w:tcPr>
            <w:tcW w:w="1275" w:type="dxa"/>
            <w:hideMark/>
          </w:tcPr>
          <w:p w14:paraId="6917F4AB"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封闭系统内闭环</w:t>
            </w:r>
          </w:p>
        </w:tc>
        <w:tc>
          <w:tcPr>
            <w:tcW w:w="1985" w:type="dxa"/>
            <w:hideMark/>
          </w:tcPr>
          <w:p w14:paraId="571240F3"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无</w:t>
            </w:r>
          </w:p>
        </w:tc>
        <w:tc>
          <w:tcPr>
            <w:tcW w:w="1559" w:type="dxa"/>
            <w:hideMark/>
          </w:tcPr>
          <w:p w14:paraId="72529BA4"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进销存层面</w:t>
            </w:r>
          </w:p>
        </w:tc>
        <w:tc>
          <w:tcPr>
            <w:tcW w:w="2602" w:type="dxa"/>
            <w:hideMark/>
          </w:tcPr>
          <w:p w14:paraId="6629DBF6"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proofErr w:type="gramStart"/>
            <w:r w:rsidRPr="00A14201">
              <w:rPr>
                <w:rFonts w:asciiTheme="minorHAnsi" w:eastAsiaTheme="minorEastAsia" w:hAnsiTheme="minorHAnsi" w:cstheme="minorHAnsi"/>
                <w:color w:val="0F1115"/>
                <w:kern w:val="0"/>
                <w:szCs w:val="21"/>
              </w:rPr>
              <w:t>拣货即</w:t>
            </w:r>
            <w:proofErr w:type="gramEnd"/>
            <w:r w:rsidRPr="00A14201">
              <w:rPr>
                <w:rFonts w:asciiTheme="minorHAnsi" w:eastAsiaTheme="minorEastAsia" w:hAnsiTheme="minorHAnsi" w:cstheme="minorHAnsi"/>
                <w:color w:val="0F1115"/>
                <w:kern w:val="0"/>
                <w:szCs w:val="21"/>
              </w:rPr>
              <w:t>减库存，秒级同步</w:t>
            </w:r>
          </w:p>
        </w:tc>
      </w:tr>
      <w:tr w:rsidR="00355B60" w:rsidRPr="00A14201" w14:paraId="730AB68B" w14:textId="77777777" w:rsidTr="00355B60">
        <w:trPr>
          <w:trHeight w:val="1286"/>
          <w:jc w:val="center"/>
        </w:trPr>
        <w:tc>
          <w:tcPr>
            <w:tcW w:w="1101" w:type="dxa"/>
            <w:hideMark/>
          </w:tcPr>
          <w:p w14:paraId="61559FDA"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核心优势</w:t>
            </w:r>
          </w:p>
        </w:tc>
        <w:tc>
          <w:tcPr>
            <w:tcW w:w="1275" w:type="dxa"/>
            <w:hideMark/>
          </w:tcPr>
          <w:p w14:paraId="2CE26735"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超高发药通量，技术成熟</w:t>
            </w:r>
          </w:p>
        </w:tc>
        <w:tc>
          <w:tcPr>
            <w:tcW w:w="1985" w:type="dxa"/>
            <w:hideMark/>
          </w:tcPr>
          <w:p w14:paraId="049E1D25"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灵活可编程，硬件成本可控</w:t>
            </w:r>
          </w:p>
        </w:tc>
        <w:tc>
          <w:tcPr>
            <w:tcW w:w="1559" w:type="dxa"/>
            <w:hideMark/>
          </w:tcPr>
          <w:p w14:paraId="40D0D375"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轻量化部署，订阅制付费</w:t>
            </w:r>
          </w:p>
        </w:tc>
        <w:tc>
          <w:tcPr>
            <w:tcW w:w="2602" w:type="dxa"/>
            <w:hideMark/>
          </w:tcPr>
          <w:p w14:paraId="264D0021"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软硬一体闭环，免集成免开发，成本可控</w:t>
            </w:r>
          </w:p>
        </w:tc>
      </w:tr>
      <w:tr w:rsidR="00355B60" w:rsidRPr="00A14201" w14:paraId="0B9C7B53" w14:textId="77777777" w:rsidTr="00355B60">
        <w:trPr>
          <w:jc w:val="center"/>
        </w:trPr>
        <w:tc>
          <w:tcPr>
            <w:tcW w:w="1101" w:type="dxa"/>
            <w:hideMark/>
          </w:tcPr>
          <w:p w14:paraId="7D09FA6A" w14:textId="77777777" w:rsidR="00355B60" w:rsidRPr="00A14201" w:rsidRDefault="00355B60" w:rsidP="00355B60">
            <w:pPr>
              <w:keepNext/>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lastRenderedPageBreak/>
              <w:t>核心劣势</w:t>
            </w:r>
          </w:p>
        </w:tc>
        <w:tc>
          <w:tcPr>
            <w:tcW w:w="1275" w:type="dxa"/>
            <w:hideMark/>
          </w:tcPr>
          <w:p w14:paraId="02D8A188"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造价极高、体积庞大、无法下沉中小场景</w:t>
            </w:r>
          </w:p>
        </w:tc>
        <w:tc>
          <w:tcPr>
            <w:tcW w:w="1985" w:type="dxa"/>
            <w:hideMark/>
          </w:tcPr>
          <w:p w14:paraId="4BB99CF9"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非药房专用，无场景算法，需用户自行开发集成</w:t>
            </w:r>
          </w:p>
        </w:tc>
        <w:tc>
          <w:tcPr>
            <w:tcW w:w="1559" w:type="dxa"/>
            <w:hideMark/>
          </w:tcPr>
          <w:p w14:paraId="2AC7C9A3"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不解决物理世界分拣，线上线下脱节</w:t>
            </w:r>
          </w:p>
        </w:tc>
        <w:tc>
          <w:tcPr>
            <w:tcW w:w="2602" w:type="dxa"/>
            <w:hideMark/>
          </w:tcPr>
          <w:p w14:paraId="4D8F4024" w14:textId="77777777" w:rsidR="00355B60" w:rsidRPr="00A14201" w:rsidRDefault="00355B60" w:rsidP="00355B60">
            <w:pPr>
              <w:keepNext/>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单机通量不及大型发药设备</w:t>
            </w:r>
          </w:p>
        </w:tc>
      </w:tr>
    </w:tbl>
    <w:p w14:paraId="0F53B5B4" w14:textId="77777777" w:rsidR="00355B60" w:rsidRDefault="00355B60" w:rsidP="00355B60">
      <w:pPr>
        <w:ind w:firstLineChars="200" w:firstLine="420"/>
        <w:rPr>
          <w:rFonts w:asciiTheme="minorEastAsia" w:eastAsiaTheme="minorEastAsia" w:hAnsiTheme="minorEastAsia" w:hint="eastAsia"/>
        </w:rPr>
      </w:pPr>
    </w:p>
    <w:p w14:paraId="0719914B" w14:textId="6D19BC24" w:rsidR="00355B60" w:rsidRPr="003E41C6" w:rsidRDefault="00355B60" w:rsidP="00355B60">
      <w:pPr>
        <w:ind w:firstLineChars="200" w:firstLine="420"/>
        <w:rPr>
          <w:rFonts w:asciiTheme="minorHAnsi" w:eastAsiaTheme="minorEastAsia" w:hAnsiTheme="minorHAnsi" w:cstheme="minorHAnsi"/>
        </w:rPr>
      </w:pPr>
      <w:r w:rsidRPr="003E41C6">
        <w:rPr>
          <w:rFonts w:asciiTheme="minorHAnsi" w:eastAsiaTheme="minorEastAsia" w:hAnsiTheme="minorHAnsi" w:cstheme="minorHAnsi"/>
        </w:rPr>
        <w:t>从上表可清晰看出，三类现有方案均存在不可逾越的场景盲区：</w:t>
      </w:r>
    </w:p>
    <w:p w14:paraId="7AE7AE47" w14:textId="3F650DB2" w:rsidR="00355B60" w:rsidRPr="003E41C6" w:rsidRDefault="00355B60" w:rsidP="00355B60">
      <w:pPr>
        <w:ind w:firstLineChars="200" w:firstLine="422"/>
        <w:rPr>
          <w:rFonts w:asciiTheme="minorHAnsi" w:eastAsiaTheme="minorEastAsia" w:hAnsiTheme="minorHAnsi" w:cstheme="minorHAnsi"/>
        </w:rPr>
      </w:pPr>
      <w:r w:rsidRPr="003E41C6">
        <w:rPr>
          <w:rFonts w:asciiTheme="minorHAnsi" w:eastAsiaTheme="minorEastAsia" w:hAnsiTheme="minorHAnsi" w:cstheme="minorHAnsi"/>
          <w:b/>
          <w:bCs/>
        </w:rPr>
        <w:t>（</w:t>
      </w:r>
      <w:r w:rsidRPr="003E41C6">
        <w:rPr>
          <w:rFonts w:asciiTheme="minorHAnsi" w:eastAsiaTheme="minorEastAsia" w:hAnsiTheme="minorHAnsi" w:cstheme="minorHAnsi"/>
          <w:b/>
          <w:bCs/>
        </w:rPr>
        <w:t>1</w:t>
      </w:r>
      <w:r w:rsidRPr="003E41C6">
        <w:rPr>
          <w:rFonts w:asciiTheme="minorHAnsi" w:eastAsiaTheme="minorEastAsia" w:hAnsiTheme="minorHAnsi" w:cstheme="minorHAnsi"/>
          <w:b/>
          <w:bCs/>
        </w:rPr>
        <w:t>）大型自动发药设备</w:t>
      </w:r>
      <w:r w:rsidRPr="003E41C6">
        <w:rPr>
          <w:rFonts w:asciiTheme="minorHAnsi" w:eastAsiaTheme="minorEastAsia" w:hAnsiTheme="minorHAnsi" w:cstheme="minorHAnsi"/>
        </w:rPr>
        <w:t>：性能强悍，但单套成本相当于一家社区药店半年至一年的净利润，且需要专用场地改造，</w:t>
      </w:r>
      <w:r w:rsidRPr="003E41C6">
        <w:rPr>
          <w:rFonts w:asciiTheme="minorHAnsi" w:eastAsiaTheme="minorEastAsia" w:hAnsiTheme="minorHAnsi" w:cstheme="minorHAnsi"/>
          <w:b/>
          <w:bCs/>
        </w:rPr>
        <w:t>沉不下去</w:t>
      </w:r>
      <w:r w:rsidRPr="003E41C6">
        <w:rPr>
          <w:rFonts w:asciiTheme="minorHAnsi" w:eastAsiaTheme="minorEastAsia" w:hAnsiTheme="minorHAnsi" w:cstheme="minorHAnsi"/>
        </w:rPr>
        <w:t>。</w:t>
      </w:r>
    </w:p>
    <w:p w14:paraId="2515D74D" w14:textId="6AA645A7" w:rsidR="00355B60" w:rsidRPr="003E41C6" w:rsidRDefault="00355B60" w:rsidP="00355B60">
      <w:pPr>
        <w:ind w:firstLineChars="200" w:firstLine="422"/>
        <w:rPr>
          <w:rFonts w:asciiTheme="minorHAnsi" w:eastAsiaTheme="minorEastAsia" w:hAnsiTheme="minorHAnsi" w:cstheme="minorHAnsi"/>
        </w:rPr>
      </w:pPr>
      <w:r w:rsidRPr="003E41C6">
        <w:rPr>
          <w:rFonts w:asciiTheme="minorHAnsi" w:eastAsiaTheme="minorEastAsia" w:hAnsiTheme="minorHAnsi" w:cstheme="minorHAnsi"/>
          <w:b/>
          <w:bCs/>
        </w:rPr>
        <w:t>（</w:t>
      </w:r>
      <w:r w:rsidRPr="003E41C6">
        <w:rPr>
          <w:rFonts w:asciiTheme="minorHAnsi" w:eastAsiaTheme="minorEastAsia" w:hAnsiTheme="minorHAnsi" w:cstheme="minorHAnsi"/>
          <w:b/>
          <w:bCs/>
        </w:rPr>
        <w:t>2</w:t>
      </w:r>
      <w:r w:rsidRPr="003E41C6">
        <w:rPr>
          <w:rFonts w:asciiTheme="minorHAnsi" w:eastAsiaTheme="minorEastAsia" w:hAnsiTheme="minorHAnsi" w:cstheme="minorHAnsi"/>
          <w:b/>
          <w:bCs/>
        </w:rPr>
        <w:t>）通用协作机械臂</w:t>
      </w:r>
      <w:r w:rsidRPr="003E41C6">
        <w:rPr>
          <w:rFonts w:asciiTheme="minorHAnsi" w:eastAsiaTheme="minorEastAsia" w:hAnsiTheme="minorHAnsi" w:cstheme="minorHAnsi"/>
        </w:rPr>
        <w:t>：硬件本体优秀，但裸机交付意味着用户需要自行解决药品识别算法、抓取策略、</w:t>
      </w:r>
      <w:r w:rsidRPr="003E41C6">
        <w:rPr>
          <w:rFonts w:asciiTheme="minorHAnsi" w:eastAsiaTheme="minorEastAsia" w:hAnsiTheme="minorHAnsi" w:cstheme="minorHAnsi"/>
        </w:rPr>
        <w:t>ERP</w:t>
      </w:r>
      <w:r w:rsidRPr="003E41C6">
        <w:rPr>
          <w:rFonts w:asciiTheme="minorHAnsi" w:eastAsiaTheme="minorEastAsia" w:hAnsiTheme="minorHAnsi" w:cstheme="minorHAnsi"/>
        </w:rPr>
        <w:t>对接等复杂工程问题。普通药店不具备此类技术整合能力，</w:t>
      </w:r>
      <w:r w:rsidRPr="003E41C6">
        <w:rPr>
          <w:rFonts w:asciiTheme="minorHAnsi" w:eastAsiaTheme="minorEastAsia" w:hAnsiTheme="minorHAnsi" w:cstheme="minorHAnsi"/>
          <w:b/>
          <w:bCs/>
        </w:rPr>
        <w:t>接不住场景</w:t>
      </w:r>
      <w:r w:rsidRPr="003E41C6">
        <w:rPr>
          <w:rFonts w:asciiTheme="minorHAnsi" w:eastAsiaTheme="minorEastAsia" w:hAnsiTheme="minorHAnsi" w:cstheme="minorHAnsi"/>
        </w:rPr>
        <w:t>。</w:t>
      </w:r>
    </w:p>
    <w:p w14:paraId="51F1620A" w14:textId="1406A735" w:rsidR="00355B60" w:rsidRPr="003E41C6" w:rsidRDefault="00355B60" w:rsidP="00355B60">
      <w:pPr>
        <w:ind w:firstLineChars="200" w:firstLine="422"/>
        <w:rPr>
          <w:rFonts w:asciiTheme="minorHAnsi" w:eastAsiaTheme="minorEastAsia" w:hAnsiTheme="minorHAnsi" w:cstheme="minorHAnsi"/>
        </w:rPr>
      </w:pPr>
      <w:r w:rsidRPr="003E41C6">
        <w:rPr>
          <w:rFonts w:asciiTheme="minorHAnsi" w:eastAsiaTheme="minorEastAsia" w:hAnsiTheme="minorHAnsi" w:cstheme="minorHAnsi"/>
          <w:b/>
          <w:bCs/>
        </w:rPr>
        <w:t>（</w:t>
      </w:r>
      <w:r w:rsidRPr="003E41C6">
        <w:rPr>
          <w:rFonts w:asciiTheme="minorHAnsi" w:eastAsiaTheme="minorEastAsia" w:hAnsiTheme="minorHAnsi" w:cstheme="minorHAnsi"/>
          <w:b/>
          <w:bCs/>
        </w:rPr>
        <w:t>3</w:t>
      </w:r>
      <w:r w:rsidRPr="003E41C6">
        <w:rPr>
          <w:rFonts w:asciiTheme="minorHAnsi" w:eastAsiaTheme="minorEastAsia" w:hAnsiTheme="minorHAnsi" w:cstheme="minorHAnsi"/>
          <w:b/>
          <w:bCs/>
        </w:rPr>
        <w:t>）纯软件</w:t>
      </w:r>
      <w:r w:rsidRPr="003E41C6">
        <w:rPr>
          <w:rFonts w:asciiTheme="minorHAnsi" w:eastAsiaTheme="minorEastAsia" w:hAnsiTheme="minorHAnsi" w:cstheme="minorHAnsi"/>
          <w:b/>
          <w:bCs/>
        </w:rPr>
        <w:t>/SaaS</w:t>
      </w:r>
      <w:r w:rsidRPr="003E41C6">
        <w:rPr>
          <w:rFonts w:asciiTheme="minorHAnsi" w:eastAsiaTheme="minorEastAsia" w:hAnsiTheme="minorHAnsi" w:cstheme="minorHAnsi"/>
          <w:b/>
          <w:bCs/>
        </w:rPr>
        <w:t>平台</w:t>
      </w:r>
      <w:r w:rsidRPr="003E41C6">
        <w:rPr>
          <w:rFonts w:asciiTheme="minorHAnsi" w:eastAsiaTheme="minorEastAsia" w:hAnsiTheme="minorHAnsi" w:cstheme="minorHAnsi"/>
        </w:rPr>
        <w:t>：优化了进销存和线上对接，但药品分拣仍需店员在货架间来回寻找、手工核对，</w:t>
      </w:r>
      <w:r w:rsidRPr="003E41C6">
        <w:rPr>
          <w:rFonts w:asciiTheme="minorHAnsi" w:eastAsiaTheme="minorEastAsia" w:hAnsiTheme="minorHAnsi" w:cstheme="minorHAnsi"/>
          <w:b/>
          <w:bCs/>
        </w:rPr>
        <w:t>碰不到药盒</w:t>
      </w:r>
      <w:r w:rsidRPr="003E41C6">
        <w:rPr>
          <w:rFonts w:asciiTheme="minorHAnsi" w:eastAsiaTheme="minorEastAsia" w:hAnsiTheme="minorHAnsi" w:cstheme="minorHAnsi"/>
        </w:rPr>
        <w:t>。尤其在</w:t>
      </w:r>
      <w:r w:rsidRPr="003E41C6">
        <w:rPr>
          <w:rFonts w:asciiTheme="minorHAnsi" w:eastAsiaTheme="minorEastAsia" w:hAnsiTheme="minorHAnsi" w:cstheme="minorHAnsi"/>
        </w:rPr>
        <w:t>O2O</w:t>
      </w:r>
      <w:r w:rsidRPr="003E41C6">
        <w:rPr>
          <w:rFonts w:asciiTheme="minorHAnsi" w:eastAsiaTheme="minorEastAsia" w:hAnsiTheme="minorHAnsi" w:cstheme="minorHAnsi"/>
        </w:rPr>
        <w:t>高峰期，人工操作的效率瓶颈完全无法靠软件解决。</w:t>
      </w:r>
    </w:p>
    <w:p w14:paraId="7656BA2A" w14:textId="5E494B15" w:rsidR="00B40675" w:rsidRPr="003E41C6" w:rsidRDefault="00355B60" w:rsidP="00355B60">
      <w:pPr>
        <w:ind w:firstLineChars="200" w:firstLine="420"/>
        <w:rPr>
          <w:rFonts w:asciiTheme="minorHAnsi" w:eastAsiaTheme="minorEastAsia" w:hAnsiTheme="minorHAnsi" w:cstheme="minorHAnsi"/>
        </w:rPr>
      </w:pPr>
      <w:proofErr w:type="spellStart"/>
      <w:r w:rsidRPr="003E41C6">
        <w:rPr>
          <w:rFonts w:asciiTheme="minorHAnsi" w:eastAsiaTheme="minorEastAsia" w:hAnsiTheme="minorHAnsi" w:cstheme="minorHAnsi"/>
        </w:rPr>
        <w:t>PharmacyBot</w:t>
      </w:r>
      <w:proofErr w:type="spellEnd"/>
      <w:r w:rsidRPr="003E41C6">
        <w:rPr>
          <w:rFonts w:asciiTheme="minorHAnsi" w:eastAsiaTheme="minorEastAsia" w:hAnsiTheme="minorHAnsi" w:cstheme="minorHAnsi"/>
        </w:rPr>
        <w:t>的竞争策略不是在红海中争夺存量份额，而是通过场景化集成，将</w:t>
      </w:r>
      <w:r w:rsidRPr="003E41C6">
        <w:rPr>
          <w:rFonts w:asciiTheme="minorHAnsi" w:eastAsiaTheme="minorEastAsia" w:hAnsiTheme="minorHAnsi" w:cstheme="minorHAnsi"/>
        </w:rPr>
        <w:t>“</w:t>
      </w:r>
      <w:r w:rsidRPr="003E41C6">
        <w:rPr>
          <w:rFonts w:asciiTheme="minorHAnsi" w:eastAsiaTheme="minorEastAsia" w:hAnsiTheme="minorHAnsi" w:cstheme="minorHAnsi"/>
        </w:rPr>
        <w:t>通用硬件</w:t>
      </w:r>
      <w:r w:rsidRPr="003E41C6">
        <w:rPr>
          <w:rFonts w:asciiTheme="minorHAnsi" w:eastAsiaTheme="minorEastAsia" w:hAnsiTheme="minorHAnsi" w:cstheme="minorHAnsi"/>
        </w:rPr>
        <w:t>+</w:t>
      </w:r>
      <w:r w:rsidRPr="003E41C6">
        <w:rPr>
          <w:rFonts w:asciiTheme="minorHAnsi" w:eastAsiaTheme="minorEastAsia" w:hAnsiTheme="minorHAnsi" w:cstheme="minorHAnsi"/>
        </w:rPr>
        <w:t>行业算法</w:t>
      </w:r>
      <w:r w:rsidRPr="003E41C6">
        <w:rPr>
          <w:rFonts w:asciiTheme="minorHAnsi" w:eastAsiaTheme="minorEastAsia" w:hAnsiTheme="minorHAnsi" w:cstheme="minorHAnsi"/>
        </w:rPr>
        <w:t>+</w:t>
      </w:r>
      <w:r w:rsidRPr="003E41C6">
        <w:rPr>
          <w:rFonts w:asciiTheme="minorHAnsi" w:eastAsiaTheme="minorEastAsia" w:hAnsiTheme="minorHAnsi" w:cstheme="minorHAnsi"/>
        </w:rPr>
        <w:t>业务系统</w:t>
      </w:r>
      <w:r w:rsidRPr="003E41C6">
        <w:rPr>
          <w:rFonts w:asciiTheme="minorHAnsi" w:eastAsiaTheme="minorEastAsia" w:hAnsiTheme="minorHAnsi" w:cstheme="minorHAnsi"/>
        </w:rPr>
        <w:t>”</w:t>
      </w:r>
      <w:r w:rsidRPr="003E41C6">
        <w:rPr>
          <w:rFonts w:asciiTheme="minorHAnsi" w:eastAsiaTheme="minorEastAsia" w:hAnsiTheme="minorHAnsi" w:cstheme="minorHAnsi"/>
        </w:rPr>
        <w:t>封装为开箱即用的一体化产品，定义一个</w:t>
      </w:r>
      <w:r w:rsidRPr="003E41C6">
        <w:rPr>
          <w:rFonts w:asciiTheme="minorHAnsi" w:eastAsiaTheme="minorEastAsia" w:hAnsiTheme="minorHAnsi" w:cstheme="minorHAnsi"/>
        </w:rPr>
        <w:t>“</w:t>
      </w:r>
      <w:r w:rsidRPr="003E41C6">
        <w:rPr>
          <w:rFonts w:asciiTheme="minorHAnsi" w:eastAsiaTheme="minorEastAsia" w:hAnsiTheme="minorHAnsi" w:cstheme="minorHAnsi"/>
        </w:rPr>
        <w:t>轻量化智能药房</w:t>
      </w:r>
      <w:r w:rsidRPr="003E41C6">
        <w:rPr>
          <w:rFonts w:asciiTheme="minorHAnsi" w:eastAsiaTheme="minorEastAsia" w:hAnsiTheme="minorHAnsi" w:cstheme="minorHAnsi"/>
        </w:rPr>
        <w:t>”</w:t>
      </w:r>
      <w:r w:rsidRPr="003E41C6">
        <w:rPr>
          <w:rFonts w:asciiTheme="minorHAnsi" w:eastAsiaTheme="minorEastAsia" w:hAnsiTheme="minorHAnsi" w:cstheme="minorHAnsi"/>
        </w:rPr>
        <w:t>新品类。我们的核心护城河在于：其他厂商提供的是需要用户自行组装的</w:t>
      </w:r>
      <w:r w:rsidRPr="003E41C6">
        <w:rPr>
          <w:rFonts w:asciiTheme="minorHAnsi" w:eastAsiaTheme="minorEastAsia" w:hAnsiTheme="minorHAnsi" w:cstheme="minorHAnsi"/>
        </w:rPr>
        <w:t>“</w:t>
      </w:r>
      <w:r w:rsidRPr="003E41C6">
        <w:rPr>
          <w:rFonts w:asciiTheme="minorHAnsi" w:eastAsiaTheme="minorEastAsia" w:hAnsiTheme="minorHAnsi" w:cstheme="minorHAnsi"/>
        </w:rPr>
        <w:t>零件</w:t>
      </w:r>
      <w:r w:rsidRPr="003E41C6">
        <w:rPr>
          <w:rFonts w:asciiTheme="minorHAnsi" w:eastAsiaTheme="minorEastAsia" w:hAnsiTheme="minorHAnsi" w:cstheme="minorHAnsi"/>
        </w:rPr>
        <w:t>”</w:t>
      </w:r>
      <w:r w:rsidRPr="003E41C6">
        <w:rPr>
          <w:rFonts w:asciiTheme="minorHAnsi" w:eastAsiaTheme="minorEastAsia" w:hAnsiTheme="minorHAnsi" w:cstheme="minorHAnsi"/>
        </w:rPr>
        <w:t>或</w:t>
      </w:r>
      <w:r w:rsidRPr="003E41C6">
        <w:rPr>
          <w:rFonts w:asciiTheme="minorHAnsi" w:eastAsiaTheme="minorEastAsia" w:hAnsiTheme="minorHAnsi" w:cstheme="minorHAnsi"/>
        </w:rPr>
        <w:t>“</w:t>
      </w:r>
      <w:r w:rsidRPr="003E41C6">
        <w:rPr>
          <w:rFonts w:asciiTheme="minorHAnsi" w:eastAsiaTheme="minorEastAsia" w:hAnsiTheme="minorHAnsi" w:cstheme="minorHAnsi"/>
        </w:rPr>
        <w:t>工具</w:t>
      </w:r>
      <w:r w:rsidRPr="003E41C6">
        <w:rPr>
          <w:rFonts w:asciiTheme="minorHAnsi" w:eastAsiaTheme="minorEastAsia" w:hAnsiTheme="minorHAnsi" w:cstheme="minorHAnsi"/>
        </w:rPr>
        <w:t>”</w:t>
      </w:r>
      <w:r w:rsidRPr="003E41C6">
        <w:rPr>
          <w:rFonts w:asciiTheme="minorHAnsi" w:eastAsiaTheme="minorEastAsia" w:hAnsiTheme="minorHAnsi" w:cstheme="minorHAnsi"/>
        </w:rPr>
        <w:t>，而我们交付的是</w:t>
      </w:r>
      <w:proofErr w:type="gramStart"/>
      <w:r w:rsidRPr="003E41C6">
        <w:rPr>
          <w:rFonts w:asciiTheme="minorHAnsi" w:eastAsiaTheme="minorEastAsia" w:hAnsiTheme="minorHAnsi" w:cstheme="minorHAnsi"/>
        </w:rPr>
        <w:t>插电即用</w:t>
      </w:r>
      <w:proofErr w:type="gramEnd"/>
      <w:r w:rsidRPr="003E41C6">
        <w:rPr>
          <w:rFonts w:asciiTheme="minorHAnsi" w:eastAsiaTheme="minorEastAsia" w:hAnsiTheme="minorHAnsi" w:cstheme="minorHAnsi"/>
        </w:rPr>
        <w:t>的</w:t>
      </w:r>
      <w:r w:rsidRPr="003E41C6">
        <w:rPr>
          <w:rFonts w:asciiTheme="minorHAnsi" w:eastAsiaTheme="minorEastAsia" w:hAnsiTheme="minorHAnsi" w:cstheme="minorHAnsi"/>
        </w:rPr>
        <w:t>“</w:t>
      </w:r>
      <w:r w:rsidRPr="003E41C6">
        <w:rPr>
          <w:rFonts w:asciiTheme="minorHAnsi" w:eastAsiaTheme="minorEastAsia" w:hAnsiTheme="minorHAnsi" w:cstheme="minorHAnsi"/>
        </w:rPr>
        <w:t>完整解决方案</w:t>
      </w:r>
      <w:r w:rsidRPr="003E41C6">
        <w:rPr>
          <w:rFonts w:asciiTheme="minorHAnsi" w:eastAsiaTheme="minorEastAsia" w:hAnsiTheme="minorHAnsi" w:cstheme="minorHAnsi"/>
        </w:rPr>
        <w:t>”</w:t>
      </w:r>
      <w:r w:rsidRPr="003E41C6">
        <w:rPr>
          <w:rFonts w:asciiTheme="minorHAnsi" w:eastAsiaTheme="minorEastAsia" w:hAnsiTheme="minorHAnsi" w:cstheme="minorHAnsi"/>
        </w:rPr>
        <w:t>。</w:t>
      </w:r>
    </w:p>
    <w:p w14:paraId="740A7DA8" w14:textId="5183896C" w:rsidR="00B40675" w:rsidRPr="00B40675" w:rsidRDefault="00000000" w:rsidP="00B40675">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27" w:name="_Toc1732"/>
      <w:r>
        <w:rPr>
          <w:rFonts w:ascii="Times New Roman" w:eastAsia="楷体_GB2312" w:hAnsi="Times New Roman" w:cs="Times New Roman" w:hint="eastAsia"/>
          <w:sz w:val="28"/>
          <w:szCs w:val="28"/>
        </w:rPr>
        <w:t xml:space="preserve">3.6 </w:t>
      </w:r>
      <w:r>
        <w:rPr>
          <w:rFonts w:ascii="Times New Roman" w:eastAsia="楷体_GB2312" w:hAnsi="Times New Roman" w:cs="Times New Roman" w:hint="eastAsia"/>
          <w:sz w:val="28"/>
          <w:szCs w:val="28"/>
        </w:rPr>
        <w:t>发展趋势及潜力</w:t>
      </w:r>
      <w:bookmarkEnd w:id="27"/>
    </w:p>
    <w:p w14:paraId="29A11DCA" w14:textId="2E93B81A" w:rsidR="00E93FEF" w:rsidRDefault="00000000">
      <w:pPr>
        <w:ind w:firstLineChars="200" w:firstLine="420"/>
      </w:pPr>
      <w:r>
        <w:rPr>
          <w:rFonts w:hint="eastAsia"/>
        </w:rPr>
        <w:t>国内药房自动化行业正处于政策驱动、技术迭代、市场下沉与国产替代并行的关键阶段，行业发展重心逐步从单一设备自动化，向着全流程智能化、服务一体化、数据网络化方向转变，整体增长前景稳定，产业结构持续优化。</w:t>
      </w:r>
    </w:p>
    <w:p w14:paraId="25009F3B" w14:textId="77777777" w:rsidR="00E93FEF" w:rsidRDefault="00000000">
      <w:pPr>
        <w:ind w:firstLineChars="200" w:firstLine="420"/>
      </w:pPr>
      <w:r>
        <w:rPr>
          <w:rFonts w:hint="eastAsia"/>
        </w:rPr>
        <w:t>在政策层面，智慧医疗、医共体建设、药品追溯及合理用药相关政策不断落地，叠加医保支付改革要求，倒逼药房实现降本增效与精细化运营。各地相继推出智慧药房建设规范与扶持举措，自上而下推动各级医疗机构、零售药店开展自动化升级改造，为行业发展筑牢政策基础。</w:t>
      </w:r>
    </w:p>
    <w:p w14:paraId="23E973E6" w14:textId="77777777" w:rsidR="00E93FEF" w:rsidRDefault="00000000">
      <w:pPr>
        <w:ind w:firstLineChars="200" w:firstLine="420"/>
      </w:pPr>
      <w:r>
        <w:rPr>
          <w:rFonts w:hint="eastAsia"/>
        </w:rPr>
        <w:t>在技术层面，人工智能与物联网技术的融合应用，推动行业走向软硬件一体化发展。智能审方、用药咨询、风险预警等</w:t>
      </w:r>
      <w:r>
        <w:rPr>
          <w:rFonts w:hint="eastAsia"/>
        </w:rPr>
        <w:t>AI</w:t>
      </w:r>
      <w:r>
        <w:rPr>
          <w:rFonts w:hint="eastAsia"/>
        </w:rPr>
        <w:t>功能逐步普及，有效降低人工失误、保障用药安全；设备联网、数据互通、远程运维等能力，实现了库存、医保、院内系统的高效联动。同时，硬件产品朝着小型化、模块化方向发展，搭配云端</w:t>
      </w:r>
      <w:r>
        <w:rPr>
          <w:rFonts w:hint="eastAsia"/>
        </w:rPr>
        <w:t>SaaS</w:t>
      </w:r>
      <w:r>
        <w:rPr>
          <w:rFonts w:hint="eastAsia"/>
        </w:rPr>
        <w:t>管理平台，进一步降低了基层市场的部署与使用门槛。</w:t>
      </w:r>
    </w:p>
    <w:p w14:paraId="4E1013BF" w14:textId="77777777" w:rsidR="00E93FEF" w:rsidRDefault="00000000">
      <w:pPr>
        <w:ind w:firstLineChars="200" w:firstLine="420"/>
      </w:pPr>
      <w:r>
        <w:rPr>
          <w:rFonts w:hint="eastAsia"/>
        </w:rPr>
        <w:t>在市场格局层面，行业增量重心明显向下沉市场转移。大型医院市场逐步趋于饱和，二级医院、县级医院成为院内药房改造的主要方向；而基层医疗机构、连锁药店、医药电商前置仓目前自动化渗透率仍处于低位，是未来数年最具潜力的核心赛道。在此过程中，本土企业依托成本、服务与本地化适配优势不断抢占市场，国产替代节奏持续加快。</w:t>
      </w:r>
    </w:p>
    <w:p w14:paraId="59D27461" w14:textId="77777777" w:rsidR="00E93FEF" w:rsidRDefault="00000000">
      <w:pPr>
        <w:ind w:firstLineChars="200" w:firstLine="420"/>
      </w:pPr>
      <w:r>
        <w:rPr>
          <w:rFonts w:hint="eastAsia"/>
        </w:rPr>
        <w:t>在商业模式层面，行业盈利逻辑发生明显转变，传统单纯售卖硬件的模式逐步被取代，“硬件</w:t>
      </w:r>
      <w:r>
        <w:rPr>
          <w:rFonts w:hint="eastAsia"/>
        </w:rPr>
        <w:t>+</w:t>
      </w:r>
      <w:r>
        <w:rPr>
          <w:rFonts w:hint="eastAsia"/>
        </w:rPr>
        <w:t>软件</w:t>
      </w:r>
      <w:r>
        <w:rPr>
          <w:rFonts w:hint="eastAsia"/>
        </w:rPr>
        <w:t>+</w:t>
      </w:r>
      <w:r>
        <w:rPr>
          <w:rFonts w:hint="eastAsia"/>
        </w:rPr>
        <w:t>增值服务”的综合解决方案成为主流。通过配套长期运维、数据管理、健康服务等内容，能够有效增强客户粘性，而轻量化设备结合订阅式服务的模式，也更贴合基层客户的成本需求。</w:t>
      </w:r>
    </w:p>
    <w:p w14:paraId="7A503100" w14:textId="61DD26CF" w:rsidR="00E93FEF" w:rsidRDefault="00000000" w:rsidP="002F5AD2">
      <w:pPr>
        <w:ind w:firstLineChars="200" w:firstLine="420"/>
      </w:pPr>
      <w:r>
        <w:rPr>
          <w:rFonts w:hint="eastAsia"/>
        </w:rPr>
        <w:t>在市场竞争层面，行业分层发展的特征愈发突出。高端市场由头部企业和海外品牌把控，技术、资金与品牌壁垒较高；中</w:t>
      </w:r>
      <w:proofErr w:type="gramStart"/>
      <w:r>
        <w:rPr>
          <w:rFonts w:hint="eastAsia"/>
        </w:rPr>
        <w:t>端市场比拼产品性</w:t>
      </w:r>
      <w:proofErr w:type="gramEnd"/>
      <w:r>
        <w:rPr>
          <w:rFonts w:hint="eastAsia"/>
        </w:rPr>
        <w:t>价比与综合服务能力；基层市场参与者众</w:t>
      </w:r>
      <w:r>
        <w:rPr>
          <w:rFonts w:hint="eastAsia"/>
        </w:rPr>
        <w:lastRenderedPageBreak/>
        <w:t>多、产品同质化问题突出，能否打造轻量化产品、融合</w:t>
      </w:r>
      <w:r>
        <w:rPr>
          <w:rFonts w:hint="eastAsia"/>
        </w:rPr>
        <w:t>AI</w:t>
      </w:r>
      <w:r>
        <w:rPr>
          <w:rFonts w:hint="eastAsia"/>
        </w:rPr>
        <w:t>技术、把</w:t>
      </w:r>
      <w:proofErr w:type="gramStart"/>
      <w:r>
        <w:rPr>
          <w:rFonts w:hint="eastAsia"/>
        </w:rPr>
        <w:t>控成本</w:t>
      </w:r>
      <w:proofErr w:type="gramEnd"/>
      <w:r>
        <w:rPr>
          <w:rFonts w:hint="eastAsia"/>
        </w:rPr>
        <w:t>并实现快速落地，将成为企业脱颖而出的关键。</w:t>
      </w:r>
    </w:p>
    <w:p w14:paraId="7174B36D" w14:textId="77777777" w:rsidR="00E93FEF" w:rsidRDefault="00000000">
      <w:pPr>
        <w:adjustRightInd w:val="0"/>
        <w:snapToGrid w:val="0"/>
        <w:spacing w:beforeLines="100" w:before="312" w:afterLines="50" w:after="156" w:line="380" w:lineRule="exact"/>
        <w:outlineLvl w:val="0"/>
        <w:rPr>
          <w:rFonts w:ascii="Times New Roman" w:eastAsia="仿宋_GB2312" w:hAnsi="Times New Roman" w:cs="Times New Roman"/>
          <w:sz w:val="30"/>
          <w:szCs w:val="30"/>
        </w:rPr>
      </w:pPr>
      <w:bookmarkStart w:id="28" w:name="_Toc31459"/>
      <w:bookmarkStart w:id="29" w:name="OLE_LINK3"/>
      <w:r>
        <w:rPr>
          <w:rFonts w:ascii="Times New Roman" w:eastAsia="仿宋_GB2312" w:hAnsi="Times New Roman" w:cs="Times New Roman" w:hint="eastAsia"/>
          <w:sz w:val="30"/>
          <w:szCs w:val="30"/>
        </w:rPr>
        <w:t>四、商业模式与盈利模式</w:t>
      </w:r>
      <w:bookmarkEnd w:id="28"/>
    </w:p>
    <w:p w14:paraId="25144221"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0" w:name="_Toc7121"/>
      <w:r>
        <w:rPr>
          <w:rFonts w:ascii="Times New Roman" w:eastAsia="楷体_GB2312" w:hAnsi="Times New Roman" w:cs="Times New Roman" w:hint="eastAsia"/>
          <w:sz w:val="28"/>
          <w:szCs w:val="28"/>
        </w:rPr>
        <w:t xml:space="preserve">4.1 </w:t>
      </w:r>
      <w:r>
        <w:rPr>
          <w:rFonts w:ascii="Times New Roman" w:eastAsia="楷体_GB2312" w:hAnsi="Times New Roman" w:cs="Times New Roman" w:hint="eastAsia"/>
          <w:sz w:val="28"/>
          <w:szCs w:val="28"/>
        </w:rPr>
        <w:t>总体商业模式</w:t>
      </w:r>
      <w:bookmarkEnd w:id="30"/>
    </w:p>
    <w:p w14:paraId="1539A443" w14:textId="77777777" w:rsidR="00E93FEF" w:rsidRDefault="00000000">
      <w:pPr>
        <w:ind w:firstLineChars="200" w:firstLine="420"/>
      </w:pPr>
      <w:r>
        <w:rPr>
          <w:rFonts w:hint="eastAsia"/>
        </w:rPr>
        <w:t>项目采用</w:t>
      </w:r>
      <w:r>
        <w:rPr>
          <w:rFonts w:hint="eastAsia"/>
        </w:rPr>
        <w:t>B2B2C</w:t>
      </w:r>
      <w:r>
        <w:rPr>
          <w:rFonts w:hint="eastAsia"/>
        </w:rPr>
        <w:t>创新商业模式，以技术赋能搭建药企、药房、消费者三方协同的价值生态，实现多方共赢。面向</w:t>
      </w:r>
      <w:r>
        <w:rPr>
          <w:rFonts w:hint="eastAsia"/>
        </w:rPr>
        <w:t>B</w:t>
      </w:r>
      <w:r>
        <w:rPr>
          <w:rFonts w:hint="eastAsia"/>
        </w:rPr>
        <w:t>端连锁药店、基层医疗机构与医药</w:t>
      </w:r>
      <w:r>
        <w:rPr>
          <w:rFonts w:hint="eastAsia"/>
        </w:rPr>
        <w:t>O2O</w:t>
      </w:r>
      <w:r>
        <w:rPr>
          <w:rFonts w:hint="eastAsia"/>
        </w:rPr>
        <w:t>前置仓，提供硬件销售、设备租赁、</w:t>
      </w:r>
      <w:r>
        <w:rPr>
          <w:rFonts w:hint="eastAsia"/>
        </w:rPr>
        <w:t xml:space="preserve">AI </w:t>
      </w:r>
      <w:r>
        <w:rPr>
          <w:rFonts w:hint="eastAsia"/>
        </w:rPr>
        <w:t>药师与智能仓储</w:t>
      </w:r>
      <w:r>
        <w:rPr>
          <w:rFonts w:hint="eastAsia"/>
        </w:rPr>
        <w:t>SaaS</w:t>
      </w:r>
      <w:r>
        <w:rPr>
          <w:rFonts w:hint="eastAsia"/>
        </w:rPr>
        <w:t>订阅等灵活方案，帮助客户以低成本实现</w:t>
      </w:r>
      <w:r>
        <w:rPr>
          <w:rFonts w:hint="eastAsia"/>
        </w:rPr>
        <w:t>24</w:t>
      </w:r>
      <w:r>
        <w:rPr>
          <w:rFonts w:hint="eastAsia"/>
        </w:rPr>
        <w:t>小时运营、降本增效与数字化升级。面向</w:t>
      </w:r>
      <w:r>
        <w:rPr>
          <w:rFonts w:hint="eastAsia"/>
        </w:rPr>
        <w:t>C</w:t>
      </w:r>
      <w:r>
        <w:rPr>
          <w:rFonts w:hint="eastAsia"/>
        </w:rPr>
        <w:t>端用户，通过线下智能终端提供全天候用药咨询与快速取药服务，全面提升用药安全与消费体验。项目以轻量硬件销售</w:t>
      </w:r>
      <w:r>
        <w:rPr>
          <w:rFonts w:hint="eastAsia"/>
        </w:rPr>
        <w:t xml:space="preserve"> + </w:t>
      </w:r>
      <w:r>
        <w:rPr>
          <w:rFonts w:hint="eastAsia"/>
        </w:rPr>
        <w:t>数字化软件订阅</w:t>
      </w:r>
      <w:r>
        <w:rPr>
          <w:rFonts w:hint="eastAsia"/>
        </w:rPr>
        <w:t xml:space="preserve"> + </w:t>
      </w:r>
      <w:r>
        <w:rPr>
          <w:rFonts w:hint="eastAsia"/>
        </w:rPr>
        <w:t>供应链增值服务为核心驱动，依托硬件实现市场快速切入，通过</w:t>
      </w:r>
      <w:r>
        <w:rPr>
          <w:rFonts w:hint="eastAsia"/>
        </w:rPr>
        <w:t>SaaS</w:t>
      </w:r>
      <w:r>
        <w:rPr>
          <w:rFonts w:hint="eastAsia"/>
        </w:rPr>
        <w:t>年费构建持续收益，借助数据服务拓展长期盈利空间，形成稳定可持续的商业闭环。</w:t>
      </w:r>
    </w:p>
    <w:p w14:paraId="5F5F61A0" w14:textId="77777777" w:rsidR="00E93FEF" w:rsidRDefault="00000000" w:rsidP="003E41C6">
      <w:r>
        <w:rPr>
          <w:noProof/>
        </w:rPr>
        <w:drawing>
          <wp:anchor distT="0" distB="0" distL="114300" distR="114300" simplePos="0" relativeHeight="251661824" behindDoc="0" locked="0" layoutInCell="1" allowOverlap="1" wp14:anchorId="360A226D" wp14:editId="3DD7858A">
            <wp:simplePos x="0" y="0"/>
            <wp:positionH relativeFrom="column">
              <wp:posOffset>-311150</wp:posOffset>
            </wp:positionH>
            <wp:positionV relativeFrom="paragraph">
              <wp:posOffset>66040</wp:posOffset>
            </wp:positionV>
            <wp:extent cx="5896610" cy="2945130"/>
            <wp:effectExtent l="0" t="0" r="8890" b="1270"/>
            <wp:wrapTopAndBottom/>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8"/>
                    <a:stretch>
                      <a:fillRect/>
                    </a:stretch>
                  </pic:blipFill>
                  <pic:spPr>
                    <a:xfrm>
                      <a:off x="0" y="0"/>
                      <a:ext cx="5896610" cy="2945130"/>
                    </a:xfrm>
                    <a:prstGeom prst="rect">
                      <a:avLst/>
                    </a:prstGeom>
                    <a:noFill/>
                    <a:ln>
                      <a:noFill/>
                    </a:ln>
                  </pic:spPr>
                </pic:pic>
              </a:graphicData>
            </a:graphic>
          </wp:anchor>
        </w:drawing>
      </w:r>
    </w:p>
    <w:p w14:paraId="6931154F"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1" w:name="_Toc16215"/>
      <w:r>
        <w:rPr>
          <w:rFonts w:ascii="Times New Roman" w:eastAsia="楷体_GB2312" w:hAnsi="Times New Roman" w:cs="Times New Roman" w:hint="eastAsia"/>
          <w:sz w:val="28"/>
          <w:szCs w:val="28"/>
        </w:rPr>
        <w:t xml:space="preserve">4.2 </w:t>
      </w:r>
      <w:r>
        <w:rPr>
          <w:rFonts w:ascii="Times New Roman" w:eastAsia="楷体_GB2312" w:hAnsi="Times New Roman" w:cs="Times New Roman" w:hint="eastAsia"/>
          <w:sz w:val="28"/>
          <w:szCs w:val="28"/>
        </w:rPr>
        <w:t>多元化盈利模式</w:t>
      </w:r>
      <w:bookmarkEnd w:id="31"/>
    </w:p>
    <w:p w14:paraId="1B0B5DE7"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项目构建“硬件销售</w:t>
      </w:r>
      <w:r>
        <w:rPr>
          <w:rFonts w:hint="eastAsia"/>
          <w:kern w:val="2"/>
          <w:sz w:val="21"/>
        </w:rPr>
        <w:t>+</w:t>
      </w:r>
      <w:r>
        <w:rPr>
          <w:rFonts w:hint="eastAsia"/>
          <w:kern w:val="2"/>
          <w:sz w:val="21"/>
        </w:rPr>
        <w:t>软件订阅</w:t>
      </w:r>
      <w:r>
        <w:rPr>
          <w:rFonts w:hint="eastAsia"/>
          <w:kern w:val="2"/>
          <w:sz w:val="21"/>
        </w:rPr>
        <w:t>+</w:t>
      </w:r>
      <w:r>
        <w:rPr>
          <w:rFonts w:hint="eastAsia"/>
          <w:kern w:val="2"/>
          <w:sz w:val="21"/>
        </w:rPr>
        <w:t>订单佣金</w:t>
      </w:r>
      <w:r>
        <w:rPr>
          <w:rFonts w:hint="eastAsia"/>
          <w:kern w:val="2"/>
          <w:sz w:val="21"/>
        </w:rPr>
        <w:t>+</w:t>
      </w:r>
      <w:r>
        <w:rPr>
          <w:rFonts w:hint="eastAsia"/>
          <w:kern w:val="2"/>
          <w:sz w:val="21"/>
        </w:rPr>
        <w:t>数据服务”四层盈利结构，收入来源稳定、增长空间清晰，抗风险能力强。</w:t>
      </w:r>
    </w:p>
    <w:p w14:paraId="1E1E3778" w14:textId="62AFEC16" w:rsidR="00E93FEF" w:rsidRDefault="007C3710">
      <w:pPr>
        <w:pStyle w:val="a3"/>
        <w:widowControl/>
        <w:shd w:val="clear" w:color="auto" w:fill="FFFFFF"/>
        <w:spacing w:beforeAutospacing="0" w:afterAutospacing="0"/>
        <w:ind w:firstLine="420"/>
        <w:rPr>
          <w:kern w:val="2"/>
          <w:sz w:val="21"/>
        </w:rPr>
      </w:pPr>
      <w:r w:rsidRPr="003E41C6">
        <w:rPr>
          <w:rFonts w:hint="eastAsia"/>
          <w:b/>
          <w:bCs/>
          <w:kern w:val="2"/>
          <w:sz w:val="21"/>
        </w:rPr>
        <w:t>1.</w:t>
      </w:r>
      <w:r w:rsidRPr="003E41C6">
        <w:rPr>
          <w:rFonts w:hint="eastAsia"/>
          <w:b/>
          <w:bCs/>
          <w:kern w:val="2"/>
          <w:sz w:val="21"/>
        </w:rPr>
        <w:t>硬件销售与租赁收入：</w:t>
      </w:r>
      <w:r>
        <w:rPr>
          <w:rFonts w:hint="eastAsia"/>
          <w:kern w:val="2"/>
          <w:sz w:val="21"/>
        </w:rPr>
        <w:t>面向客户提供智能视觉分拣机器人整机销售，标准机型定价</w:t>
      </w:r>
      <w:r>
        <w:rPr>
          <w:rFonts w:hint="eastAsia"/>
          <w:kern w:val="2"/>
          <w:sz w:val="21"/>
        </w:rPr>
        <w:t>8-15</w:t>
      </w:r>
      <w:r>
        <w:rPr>
          <w:rFonts w:hint="eastAsia"/>
          <w:kern w:val="2"/>
          <w:sz w:val="21"/>
        </w:rPr>
        <w:t>万元，仅为进口同类产品的</w:t>
      </w:r>
      <w:r>
        <w:rPr>
          <w:rFonts w:hint="eastAsia"/>
          <w:kern w:val="2"/>
          <w:sz w:val="21"/>
        </w:rPr>
        <w:t>1/5-1/10</w:t>
      </w:r>
      <w:r>
        <w:rPr>
          <w:rFonts w:hint="eastAsia"/>
          <w:kern w:val="2"/>
          <w:sz w:val="21"/>
        </w:rPr>
        <w:t>，性价比优势突出；同时推出租赁模式，支持免押金、按月支付租金，大幅降低中小药店与基层机构初始投入门槛，满足不同客户资金需求。</w:t>
      </w:r>
    </w:p>
    <w:p w14:paraId="0842B430" w14:textId="4AE3CC03" w:rsidR="00E93FEF" w:rsidRDefault="007C3710">
      <w:pPr>
        <w:pStyle w:val="a3"/>
        <w:widowControl/>
        <w:shd w:val="clear" w:color="auto" w:fill="FFFFFF"/>
        <w:spacing w:beforeAutospacing="0" w:afterAutospacing="0"/>
        <w:ind w:firstLine="420"/>
        <w:rPr>
          <w:kern w:val="2"/>
          <w:sz w:val="21"/>
        </w:rPr>
      </w:pPr>
      <w:r w:rsidRPr="003E41C6">
        <w:rPr>
          <w:rFonts w:hint="eastAsia"/>
          <w:b/>
          <w:bCs/>
          <w:kern w:val="2"/>
          <w:sz w:val="21"/>
        </w:rPr>
        <w:t>2.SaaS</w:t>
      </w:r>
      <w:proofErr w:type="gramStart"/>
      <w:r w:rsidRPr="003E41C6">
        <w:rPr>
          <w:rFonts w:hint="eastAsia"/>
          <w:b/>
          <w:bCs/>
          <w:kern w:val="2"/>
          <w:sz w:val="21"/>
        </w:rPr>
        <w:t>云服务</w:t>
      </w:r>
      <w:proofErr w:type="gramEnd"/>
      <w:r w:rsidRPr="003E41C6">
        <w:rPr>
          <w:rFonts w:hint="eastAsia"/>
          <w:b/>
          <w:bCs/>
          <w:kern w:val="2"/>
          <w:sz w:val="21"/>
        </w:rPr>
        <w:t>订阅收入：</w:t>
      </w:r>
      <w:r>
        <w:rPr>
          <w:rFonts w:hint="eastAsia"/>
          <w:kern w:val="2"/>
          <w:sz w:val="21"/>
        </w:rPr>
        <w:t>提供</w:t>
      </w:r>
      <w:r>
        <w:rPr>
          <w:rFonts w:hint="eastAsia"/>
          <w:kern w:val="2"/>
          <w:sz w:val="21"/>
        </w:rPr>
        <w:t>AI</w:t>
      </w:r>
      <w:r>
        <w:rPr>
          <w:rFonts w:hint="eastAsia"/>
          <w:kern w:val="2"/>
          <w:sz w:val="21"/>
        </w:rPr>
        <w:t>药师智能对话、云端库存管理、效期预警、自动补货等增值功能，按年收取服务费，形成稳定的</w:t>
      </w:r>
      <w:r>
        <w:rPr>
          <w:rFonts w:ascii="宋体" w:hAnsi="宋体"/>
        </w:rPr>
        <w:t>持续性收入</w:t>
      </w:r>
      <w:r>
        <w:rPr>
          <w:rFonts w:hint="eastAsia"/>
          <w:kern w:val="2"/>
          <w:sz w:val="21"/>
        </w:rPr>
        <w:t>，提升客户粘性与长期收益。</w:t>
      </w:r>
    </w:p>
    <w:p w14:paraId="020754C2" w14:textId="154E94F3" w:rsidR="00E93FEF" w:rsidRDefault="007C3710">
      <w:pPr>
        <w:pStyle w:val="a3"/>
        <w:widowControl/>
        <w:shd w:val="clear" w:color="auto" w:fill="FFFFFF"/>
        <w:spacing w:beforeAutospacing="0" w:afterAutospacing="0"/>
        <w:ind w:firstLine="420"/>
        <w:rPr>
          <w:kern w:val="2"/>
          <w:sz w:val="21"/>
        </w:rPr>
      </w:pPr>
      <w:r w:rsidRPr="003E41C6">
        <w:rPr>
          <w:rFonts w:hint="eastAsia"/>
          <w:b/>
          <w:bCs/>
          <w:kern w:val="2"/>
          <w:sz w:val="21"/>
        </w:rPr>
        <w:t>3.</w:t>
      </w:r>
      <w:r w:rsidRPr="003E41C6">
        <w:rPr>
          <w:rFonts w:hint="eastAsia"/>
          <w:b/>
          <w:bCs/>
          <w:kern w:val="2"/>
          <w:sz w:val="21"/>
        </w:rPr>
        <w:t>订单技术服务费：</w:t>
      </w:r>
      <w:r>
        <w:rPr>
          <w:rFonts w:hint="eastAsia"/>
          <w:kern w:val="2"/>
          <w:sz w:val="21"/>
        </w:rPr>
        <w:t>针对夜间无人值守、自助购药、</w:t>
      </w:r>
      <w:r>
        <w:rPr>
          <w:rFonts w:hint="eastAsia"/>
          <w:kern w:val="2"/>
          <w:sz w:val="21"/>
        </w:rPr>
        <w:t>O2O</w:t>
      </w:r>
      <w:r>
        <w:rPr>
          <w:rFonts w:hint="eastAsia"/>
          <w:kern w:val="2"/>
          <w:sz w:val="21"/>
        </w:rPr>
        <w:t>即时配送等自动化订单，按单收取低价技术服务费，在不增加客户成本的前提下，依托订单规模实现流水</w:t>
      </w:r>
      <w:proofErr w:type="gramStart"/>
      <w:r>
        <w:rPr>
          <w:rFonts w:hint="eastAsia"/>
          <w:kern w:val="2"/>
          <w:sz w:val="21"/>
        </w:rPr>
        <w:t>式收益</w:t>
      </w:r>
      <w:proofErr w:type="gramEnd"/>
      <w:r>
        <w:rPr>
          <w:rFonts w:hint="eastAsia"/>
          <w:kern w:val="2"/>
          <w:sz w:val="21"/>
        </w:rPr>
        <w:t>增长。</w:t>
      </w:r>
    </w:p>
    <w:p w14:paraId="6E4B363E" w14:textId="02FFFE83" w:rsidR="00E93FEF" w:rsidRDefault="007C3710">
      <w:pPr>
        <w:pStyle w:val="a3"/>
        <w:widowControl/>
        <w:shd w:val="clear" w:color="auto" w:fill="FFFFFF"/>
        <w:spacing w:beforeAutospacing="0" w:afterAutospacing="0"/>
        <w:ind w:firstLine="420"/>
        <w:rPr>
          <w:kern w:val="2"/>
          <w:sz w:val="21"/>
        </w:rPr>
      </w:pPr>
      <w:r w:rsidRPr="003E41C6">
        <w:rPr>
          <w:rFonts w:hint="eastAsia"/>
          <w:b/>
          <w:bCs/>
          <w:kern w:val="2"/>
          <w:sz w:val="21"/>
        </w:rPr>
        <w:lastRenderedPageBreak/>
        <w:t>4.</w:t>
      </w:r>
      <w:r w:rsidRPr="003E41C6">
        <w:rPr>
          <w:rFonts w:hint="eastAsia"/>
          <w:b/>
          <w:bCs/>
          <w:kern w:val="2"/>
          <w:sz w:val="21"/>
        </w:rPr>
        <w:t>脱敏数据增值服务：</w:t>
      </w:r>
      <w:r>
        <w:rPr>
          <w:rFonts w:hint="eastAsia"/>
          <w:kern w:val="2"/>
          <w:sz w:val="21"/>
        </w:rPr>
        <w:t>在合</w:t>
      </w:r>
      <w:proofErr w:type="gramStart"/>
      <w:r>
        <w:rPr>
          <w:rFonts w:hint="eastAsia"/>
          <w:kern w:val="2"/>
          <w:sz w:val="21"/>
        </w:rPr>
        <w:t>规</w:t>
      </w:r>
      <w:proofErr w:type="gramEnd"/>
      <w:r>
        <w:rPr>
          <w:rFonts w:hint="eastAsia"/>
          <w:kern w:val="2"/>
          <w:sz w:val="21"/>
        </w:rPr>
        <w:t>、匿名、脱敏前提下，整合区域药品消耗、症状咨询、用药偏好等数据，为药企、医药流通企业提供市场趋势分析、产品布局参考等数据服务，拓展高附加值盈利渠道。</w:t>
      </w:r>
    </w:p>
    <w:p w14:paraId="566CE954"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2" w:name="_Toc1854"/>
      <w:r>
        <w:rPr>
          <w:rFonts w:ascii="Times New Roman" w:eastAsia="楷体_GB2312" w:hAnsi="Times New Roman" w:cs="Times New Roman" w:hint="eastAsia"/>
          <w:sz w:val="28"/>
          <w:szCs w:val="28"/>
        </w:rPr>
        <w:t xml:space="preserve">4.3 </w:t>
      </w:r>
      <w:r>
        <w:rPr>
          <w:rFonts w:ascii="Times New Roman" w:eastAsia="楷体_GB2312" w:hAnsi="Times New Roman" w:cs="Times New Roman" w:hint="eastAsia"/>
          <w:sz w:val="28"/>
          <w:szCs w:val="28"/>
        </w:rPr>
        <w:t>定价策略</w:t>
      </w:r>
      <w:bookmarkEnd w:id="32"/>
    </w:p>
    <w:p w14:paraId="2B400F36" w14:textId="3913A895" w:rsidR="00E93FEF" w:rsidRDefault="00000000">
      <w:pPr>
        <w:pStyle w:val="a3"/>
        <w:widowControl/>
        <w:shd w:val="clear" w:color="auto" w:fill="FFFFFF"/>
        <w:spacing w:beforeAutospacing="0" w:afterAutospacing="0"/>
        <w:ind w:firstLine="420"/>
        <w:rPr>
          <w:kern w:val="2"/>
          <w:sz w:val="21"/>
        </w:rPr>
      </w:pPr>
      <w:r>
        <w:rPr>
          <w:rFonts w:hint="eastAsia"/>
          <w:kern w:val="2"/>
          <w:sz w:val="21"/>
        </w:rPr>
        <w:t>项目采用高性价比破局、柔性付费降门槛的市场化定价策略，快速渗透下沉市场。硬件设备定价仅为进口同类产品的</w:t>
      </w:r>
      <w:r>
        <w:rPr>
          <w:rFonts w:hint="eastAsia"/>
          <w:kern w:val="2"/>
          <w:sz w:val="21"/>
        </w:rPr>
        <w:t>1/5</w:t>
      </w:r>
      <w:r>
        <w:rPr>
          <w:rFonts w:hint="eastAsia"/>
          <w:kern w:val="2"/>
          <w:sz w:val="21"/>
        </w:rPr>
        <w:t>，以成本优势抢占基层与零售药房市场。针对单体药店、基层诊所等预算有限客户，推出</w:t>
      </w:r>
      <w:r>
        <w:rPr>
          <w:rFonts w:hint="eastAsia"/>
          <w:kern w:val="2"/>
          <w:sz w:val="21"/>
        </w:rPr>
        <w:t>3</w:t>
      </w:r>
      <w:r>
        <w:rPr>
          <w:rFonts w:hint="eastAsia"/>
          <w:kern w:val="2"/>
          <w:sz w:val="21"/>
        </w:rPr>
        <w:t>个月免费试用机制，客户可先验证降本增效与夜间增收效果，再转化为长期订阅或按单计费合作模式，有效降低客户决策阻力，提升转化效率。</w:t>
      </w:r>
    </w:p>
    <w:p w14:paraId="53946056"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3" w:name="_Toc2003"/>
      <w:r>
        <w:rPr>
          <w:rFonts w:ascii="Times New Roman" w:eastAsia="楷体_GB2312" w:hAnsi="Times New Roman" w:cs="Times New Roman" w:hint="eastAsia"/>
          <w:sz w:val="28"/>
          <w:szCs w:val="28"/>
        </w:rPr>
        <w:t xml:space="preserve">4.4 </w:t>
      </w:r>
      <w:r>
        <w:rPr>
          <w:rFonts w:ascii="Times New Roman" w:eastAsia="楷体_GB2312" w:hAnsi="Times New Roman" w:cs="Times New Roman" w:hint="eastAsia"/>
          <w:sz w:val="28"/>
          <w:szCs w:val="28"/>
        </w:rPr>
        <w:t>渠道策略</w:t>
      </w:r>
      <w:bookmarkEnd w:id="33"/>
    </w:p>
    <w:p w14:paraId="7E409549" w14:textId="4208DD4E" w:rsidR="00E93FEF" w:rsidRDefault="00000000">
      <w:pPr>
        <w:pStyle w:val="a3"/>
        <w:widowControl/>
        <w:shd w:val="clear" w:color="auto" w:fill="FFFFFF"/>
        <w:spacing w:beforeAutospacing="0" w:afterAutospacing="0"/>
        <w:ind w:firstLine="420"/>
        <w:rPr>
          <w:kern w:val="2"/>
          <w:sz w:val="21"/>
        </w:rPr>
      </w:pPr>
      <w:r>
        <w:rPr>
          <w:rFonts w:hint="eastAsia"/>
          <w:kern w:val="2"/>
          <w:sz w:val="21"/>
        </w:rPr>
        <w:t>项目采用“直营标杆</w:t>
      </w:r>
      <w:r>
        <w:rPr>
          <w:rFonts w:hint="eastAsia"/>
          <w:kern w:val="2"/>
          <w:sz w:val="21"/>
        </w:rPr>
        <w:t>+</w:t>
      </w:r>
      <w:r>
        <w:rPr>
          <w:rFonts w:hint="eastAsia"/>
          <w:kern w:val="2"/>
          <w:sz w:val="21"/>
        </w:rPr>
        <w:t>区域代理</w:t>
      </w:r>
      <w:r>
        <w:rPr>
          <w:rFonts w:hint="eastAsia"/>
          <w:kern w:val="2"/>
          <w:sz w:val="21"/>
        </w:rPr>
        <w:t>+</w:t>
      </w:r>
      <w:r>
        <w:rPr>
          <w:rFonts w:hint="eastAsia"/>
          <w:kern w:val="2"/>
          <w:sz w:val="21"/>
        </w:rPr>
        <w:t>平台生态</w:t>
      </w:r>
      <w:r>
        <w:rPr>
          <w:rFonts w:hint="eastAsia"/>
          <w:kern w:val="2"/>
          <w:sz w:val="21"/>
        </w:rPr>
        <w:t>+</w:t>
      </w:r>
      <w:r>
        <w:rPr>
          <w:rFonts w:hint="eastAsia"/>
          <w:kern w:val="2"/>
          <w:sz w:val="21"/>
        </w:rPr>
        <w:t>品牌声量”四位一体的立体化渠道布局，兼顾速度、覆盖深度与长期品牌力，形成可快速复制、可持续扩张的市场推进体系。</w:t>
      </w:r>
    </w:p>
    <w:p w14:paraId="657CDFA9" w14:textId="7DCFFDEC" w:rsidR="00E93FEF" w:rsidRDefault="00E93FEF" w:rsidP="00A14201">
      <w:pPr>
        <w:pStyle w:val="a3"/>
        <w:widowControl/>
        <w:shd w:val="clear" w:color="auto" w:fill="FFFFFF"/>
        <w:spacing w:beforeAutospacing="0" w:afterAutospacing="0"/>
        <w:rPr>
          <w:kern w:val="2"/>
          <w:sz w:val="21"/>
        </w:rPr>
      </w:pPr>
    </w:p>
    <w:tbl>
      <w:tblPr>
        <w:tblStyle w:val="1"/>
        <w:tblW w:w="0" w:type="auto"/>
        <w:tblLook w:val="04A0" w:firstRow="1" w:lastRow="0" w:firstColumn="1" w:lastColumn="0" w:noHBand="0" w:noVBand="1"/>
      </w:tblPr>
      <w:tblGrid>
        <w:gridCol w:w="675"/>
        <w:gridCol w:w="1861"/>
        <w:gridCol w:w="1583"/>
        <w:gridCol w:w="3439"/>
        <w:gridCol w:w="748"/>
      </w:tblGrid>
      <w:tr w:rsidR="003E41C6" w:rsidRPr="00A14201" w14:paraId="7F6340C2" w14:textId="77777777" w:rsidTr="003E41C6">
        <w:trPr>
          <w:cnfStyle w:val="100000000000" w:firstRow="1" w:lastRow="0" w:firstColumn="0" w:lastColumn="0" w:oddVBand="0" w:evenVBand="0" w:oddHBand="0" w:evenHBand="0" w:firstRowFirstColumn="0" w:firstRowLastColumn="0" w:lastRowFirstColumn="0" w:lastRowLastColumn="0"/>
        </w:trPr>
        <w:tc>
          <w:tcPr>
            <w:tcW w:w="675" w:type="dxa"/>
            <w:hideMark/>
          </w:tcPr>
          <w:p w14:paraId="1CEF0D09" w14:textId="77777777" w:rsidR="003E41C6" w:rsidRPr="00A14201" w:rsidRDefault="003E41C6" w:rsidP="003E41C6">
            <w:pPr>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渠道类型</w:t>
            </w:r>
          </w:p>
        </w:tc>
        <w:tc>
          <w:tcPr>
            <w:tcW w:w="1861" w:type="dxa"/>
            <w:hideMark/>
          </w:tcPr>
          <w:p w14:paraId="19D3D303" w14:textId="77777777" w:rsidR="003E41C6" w:rsidRPr="00A14201" w:rsidRDefault="003E41C6" w:rsidP="003E41C6">
            <w:pPr>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核心目标</w:t>
            </w:r>
          </w:p>
        </w:tc>
        <w:tc>
          <w:tcPr>
            <w:tcW w:w="0" w:type="auto"/>
            <w:hideMark/>
          </w:tcPr>
          <w:p w14:paraId="6E52CB2A" w14:textId="77777777" w:rsidR="003E41C6" w:rsidRPr="00A14201" w:rsidRDefault="003E41C6" w:rsidP="003E41C6">
            <w:pPr>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目标客户</w:t>
            </w:r>
          </w:p>
        </w:tc>
        <w:tc>
          <w:tcPr>
            <w:tcW w:w="0" w:type="auto"/>
            <w:hideMark/>
          </w:tcPr>
          <w:p w14:paraId="7949097C" w14:textId="77777777" w:rsidR="003E41C6" w:rsidRPr="00A14201" w:rsidRDefault="003E41C6" w:rsidP="003E41C6">
            <w:pPr>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执行方式</w:t>
            </w:r>
          </w:p>
        </w:tc>
        <w:tc>
          <w:tcPr>
            <w:tcW w:w="0" w:type="auto"/>
            <w:hideMark/>
          </w:tcPr>
          <w:p w14:paraId="01FDC460" w14:textId="77777777" w:rsidR="003E41C6" w:rsidRPr="00A14201" w:rsidRDefault="003E41C6" w:rsidP="003E41C6">
            <w:pPr>
              <w:widowControl/>
              <w:spacing w:line="375" w:lineRule="atLeast"/>
              <w:jc w:val="center"/>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资源投入占比</w:t>
            </w:r>
          </w:p>
        </w:tc>
      </w:tr>
      <w:tr w:rsidR="003E41C6" w:rsidRPr="00A14201" w14:paraId="10D374EB" w14:textId="77777777" w:rsidTr="00A14201">
        <w:trPr>
          <w:trHeight w:val="1982"/>
        </w:trPr>
        <w:tc>
          <w:tcPr>
            <w:tcW w:w="675" w:type="dxa"/>
            <w:hideMark/>
          </w:tcPr>
          <w:p w14:paraId="1DB840ED" w14:textId="77777777" w:rsidR="003E41C6" w:rsidRPr="00A14201" w:rsidRDefault="003E41C6" w:rsidP="003E41C6">
            <w:pPr>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直营标杆</w:t>
            </w:r>
          </w:p>
        </w:tc>
        <w:tc>
          <w:tcPr>
            <w:tcW w:w="1861" w:type="dxa"/>
            <w:hideMark/>
          </w:tcPr>
          <w:p w14:paraId="409F849C"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打造示范样板，形成可复制的落地案例与运营数据，以标杆效应带动批量签约</w:t>
            </w:r>
          </w:p>
        </w:tc>
        <w:tc>
          <w:tcPr>
            <w:tcW w:w="0" w:type="auto"/>
            <w:hideMark/>
          </w:tcPr>
          <w:p w14:paraId="42AF3D92"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全国连锁药店总部、区域龙头药房、重点基层医疗机构</w:t>
            </w:r>
          </w:p>
        </w:tc>
        <w:tc>
          <w:tcPr>
            <w:tcW w:w="0" w:type="auto"/>
            <w:hideMark/>
          </w:tcPr>
          <w:p w14:paraId="57D9EF44"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核心商务团队直接拓展，优先建立深度合作关系，打磨部署</w:t>
            </w:r>
            <w:r w:rsidRPr="00A14201">
              <w:rPr>
                <w:rFonts w:asciiTheme="minorHAnsi" w:eastAsiaTheme="minorEastAsia" w:hAnsiTheme="minorHAnsi" w:cstheme="minorHAnsi"/>
                <w:color w:val="0F1115"/>
                <w:kern w:val="0"/>
                <w:szCs w:val="21"/>
              </w:rPr>
              <w:t>SOP</w:t>
            </w:r>
            <w:r w:rsidRPr="00A14201">
              <w:rPr>
                <w:rFonts w:asciiTheme="minorHAnsi" w:eastAsiaTheme="minorEastAsia" w:hAnsiTheme="minorHAnsi" w:cstheme="minorHAnsi"/>
                <w:color w:val="0F1115"/>
                <w:kern w:val="0"/>
                <w:szCs w:val="21"/>
              </w:rPr>
              <w:t>与销售话术</w:t>
            </w:r>
          </w:p>
        </w:tc>
        <w:tc>
          <w:tcPr>
            <w:tcW w:w="0" w:type="auto"/>
            <w:hideMark/>
          </w:tcPr>
          <w:p w14:paraId="5EBCECC0"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40%</w:t>
            </w:r>
          </w:p>
        </w:tc>
      </w:tr>
      <w:tr w:rsidR="003E41C6" w:rsidRPr="00A14201" w14:paraId="524731FB" w14:textId="77777777" w:rsidTr="00A14201">
        <w:trPr>
          <w:trHeight w:val="1694"/>
        </w:trPr>
        <w:tc>
          <w:tcPr>
            <w:tcW w:w="675" w:type="dxa"/>
            <w:hideMark/>
          </w:tcPr>
          <w:p w14:paraId="1B3915D1" w14:textId="77777777" w:rsidR="003E41C6" w:rsidRPr="00A14201" w:rsidRDefault="003E41C6" w:rsidP="003E41C6">
            <w:pPr>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区域代理</w:t>
            </w:r>
          </w:p>
        </w:tc>
        <w:tc>
          <w:tcPr>
            <w:tcW w:w="1861" w:type="dxa"/>
            <w:hideMark/>
          </w:tcPr>
          <w:p w14:paraId="7806C079"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快速覆盖下沉市场长尾场景，提升市场渗透效率</w:t>
            </w:r>
          </w:p>
        </w:tc>
        <w:tc>
          <w:tcPr>
            <w:tcW w:w="0" w:type="auto"/>
            <w:hideMark/>
          </w:tcPr>
          <w:p w14:paraId="3612E216"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县域单体药店、社区卫生服务中心、乡镇诊所、校园医务室</w:t>
            </w:r>
          </w:p>
        </w:tc>
        <w:tc>
          <w:tcPr>
            <w:tcW w:w="0" w:type="auto"/>
            <w:hideMark/>
          </w:tcPr>
          <w:p w14:paraId="0D7830D9"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精选具备医药器械资源、售后能力与本地渠道优势的区域代理商，借助其药店网络、政府关系与本地化服务能力实现批量覆盖</w:t>
            </w:r>
          </w:p>
        </w:tc>
        <w:tc>
          <w:tcPr>
            <w:tcW w:w="0" w:type="auto"/>
            <w:hideMark/>
          </w:tcPr>
          <w:p w14:paraId="56F6B9EA"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30%</w:t>
            </w:r>
          </w:p>
        </w:tc>
      </w:tr>
      <w:tr w:rsidR="003E41C6" w:rsidRPr="00A14201" w14:paraId="500019D1" w14:textId="77777777" w:rsidTr="00A14201">
        <w:trPr>
          <w:trHeight w:val="1988"/>
        </w:trPr>
        <w:tc>
          <w:tcPr>
            <w:tcW w:w="675" w:type="dxa"/>
            <w:hideMark/>
          </w:tcPr>
          <w:p w14:paraId="10553A36" w14:textId="77777777" w:rsidR="003E41C6" w:rsidRPr="00A14201" w:rsidRDefault="003E41C6" w:rsidP="003E41C6">
            <w:pPr>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平台生态</w:t>
            </w:r>
          </w:p>
        </w:tc>
        <w:tc>
          <w:tcPr>
            <w:tcW w:w="1861" w:type="dxa"/>
            <w:hideMark/>
          </w:tcPr>
          <w:p w14:paraId="30A6DCCB"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借力平台政策与流量，快速扩大设备铺设规模，获取稳定线上订单导流</w:t>
            </w:r>
          </w:p>
        </w:tc>
        <w:tc>
          <w:tcPr>
            <w:tcW w:w="0" w:type="auto"/>
            <w:hideMark/>
          </w:tcPr>
          <w:p w14:paraId="0C7133E9"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O2O</w:t>
            </w:r>
            <w:r w:rsidRPr="00A14201">
              <w:rPr>
                <w:rFonts w:asciiTheme="minorHAnsi" w:eastAsiaTheme="minorEastAsia" w:hAnsiTheme="minorHAnsi" w:cstheme="minorHAnsi"/>
                <w:color w:val="0F1115"/>
                <w:kern w:val="0"/>
                <w:szCs w:val="21"/>
              </w:rPr>
              <w:t>平台合作药店及前置仓</w:t>
            </w:r>
          </w:p>
        </w:tc>
        <w:tc>
          <w:tcPr>
            <w:tcW w:w="0" w:type="auto"/>
            <w:hideMark/>
          </w:tcPr>
          <w:p w14:paraId="6DE13527"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对接阿里健康、</w:t>
            </w:r>
            <w:proofErr w:type="gramStart"/>
            <w:r w:rsidRPr="00A14201">
              <w:rPr>
                <w:rFonts w:asciiTheme="minorHAnsi" w:eastAsiaTheme="minorEastAsia" w:hAnsiTheme="minorHAnsi" w:cstheme="minorHAnsi"/>
                <w:color w:val="0F1115"/>
                <w:kern w:val="0"/>
                <w:szCs w:val="21"/>
              </w:rPr>
              <w:t>美团买药</w:t>
            </w:r>
            <w:proofErr w:type="gramEnd"/>
            <w:r w:rsidRPr="00A14201">
              <w:rPr>
                <w:rFonts w:asciiTheme="minorHAnsi" w:eastAsiaTheme="minorEastAsia" w:hAnsiTheme="minorHAnsi" w:cstheme="minorHAnsi"/>
                <w:color w:val="0F1115"/>
                <w:kern w:val="0"/>
                <w:szCs w:val="21"/>
              </w:rPr>
              <w:t>、饿</w:t>
            </w:r>
            <w:proofErr w:type="gramStart"/>
            <w:r w:rsidRPr="00A14201">
              <w:rPr>
                <w:rFonts w:asciiTheme="minorHAnsi" w:eastAsiaTheme="minorEastAsia" w:hAnsiTheme="minorHAnsi" w:cstheme="minorHAnsi"/>
                <w:color w:val="0F1115"/>
                <w:kern w:val="0"/>
                <w:szCs w:val="21"/>
              </w:rPr>
              <w:t>了么等头部</w:t>
            </w:r>
            <w:proofErr w:type="gramEnd"/>
            <w:r w:rsidRPr="00A14201">
              <w:rPr>
                <w:rFonts w:asciiTheme="minorHAnsi" w:eastAsiaTheme="minorEastAsia" w:hAnsiTheme="minorHAnsi" w:cstheme="minorHAnsi"/>
                <w:color w:val="0F1115"/>
                <w:kern w:val="0"/>
                <w:szCs w:val="21"/>
              </w:rPr>
              <w:t>医药</w:t>
            </w:r>
            <w:r w:rsidRPr="00A14201">
              <w:rPr>
                <w:rFonts w:asciiTheme="minorHAnsi" w:eastAsiaTheme="minorEastAsia" w:hAnsiTheme="minorHAnsi" w:cstheme="minorHAnsi"/>
                <w:color w:val="0F1115"/>
                <w:kern w:val="0"/>
                <w:szCs w:val="21"/>
              </w:rPr>
              <w:t>O2O</w:t>
            </w:r>
            <w:r w:rsidRPr="00A14201">
              <w:rPr>
                <w:rFonts w:asciiTheme="minorHAnsi" w:eastAsiaTheme="minorEastAsia" w:hAnsiTheme="minorHAnsi" w:cstheme="minorHAnsi"/>
                <w:color w:val="0F1115"/>
                <w:kern w:val="0"/>
                <w:szCs w:val="21"/>
              </w:rPr>
              <w:t>平台，将智能分拣终端纳入平台线下履约终端体系，参与</w:t>
            </w:r>
            <w:proofErr w:type="gramStart"/>
            <w:r w:rsidRPr="00A14201">
              <w:rPr>
                <w:rFonts w:asciiTheme="minorHAnsi" w:eastAsiaTheme="minorEastAsia" w:hAnsiTheme="minorHAnsi" w:cstheme="minorHAnsi"/>
                <w:color w:val="0F1115"/>
                <w:kern w:val="0"/>
                <w:szCs w:val="21"/>
              </w:rPr>
              <w:t>平台数智化</w:t>
            </w:r>
            <w:proofErr w:type="gramEnd"/>
            <w:r w:rsidRPr="00A14201">
              <w:rPr>
                <w:rFonts w:asciiTheme="minorHAnsi" w:eastAsiaTheme="minorEastAsia" w:hAnsiTheme="minorHAnsi" w:cstheme="minorHAnsi"/>
                <w:color w:val="0F1115"/>
                <w:kern w:val="0"/>
                <w:szCs w:val="21"/>
              </w:rPr>
              <w:t>改造政策</w:t>
            </w:r>
          </w:p>
        </w:tc>
        <w:tc>
          <w:tcPr>
            <w:tcW w:w="0" w:type="auto"/>
            <w:hideMark/>
          </w:tcPr>
          <w:p w14:paraId="73C10C41"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20%</w:t>
            </w:r>
          </w:p>
        </w:tc>
      </w:tr>
      <w:tr w:rsidR="003E41C6" w:rsidRPr="00A14201" w14:paraId="4ECAA090" w14:textId="77777777" w:rsidTr="003E41C6">
        <w:tc>
          <w:tcPr>
            <w:tcW w:w="675" w:type="dxa"/>
            <w:hideMark/>
          </w:tcPr>
          <w:p w14:paraId="2EEB38AD" w14:textId="77777777" w:rsidR="003E41C6" w:rsidRPr="00A14201" w:rsidRDefault="003E41C6" w:rsidP="003E41C6">
            <w:pPr>
              <w:widowControl/>
              <w:spacing w:line="375" w:lineRule="atLeast"/>
              <w:jc w:val="left"/>
              <w:rPr>
                <w:rFonts w:asciiTheme="minorHAnsi" w:eastAsia="黑体" w:hAnsiTheme="minorHAnsi" w:cstheme="minorHAnsi"/>
                <w:color w:val="0F1115"/>
                <w:kern w:val="0"/>
                <w:szCs w:val="21"/>
              </w:rPr>
            </w:pPr>
            <w:r w:rsidRPr="00A14201">
              <w:rPr>
                <w:rFonts w:asciiTheme="minorHAnsi" w:eastAsia="黑体" w:hAnsiTheme="minorHAnsi" w:cstheme="minorHAnsi"/>
                <w:color w:val="0F1115"/>
                <w:kern w:val="0"/>
                <w:szCs w:val="21"/>
              </w:rPr>
              <w:t>品牌声量</w:t>
            </w:r>
          </w:p>
        </w:tc>
        <w:tc>
          <w:tcPr>
            <w:tcW w:w="1861" w:type="dxa"/>
            <w:hideMark/>
          </w:tcPr>
          <w:p w14:paraId="10E9FED8"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提升行业辨识度与公信力，吸引渠道伙伴与</w:t>
            </w:r>
            <w:r w:rsidRPr="00A14201">
              <w:rPr>
                <w:rFonts w:asciiTheme="minorHAnsi" w:eastAsiaTheme="minorEastAsia" w:hAnsiTheme="minorHAnsi" w:cstheme="minorHAnsi"/>
                <w:color w:val="0F1115"/>
                <w:kern w:val="0"/>
                <w:szCs w:val="21"/>
              </w:rPr>
              <w:t>B</w:t>
            </w:r>
            <w:proofErr w:type="gramStart"/>
            <w:r w:rsidRPr="00A14201">
              <w:rPr>
                <w:rFonts w:asciiTheme="minorHAnsi" w:eastAsiaTheme="minorEastAsia" w:hAnsiTheme="minorHAnsi" w:cstheme="minorHAnsi"/>
                <w:color w:val="0F1115"/>
                <w:kern w:val="0"/>
                <w:szCs w:val="21"/>
              </w:rPr>
              <w:t>端客户</w:t>
            </w:r>
            <w:proofErr w:type="gramEnd"/>
            <w:r w:rsidRPr="00A14201">
              <w:rPr>
                <w:rFonts w:asciiTheme="minorHAnsi" w:eastAsiaTheme="minorEastAsia" w:hAnsiTheme="minorHAnsi" w:cstheme="minorHAnsi"/>
                <w:color w:val="0F1115"/>
                <w:kern w:val="0"/>
                <w:szCs w:val="21"/>
              </w:rPr>
              <w:t>主动对接</w:t>
            </w:r>
          </w:p>
        </w:tc>
        <w:tc>
          <w:tcPr>
            <w:tcW w:w="0" w:type="auto"/>
            <w:hideMark/>
          </w:tcPr>
          <w:p w14:paraId="7BE26E92"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行业客户、潜在代理商、投资机构</w:t>
            </w:r>
          </w:p>
        </w:tc>
        <w:tc>
          <w:tcPr>
            <w:tcW w:w="0" w:type="auto"/>
            <w:hideMark/>
          </w:tcPr>
          <w:p w14:paraId="38B8C988"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依托赛事成果背书，联合高校药学院、教学医院开展产学研合作；持续参与全国医药零售博览会、智慧医疗装备展，通过样机演示、技术宣讲、案例分享建立品牌认知</w:t>
            </w:r>
          </w:p>
        </w:tc>
        <w:tc>
          <w:tcPr>
            <w:tcW w:w="0" w:type="auto"/>
            <w:hideMark/>
          </w:tcPr>
          <w:p w14:paraId="24182EDD" w14:textId="77777777" w:rsidR="003E41C6" w:rsidRPr="00A14201" w:rsidRDefault="003E41C6" w:rsidP="003E41C6">
            <w:pPr>
              <w:widowControl/>
              <w:spacing w:line="375" w:lineRule="atLeast"/>
              <w:jc w:val="left"/>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10%</w:t>
            </w:r>
          </w:p>
        </w:tc>
      </w:tr>
    </w:tbl>
    <w:p w14:paraId="5A33E613" w14:textId="0B624B50" w:rsidR="003E41C6" w:rsidRPr="00A14201" w:rsidRDefault="00A14201" w:rsidP="00A14201">
      <w:pPr>
        <w:pStyle w:val="a3"/>
        <w:widowControl/>
        <w:shd w:val="clear" w:color="auto" w:fill="FFFFFF"/>
        <w:spacing w:beforeAutospacing="0" w:afterAutospacing="0"/>
        <w:ind w:firstLineChars="200" w:firstLine="420"/>
        <w:rPr>
          <w:rFonts w:asciiTheme="majorEastAsia" w:eastAsiaTheme="majorEastAsia" w:hAnsiTheme="majorEastAsia" w:hint="eastAsia"/>
          <w:kern w:val="2"/>
          <w:sz w:val="21"/>
        </w:rPr>
      </w:pPr>
      <w:r w:rsidRPr="00A14201">
        <w:rPr>
          <w:rFonts w:asciiTheme="majorEastAsia" w:eastAsiaTheme="majorEastAsia" w:hAnsiTheme="majorEastAsia"/>
          <w:kern w:val="2"/>
          <w:sz w:val="21"/>
        </w:rPr>
        <w:lastRenderedPageBreak/>
        <w:t>四条渠道并非孤立运行，而是相互赋能、形成闭环。直营标杆产生的真实案例和数据，为区域代理提供销售弹药和信任背书；平台生态带来的订单流量，反向增强终端客户对设备价值的感知，降低直营和代理的谈判难度；品牌声量持续提升行业影响力，</w:t>
      </w:r>
      <w:proofErr w:type="gramStart"/>
      <w:r w:rsidRPr="00A14201">
        <w:rPr>
          <w:rFonts w:asciiTheme="majorEastAsia" w:eastAsiaTheme="majorEastAsia" w:hAnsiTheme="majorEastAsia"/>
          <w:kern w:val="2"/>
          <w:sz w:val="21"/>
        </w:rPr>
        <w:t>让渠道</w:t>
      </w:r>
      <w:proofErr w:type="gramEnd"/>
      <w:r w:rsidRPr="00A14201">
        <w:rPr>
          <w:rFonts w:asciiTheme="majorEastAsia" w:eastAsiaTheme="majorEastAsia" w:hAnsiTheme="majorEastAsia"/>
          <w:kern w:val="2"/>
          <w:sz w:val="21"/>
        </w:rPr>
        <w:t>伙伴和客户主动找上门，使整个市场拓展体系从“推式销售”逐步转向“拉式获客”，形成线上线下联动、高效稳定的市场拓展格局。</w:t>
      </w:r>
    </w:p>
    <w:p w14:paraId="029D5567" w14:textId="77777777" w:rsidR="00E93FEF" w:rsidRDefault="00000000">
      <w:pPr>
        <w:adjustRightInd w:val="0"/>
        <w:snapToGrid w:val="0"/>
        <w:spacing w:beforeLines="100" w:before="312" w:afterLines="50" w:after="156" w:line="380" w:lineRule="exact"/>
        <w:outlineLvl w:val="0"/>
        <w:rPr>
          <w:rFonts w:ascii="Times New Roman" w:eastAsia="仿宋_GB2312" w:hAnsi="Times New Roman" w:cs="Times New Roman"/>
          <w:sz w:val="30"/>
          <w:szCs w:val="30"/>
        </w:rPr>
      </w:pPr>
      <w:bookmarkStart w:id="34" w:name="_Toc28205"/>
      <w:bookmarkEnd w:id="29"/>
      <w:r>
        <w:rPr>
          <w:rFonts w:ascii="Times New Roman" w:eastAsia="仿宋_GB2312" w:hAnsi="Times New Roman" w:cs="Times New Roman" w:hint="eastAsia"/>
          <w:sz w:val="30"/>
          <w:szCs w:val="30"/>
        </w:rPr>
        <w:t>五、财务分析</w:t>
      </w:r>
      <w:bookmarkEnd w:id="34"/>
    </w:p>
    <w:p w14:paraId="68E1FF52"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5" w:name="_Toc28675"/>
      <w:r>
        <w:rPr>
          <w:rFonts w:ascii="Times New Roman" w:eastAsia="楷体_GB2312" w:hAnsi="Times New Roman" w:cs="Times New Roman" w:hint="eastAsia"/>
          <w:sz w:val="28"/>
          <w:szCs w:val="28"/>
        </w:rPr>
        <w:t xml:space="preserve">5.1 </w:t>
      </w:r>
      <w:r>
        <w:rPr>
          <w:rFonts w:ascii="Times New Roman" w:eastAsia="楷体_GB2312" w:hAnsi="Times New Roman" w:cs="Times New Roman" w:hint="eastAsia"/>
          <w:sz w:val="28"/>
          <w:szCs w:val="28"/>
        </w:rPr>
        <w:t>资金来源</w:t>
      </w:r>
      <w:bookmarkEnd w:id="35"/>
    </w:p>
    <w:p w14:paraId="410CE1C1" w14:textId="77777777" w:rsidR="00E93FEF" w:rsidRDefault="00000000">
      <w:pPr>
        <w:pStyle w:val="a3"/>
        <w:widowControl/>
        <w:shd w:val="clear" w:color="auto" w:fill="FFFFFF"/>
        <w:spacing w:before="120" w:beforeAutospacing="0" w:after="120" w:afterAutospacing="0"/>
        <w:ind w:firstLineChars="200" w:firstLine="420"/>
        <w:rPr>
          <w:kern w:val="2"/>
          <w:sz w:val="21"/>
        </w:rPr>
      </w:pPr>
      <w:r>
        <w:rPr>
          <w:rFonts w:hint="eastAsia"/>
          <w:kern w:val="2"/>
          <w:sz w:val="21"/>
        </w:rPr>
        <w:t>项目整体采用低成本启动、分阶段投入、多元化融资的资金规划策略，前期以政策扶持与科研资金为主，降低财务杠杆与创业风险，中期结合市场化融资实现规模化扩张。</w:t>
      </w:r>
      <w:r>
        <w:rPr>
          <w:rFonts w:hint="eastAsia"/>
          <w:kern w:val="2"/>
          <w:sz w:val="21"/>
        </w:rPr>
        <w:t xml:space="preserve"> </w:t>
      </w:r>
      <w:r>
        <w:rPr>
          <w:rFonts w:hint="eastAsia"/>
          <w:kern w:val="2"/>
          <w:sz w:val="21"/>
        </w:rPr>
        <w:t>初期资金主要来源于大学生创新创业专项补贴、高校科研成果转化资金、国家级学科竞赛奖金及大学生创新创业训练计划项目经费，为核心技术研发、原型机试制、算法调试与早期市场试点提供稳定启动资金，保障项目从实验室走向真实场景落地。随着项目进入商业化推广阶段，后续将逐步引入股权融资、供应链金融、银行普惠贷及行业战略投资，支撑硬件量产、市场渠道扩张、团队扩容与全国化部署，构建可持续、抗风险能力强的资金结构。</w:t>
      </w:r>
    </w:p>
    <w:p w14:paraId="263D8859"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6" w:name="_Toc17479"/>
      <w:r>
        <w:rPr>
          <w:rFonts w:ascii="Times New Roman" w:eastAsia="楷体_GB2312" w:hAnsi="Times New Roman" w:cs="Times New Roman" w:hint="eastAsia"/>
          <w:sz w:val="28"/>
          <w:szCs w:val="28"/>
        </w:rPr>
        <w:t xml:space="preserve">5.2 </w:t>
      </w:r>
      <w:r>
        <w:rPr>
          <w:rFonts w:ascii="Times New Roman" w:eastAsia="楷体_GB2312" w:hAnsi="Times New Roman" w:cs="Times New Roman" w:hint="eastAsia"/>
          <w:sz w:val="28"/>
          <w:szCs w:val="28"/>
        </w:rPr>
        <w:t>成本结构分析</w:t>
      </w:r>
      <w:bookmarkEnd w:id="36"/>
    </w:p>
    <w:p w14:paraId="21A49301" w14:textId="4DF6AA74" w:rsidR="00E93FEF" w:rsidRDefault="00000000">
      <w:pPr>
        <w:pStyle w:val="a3"/>
        <w:widowControl/>
        <w:shd w:val="clear" w:color="auto" w:fill="FFFFFF"/>
        <w:spacing w:beforeAutospacing="0" w:afterAutospacing="0"/>
        <w:ind w:firstLine="420"/>
        <w:rPr>
          <w:kern w:val="2"/>
          <w:sz w:val="21"/>
        </w:rPr>
      </w:pPr>
      <w:r>
        <w:rPr>
          <w:rFonts w:hint="eastAsia"/>
          <w:kern w:val="2"/>
          <w:sz w:val="21"/>
        </w:rPr>
        <w:t>项目采用</w:t>
      </w:r>
      <w:r w:rsidR="00A14201">
        <w:rPr>
          <w:rFonts w:hint="eastAsia"/>
          <w:kern w:val="2"/>
          <w:sz w:val="21"/>
        </w:rPr>
        <w:t>“</w:t>
      </w:r>
      <w:r>
        <w:rPr>
          <w:rFonts w:hint="eastAsia"/>
          <w:kern w:val="2"/>
          <w:sz w:val="21"/>
        </w:rPr>
        <w:t>模块化硬件架构</w:t>
      </w:r>
      <w:r>
        <w:rPr>
          <w:rFonts w:hint="eastAsia"/>
          <w:kern w:val="2"/>
          <w:sz w:val="21"/>
        </w:rPr>
        <w:t>+</w:t>
      </w:r>
      <w:r>
        <w:rPr>
          <w:rFonts w:hint="eastAsia"/>
          <w:kern w:val="2"/>
          <w:sz w:val="21"/>
        </w:rPr>
        <w:t>全国产供应链替代</w:t>
      </w:r>
      <w:r w:rsidR="00A14201">
        <w:rPr>
          <w:rFonts w:hint="eastAsia"/>
          <w:kern w:val="2"/>
          <w:sz w:val="21"/>
        </w:rPr>
        <w:t>”</w:t>
      </w:r>
      <w:r>
        <w:rPr>
          <w:rFonts w:hint="eastAsia"/>
          <w:kern w:val="2"/>
          <w:sz w:val="21"/>
        </w:rPr>
        <w:t>的双重降本策略，整体成本结构清晰、规模效应显著，随着量产与技术迭代持续优化，长期盈利能力具备较强支撑。</w:t>
      </w:r>
    </w:p>
    <w:p w14:paraId="41A84A94" w14:textId="19096446" w:rsidR="00E93FEF" w:rsidRDefault="00A14201">
      <w:pPr>
        <w:pStyle w:val="a3"/>
        <w:widowControl/>
        <w:shd w:val="clear" w:color="auto" w:fill="FFFFFF"/>
        <w:spacing w:beforeAutospacing="0" w:afterAutospacing="0"/>
        <w:ind w:firstLine="420"/>
        <w:rPr>
          <w:kern w:val="2"/>
          <w:sz w:val="21"/>
        </w:rPr>
      </w:pPr>
      <w:r>
        <w:rPr>
          <w:rFonts w:hint="eastAsia"/>
          <w:kern w:val="2"/>
          <w:sz w:val="21"/>
        </w:rPr>
        <w:t>（</w:t>
      </w:r>
      <w:r>
        <w:rPr>
          <w:rFonts w:hint="eastAsia"/>
          <w:kern w:val="2"/>
          <w:sz w:val="21"/>
        </w:rPr>
        <w:t>1</w:t>
      </w:r>
      <w:r>
        <w:rPr>
          <w:rFonts w:hint="eastAsia"/>
          <w:kern w:val="2"/>
          <w:sz w:val="21"/>
        </w:rPr>
        <w:t>）在硬件核心</w:t>
      </w:r>
      <w:r>
        <w:rPr>
          <w:rFonts w:hint="eastAsia"/>
          <w:kern w:val="2"/>
          <w:sz w:val="21"/>
        </w:rPr>
        <w:t>BOM</w:t>
      </w:r>
      <w:r>
        <w:rPr>
          <w:rFonts w:hint="eastAsia"/>
          <w:kern w:val="2"/>
          <w:sz w:val="21"/>
        </w:rPr>
        <w:t>成本方面，当前单台标准机型的</w:t>
      </w:r>
      <w:proofErr w:type="gramStart"/>
      <w:r>
        <w:rPr>
          <w:rFonts w:hint="eastAsia"/>
          <w:kern w:val="2"/>
          <w:sz w:val="21"/>
        </w:rPr>
        <w:t>物料总</w:t>
      </w:r>
      <w:proofErr w:type="gramEnd"/>
      <w:r>
        <w:rPr>
          <w:rFonts w:hint="eastAsia"/>
          <w:kern w:val="2"/>
          <w:sz w:val="21"/>
        </w:rPr>
        <w:t>成本约为</w:t>
      </w:r>
      <w:r>
        <w:rPr>
          <w:rFonts w:hint="eastAsia"/>
          <w:kern w:val="2"/>
          <w:sz w:val="21"/>
        </w:rPr>
        <w:t>2.8</w:t>
      </w:r>
      <w:r>
        <w:rPr>
          <w:rFonts w:hint="eastAsia"/>
          <w:kern w:val="2"/>
          <w:sz w:val="21"/>
        </w:rPr>
        <w:t>万元，涵盖</w:t>
      </w:r>
      <w:r>
        <w:rPr>
          <w:rFonts w:hint="eastAsia"/>
          <w:kern w:val="2"/>
          <w:sz w:val="21"/>
        </w:rPr>
        <w:t>6</w:t>
      </w:r>
      <w:proofErr w:type="gramStart"/>
      <w:r>
        <w:rPr>
          <w:rFonts w:hint="eastAsia"/>
          <w:kern w:val="2"/>
          <w:sz w:val="21"/>
        </w:rPr>
        <w:t>轴高精度</w:t>
      </w:r>
      <w:proofErr w:type="gramEnd"/>
      <w:r>
        <w:rPr>
          <w:rFonts w:hint="eastAsia"/>
          <w:kern w:val="2"/>
          <w:sz w:val="21"/>
        </w:rPr>
        <w:t>机械臂、高性能工控主机、深度视觉模组、专用结构件及传感器等全套核心组件。依托模块化设计与国产供应链深度整合，项目具备明确的降本路径：当年度出货量突破</w:t>
      </w:r>
      <w:r>
        <w:rPr>
          <w:rFonts w:hint="eastAsia"/>
          <w:kern w:val="2"/>
          <w:sz w:val="21"/>
        </w:rPr>
        <w:t>1000</w:t>
      </w:r>
      <w:r>
        <w:rPr>
          <w:rFonts w:hint="eastAsia"/>
          <w:kern w:val="2"/>
          <w:sz w:val="21"/>
        </w:rPr>
        <w:t>台后，通过与核心元器件供应商签订长期集采框架协议、扩大批量采购规模、优化结构件开模与生产工艺，单台</w:t>
      </w:r>
      <w:r>
        <w:rPr>
          <w:rFonts w:hint="eastAsia"/>
          <w:kern w:val="2"/>
          <w:sz w:val="21"/>
        </w:rPr>
        <w:t>BOM</w:t>
      </w:r>
      <w:r>
        <w:rPr>
          <w:rFonts w:hint="eastAsia"/>
          <w:kern w:val="2"/>
          <w:sz w:val="21"/>
        </w:rPr>
        <w:t>成本可稳步压缩至</w:t>
      </w:r>
      <w:r>
        <w:rPr>
          <w:rFonts w:hint="eastAsia"/>
          <w:kern w:val="2"/>
          <w:sz w:val="21"/>
        </w:rPr>
        <w:t>2.0</w:t>
      </w:r>
      <w:r>
        <w:rPr>
          <w:rFonts w:hint="eastAsia"/>
          <w:kern w:val="2"/>
          <w:sz w:val="21"/>
        </w:rPr>
        <w:t>万元以内，为市场扩张与盈利提升留出充足空间。</w:t>
      </w:r>
    </w:p>
    <w:p w14:paraId="7041F8F6" w14:textId="18AA360A" w:rsidR="00E93FEF" w:rsidRDefault="00A14201">
      <w:pPr>
        <w:pStyle w:val="a3"/>
        <w:widowControl/>
        <w:shd w:val="clear" w:color="auto" w:fill="FFFFFF"/>
        <w:spacing w:beforeAutospacing="0" w:afterAutospacing="0"/>
        <w:ind w:firstLine="420"/>
        <w:rPr>
          <w:kern w:val="2"/>
          <w:sz w:val="21"/>
        </w:rPr>
      </w:pPr>
      <w:r>
        <w:rPr>
          <w:rFonts w:hint="eastAsia"/>
          <w:kern w:val="2"/>
          <w:sz w:val="21"/>
        </w:rPr>
        <w:t>（</w:t>
      </w:r>
      <w:r>
        <w:rPr>
          <w:rFonts w:hint="eastAsia"/>
          <w:kern w:val="2"/>
          <w:sz w:val="21"/>
        </w:rPr>
        <w:t>2</w:t>
      </w:r>
      <w:r>
        <w:rPr>
          <w:rFonts w:hint="eastAsia"/>
          <w:kern w:val="2"/>
          <w:sz w:val="21"/>
        </w:rPr>
        <w:t>）在</w:t>
      </w:r>
      <w:proofErr w:type="gramStart"/>
      <w:r>
        <w:rPr>
          <w:rFonts w:hint="eastAsia"/>
          <w:kern w:val="2"/>
          <w:sz w:val="21"/>
        </w:rPr>
        <w:t>云端算力与</w:t>
      </w:r>
      <w:proofErr w:type="gramEnd"/>
      <w:r>
        <w:rPr>
          <w:rFonts w:hint="eastAsia"/>
          <w:kern w:val="2"/>
          <w:sz w:val="21"/>
        </w:rPr>
        <w:t>平台运</w:t>
      </w:r>
      <w:proofErr w:type="gramStart"/>
      <w:r>
        <w:rPr>
          <w:rFonts w:hint="eastAsia"/>
          <w:kern w:val="2"/>
          <w:sz w:val="21"/>
        </w:rPr>
        <w:t>维成本</w:t>
      </w:r>
      <w:proofErr w:type="gramEnd"/>
      <w:r>
        <w:rPr>
          <w:rFonts w:hint="eastAsia"/>
          <w:kern w:val="2"/>
          <w:sz w:val="21"/>
        </w:rPr>
        <w:t>方面，主要支出为</w:t>
      </w:r>
      <w:proofErr w:type="gramStart"/>
      <w:r>
        <w:rPr>
          <w:rFonts w:hint="eastAsia"/>
          <w:kern w:val="2"/>
          <w:sz w:val="21"/>
        </w:rPr>
        <w:t>医疗垂类大</w:t>
      </w:r>
      <w:proofErr w:type="gramEnd"/>
      <w:r>
        <w:rPr>
          <w:rFonts w:hint="eastAsia"/>
          <w:kern w:val="2"/>
          <w:sz w:val="21"/>
        </w:rPr>
        <w:t>模型</w:t>
      </w:r>
      <w:r>
        <w:rPr>
          <w:rFonts w:hint="eastAsia"/>
          <w:kern w:val="2"/>
          <w:sz w:val="21"/>
        </w:rPr>
        <w:t>API</w:t>
      </w:r>
      <w:r>
        <w:rPr>
          <w:rFonts w:hint="eastAsia"/>
          <w:kern w:val="2"/>
          <w:sz w:val="21"/>
        </w:rPr>
        <w:t>调用、云端</w:t>
      </w:r>
      <w:r>
        <w:rPr>
          <w:rFonts w:hint="eastAsia"/>
          <w:kern w:val="2"/>
          <w:sz w:val="21"/>
        </w:rPr>
        <w:t>WMS</w:t>
      </w:r>
      <w:r>
        <w:rPr>
          <w:rFonts w:hint="eastAsia"/>
          <w:kern w:val="2"/>
          <w:sz w:val="21"/>
        </w:rPr>
        <w:t>仓储管理系统服务及服务器带宽费用，现阶段单店</w:t>
      </w:r>
      <w:proofErr w:type="gramStart"/>
      <w:r>
        <w:rPr>
          <w:rFonts w:hint="eastAsia"/>
          <w:kern w:val="2"/>
          <w:sz w:val="21"/>
        </w:rPr>
        <w:t>月度算力与</w:t>
      </w:r>
      <w:proofErr w:type="gramEnd"/>
      <w:r>
        <w:rPr>
          <w:rFonts w:hint="eastAsia"/>
          <w:kern w:val="2"/>
          <w:sz w:val="21"/>
        </w:rPr>
        <w:t>运</w:t>
      </w:r>
      <w:proofErr w:type="gramStart"/>
      <w:r>
        <w:rPr>
          <w:rFonts w:hint="eastAsia"/>
          <w:kern w:val="2"/>
          <w:sz w:val="21"/>
        </w:rPr>
        <w:t>维成本</w:t>
      </w:r>
      <w:proofErr w:type="gramEnd"/>
      <w:r>
        <w:rPr>
          <w:rFonts w:hint="eastAsia"/>
          <w:kern w:val="2"/>
          <w:sz w:val="21"/>
        </w:rPr>
        <w:t>约</w:t>
      </w:r>
      <w:r>
        <w:rPr>
          <w:rFonts w:hint="eastAsia"/>
          <w:kern w:val="2"/>
          <w:sz w:val="21"/>
        </w:rPr>
        <w:t>1500</w:t>
      </w:r>
      <w:r>
        <w:rPr>
          <w:rFonts w:hint="eastAsia"/>
          <w:kern w:val="2"/>
          <w:sz w:val="21"/>
        </w:rPr>
        <w:t>元。随着项目自研轻量化</w:t>
      </w:r>
      <w:r>
        <w:rPr>
          <w:rFonts w:hint="eastAsia"/>
          <w:kern w:val="2"/>
          <w:sz w:val="21"/>
        </w:rPr>
        <w:t>AI</w:t>
      </w:r>
      <w:r>
        <w:rPr>
          <w:rFonts w:hint="eastAsia"/>
          <w:kern w:val="2"/>
          <w:sz w:val="21"/>
        </w:rPr>
        <w:t>模型逐步部署至边缘终端，大量推理计算将从云端转移至本地设备完成，可显著降低云端依赖与算力费用。中长期来看，单店年均算力支出将呈现非线性下降趋势，进一步提升项目整体盈利水平。</w:t>
      </w:r>
    </w:p>
    <w:p w14:paraId="2DF8F678" w14:textId="5EDD535B" w:rsidR="00E93FEF" w:rsidRDefault="00A14201">
      <w:pPr>
        <w:pStyle w:val="a3"/>
        <w:widowControl/>
        <w:shd w:val="clear" w:color="auto" w:fill="FFFFFF"/>
        <w:spacing w:beforeAutospacing="0" w:afterAutospacing="0"/>
        <w:ind w:firstLine="420"/>
        <w:rPr>
          <w:kern w:val="2"/>
          <w:sz w:val="21"/>
        </w:rPr>
      </w:pPr>
      <w:r>
        <w:rPr>
          <w:rFonts w:hint="eastAsia"/>
          <w:kern w:val="2"/>
          <w:sz w:val="21"/>
        </w:rPr>
        <w:t>（</w:t>
      </w:r>
      <w:r>
        <w:rPr>
          <w:rFonts w:hint="eastAsia"/>
          <w:kern w:val="2"/>
          <w:sz w:val="21"/>
        </w:rPr>
        <w:t>3</w:t>
      </w:r>
      <w:r>
        <w:rPr>
          <w:rFonts w:hint="eastAsia"/>
          <w:kern w:val="2"/>
          <w:sz w:val="21"/>
        </w:rPr>
        <w:t>）在市场销售与技术服务成本方面，项目采用“直营标杆</w:t>
      </w:r>
      <w:r>
        <w:rPr>
          <w:rFonts w:hint="eastAsia"/>
          <w:kern w:val="2"/>
          <w:sz w:val="21"/>
        </w:rPr>
        <w:t>+</w:t>
      </w:r>
      <w:r>
        <w:rPr>
          <w:rFonts w:hint="eastAsia"/>
          <w:kern w:val="2"/>
          <w:sz w:val="21"/>
        </w:rPr>
        <w:t>区域代理”相结合的渠道模式，有效控制</w:t>
      </w:r>
      <w:proofErr w:type="gramStart"/>
      <w:r>
        <w:rPr>
          <w:rFonts w:hint="eastAsia"/>
          <w:kern w:val="2"/>
          <w:sz w:val="21"/>
        </w:rPr>
        <w:t>前期拓客成本</w:t>
      </w:r>
      <w:proofErr w:type="gramEnd"/>
      <w:r>
        <w:rPr>
          <w:rFonts w:hint="eastAsia"/>
          <w:kern w:val="2"/>
          <w:sz w:val="21"/>
        </w:rPr>
        <w:t>。早期投入以售后工程师现场部署、系统联调、客户培训及差旅费用为主，保障试点稳定运行；后期随着设备规模化落地，将逐步转向远程</w:t>
      </w:r>
      <w:r>
        <w:rPr>
          <w:rFonts w:hint="eastAsia"/>
          <w:kern w:val="2"/>
          <w:sz w:val="21"/>
        </w:rPr>
        <w:t>OTA</w:t>
      </w:r>
      <w:r>
        <w:rPr>
          <w:rFonts w:hint="eastAsia"/>
          <w:kern w:val="2"/>
          <w:sz w:val="21"/>
        </w:rPr>
        <w:t>在线升级、故障预诊断、模块化快速更换等高效运维方式，大幅降低现场服务频次与人工支出，实现服务成本持续优化。</w:t>
      </w:r>
    </w:p>
    <w:p w14:paraId="4314323C" w14:textId="77777777" w:rsidR="00E93FEF" w:rsidRDefault="00000000">
      <w:pPr>
        <w:pStyle w:val="a3"/>
        <w:widowControl/>
        <w:shd w:val="clear" w:color="auto" w:fill="FFFFFF"/>
        <w:spacing w:beforeAutospacing="0" w:afterAutospacing="0"/>
        <w:ind w:firstLine="420"/>
      </w:pPr>
      <w:r>
        <w:rPr>
          <w:rFonts w:hint="eastAsia"/>
          <w:kern w:val="2"/>
          <w:sz w:val="21"/>
        </w:rPr>
        <w:t>整体来看，项目成本随规模扩大与技术迭代持续下行，硬件、算力、服务三大板块均具备明确降本空间，成本可控性强、盈利弹性大，为项目长期稳健发展提供坚实财务基础。</w:t>
      </w:r>
    </w:p>
    <w:p w14:paraId="78D7FD10"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37" w:name="_Toc4313"/>
      <w:r>
        <w:rPr>
          <w:rFonts w:ascii="Times New Roman" w:eastAsia="楷体_GB2312" w:hAnsi="Times New Roman" w:cs="Times New Roman" w:hint="eastAsia"/>
          <w:sz w:val="28"/>
          <w:szCs w:val="28"/>
        </w:rPr>
        <w:t xml:space="preserve">5.3 </w:t>
      </w:r>
      <w:r>
        <w:rPr>
          <w:rFonts w:ascii="Times New Roman" w:eastAsia="楷体_GB2312" w:hAnsi="Times New Roman" w:cs="Times New Roman" w:hint="eastAsia"/>
          <w:sz w:val="28"/>
          <w:szCs w:val="28"/>
        </w:rPr>
        <w:t>财务预支出及预收入分析</w:t>
      </w:r>
      <w:bookmarkEnd w:id="37"/>
    </w:p>
    <w:p w14:paraId="111443C7" w14:textId="77777777" w:rsidR="00E93FEF" w:rsidRDefault="00000000">
      <w:pPr>
        <w:pStyle w:val="a3"/>
        <w:widowControl/>
        <w:shd w:val="clear" w:color="auto" w:fill="FFFFFF"/>
        <w:spacing w:before="120" w:beforeAutospacing="0" w:after="120" w:afterAutospacing="0"/>
        <w:ind w:firstLine="420"/>
        <w:outlineLvl w:val="2"/>
        <w:rPr>
          <w:kern w:val="2"/>
          <w:sz w:val="21"/>
        </w:rPr>
      </w:pPr>
      <w:bookmarkStart w:id="38" w:name="_Toc2807"/>
      <w:r>
        <w:rPr>
          <w:rFonts w:hint="eastAsia"/>
          <w:kern w:val="2"/>
          <w:sz w:val="21"/>
        </w:rPr>
        <w:t>5.3.1</w:t>
      </w:r>
      <w:r>
        <w:rPr>
          <w:rFonts w:hint="eastAsia"/>
          <w:kern w:val="2"/>
          <w:sz w:val="21"/>
        </w:rPr>
        <w:t>财务预测收入</w:t>
      </w:r>
      <w:bookmarkEnd w:id="38"/>
    </w:p>
    <w:p w14:paraId="341D9F61" w14:textId="52E0EE4B" w:rsidR="00A14201" w:rsidRDefault="00000000" w:rsidP="00A14201">
      <w:pPr>
        <w:pStyle w:val="a3"/>
        <w:widowControl/>
        <w:shd w:val="clear" w:color="auto" w:fill="FFFFFF"/>
        <w:spacing w:beforeAutospacing="0" w:afterAutospacing="0"/>
        <w:ind w:firstLine="420"/>
        <w:rPr>
          <w:kern w:val="2"/>
          <w:sz w:val="21"/>
        </w:rPr>
      </w:pPr>
      <w:r>
        <w:rPr>
          <w:rFonts w:hint="eastAsia"/>
          <w:kern w:val="2"/>
          <w:sz w:val="21"/>
        </w:rPr>
        <w:lastRenderedPageBreak/>
        <w:t>第一阶段试点验证期：聚焦区域标杆门店建设，收入以硬件销售与系统适配服务为主，整体规模稳健。收入结构以一次性设备销售收入为核心，软件订阅及增值服务占比较小。</w:t>
      </w:r>
      <w:r>
        <w:rPr>
          <w:rFonts w:hint="eastAsia"/>
          <w:kern w:val="2"/>
          <w:sz w:val="21"/>
        </w:rPr>
        <w:t xml:space="preserve"> </w:t>
      </w:r>
      <w:r>
        <w:rPr>
          <w:rFonts w:hint="eastAsia"/>
          <w:kern w:val="2"/>
          <w:sz w:val="21"/>
        </w:rPr>
        <w:t>第二阶段复制扩张期：依托成熟渠道加速市场渗透，设备部署规模持续扩大，硬件销售收入稳步增长，</w:t>
      </w:r>
      <w:r>
        <w:rPr>
          <w:rFonts w:hint="eastAsia"/>
          <w:kern w:val="2"/>
          <w:sz w:val="21"/>
        </w:rPr>
        <w:t>SaaS</w:t>
      </w:r>
      <w:r>
        <w:rPr>
          <w:rFonts w:hint="eastAsia"/>
          <w:kern w:val="2"/>
          <w:sz w:val="21"/>
        </w:rPr>
        <w:t>订阅、运维服务等持续性收入逐步形成稳定支撑，整体营收实现快速提升，收入结构向可持续模式转型。</w:t>
      </w:r>
      <w:r>
        <w:rPr>
          <w:rFonts w:hint="eastAsia"/>
          <w:kern w:val="2"/>
          <w:sz w:val="21"/>
        </w:rPr>
        <w:t xml:space="preserve"> </w:t>
      </w:r>
      <w:r>
        <w:rPr>
          <w:rFonts w:hint="eastAsia"/>
          <w:kern w:val="2"/>
          <w:sz w:val="21"/>
        </w:rPr>
        <w:t>第三阶段规模盈利期：全国市场布局基本完成，终端覆盖形成规模化效应，硬件销售、软件订阅、订单服务、数据增值协同发力，营</w:t>
      </w:r>
      <w:proofErr w:type="gramStart"/>
      <w:r>
        <w:rPr>
          <w:rFonts w:hint="eastAsia"/>
          <w:kern w:val="2"/>
          <w:sz w:val="21"/>
        </w:rPr>
        <w:t>收规模</w:t>
      </w:r>
      <w:proofErr w:type="gramEnd"/>
      <w:r>
        <w:rPr>
          <w:rFonts w:hint="eastAsia"/>
          <w:kern w:val="2"/>
          <w:sz w:val="21"/>
        </w:rPr>
        <w:t>持续攀升，可持续性经常性收入占</w:t>
      </w:r>
      <w:proofErr w:type="gramStart"/>
      <w:r>
        <w:rPr>
          <w:rFonts w:hint="eastAsia"/>
          <w:kern w:val="2"/>
          <w:sz w:val="21"/>
        </w:rPr>
        <w:t>比显著</w:t>
      </w:r>
      <w:proofErr w:type="gramEnd"/>
      <w:r>
        <w:rPr>
          <w:rFonts w:hint="eastAsia"/>
          <w:kern w:val="2"/>
          <w:sz w:val="21"/>
        </w:rPr>
        <w:t>提升，整体盈利结构更加健康、多元。</w:t>
      </w:r>
    </w:p>
    <w:p w14:paraId="27D95F4A" w14:textId="77777777" w:rsidR="00E93FEF" w:rsidRDefault="00000000">
      <w:pPr>
        <w:pStyle w:val="a3"/>
        <w:widowControl/>
        <w:shd w:val="clear" w:color="auto" w:fill="FFFFFF"/>
        <w:spacing w:before="120" w:beforeAutospacing="0" w:after="120" w:afterAutospacing="0"/>
        <w:ind w:firstLine="420"/>
        <w:outlineLvl w:val="2"/>
        <w:rPr>
          <w:kern w:val="2"/>
          <w:sz w:val="21"/>
        </w:rPr>
      </w:pPr>
      <w:bookmarkStart w:id="39" w:name="_Toc2381"/>
      <w:r>
        <w:rPr>
          <w:rFonts w:hint="eastAsia"/>
          <w:kern w:val="2"/>
          <w:sz w:val="21"/>
        </w:rPr>
        <w:t>5.3.2</w:t>
      </w:r>
      <w:r>
        <w:rPr>
          <w:rFonts w:hint="eastAsia"/>
          <w:kern w:val="2"/>
          <w:sz w:val="21"/>
        </w:rPr>
        <w:t>财务预测支出</w:t>
      </w:r>
      <w:bookmarkEnd w:id="39"/>
    </w:p>
    <w:p w14:paraId="59295227"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第一阶段资金主要投入核心技术研发、样机试制、知识产权申请、试点落地及基础团队建设，前期投入相对集中，整体呈现高研发、轻资产的投入特征。</w:t>
      </w:r>
      <w:r>
        <w:rPr>
          <w:rFonts w:hint="eastAsia"/>
          <w:kern w:val="2"/>
          <w:sz w:val="21"/>
        </w:rPr>
        <w:t xml:space="preserve"> </w:t>
      </w:r>
      <w:r>
        <w:rPr>
          <w:rFonts w:hint="eastAsia"/>
          <w:kern w:val="2"/>
          <w:sz w:val="21"/>
        </w:rPr>
        <w:t>第二阶段支出重点转向硬件量产、团队扩充、渠道拓展、市场推广及售后体系建设，随着业务规模扩大，单位研发与获客成本持续摊薄，资金使用效率稳步提升。</w:t>
      </w:r>
      <w:r>
        <w:rPr>
          <w:rFonts w:hint="eastAsia"/>
          <w:kern w:val="2"/>
          <w:sz w:val="21"/>
        </w:rPr>
        <w:t xml:space="preserve"> </w:t>
      </w:r>
      <w:r>
        <w:rPr>
          <w:rFonts w:hint="eastAsia"/>
          <w:kern w:val="2"/>
          <w:sz w:val="21"/>
        </w:rPr>
        <w:t>第三阶段运营时期支出集中</w:t>
      </w:r>
      <w:proofErr w:type="gramStart"/>
      <w:r>
        <w:rPr>
          <w:rFonts w:hint="eastAsia"/>
          <w:kern w:val="2"/>
          <w:sz w:val="21"/>
        </w:rPr>
        <w:t>于供应</w:t>
      </w:r>
      <w:proofErr w:type="gramEnd"/>
      <w:r>
        <w:rPr>
          <w:rFonts w:hint="eastAsia"/>
          <w:kern w:val="2"/>
          <w:sz w:val="21"/>
        </w:rPr>
        <w:t>链优化、技术迭代升级、远程运维体系完善及品牌建设，前期固定投入逐步摊销完毕，支出增速明显低于收入增速，整体费用结构持续优化。</w:t>
      </w:r>
    </w:p>
    <w:tbl>
      <w:tblPr>
        <w:tblStyle w:val="1"/>
        <w:tblW w:w="0" w:type="auto"/>
        <w:tblLook w:val="04A0" w:firstRow="1" w:lastRow="0" w:firstColumn="1" w:lastColumn="0" w:noHBand="0" w:noVBand="1"/>
      </w:tblPr>
      <w:tblGrid>
        <w:gridCol w:w="1668"/>
        <w:gridCol w:w="1275"/>
        <w:gridCol w:w="1276"/>
        <w:gridCol w:w="1276"/>
        <w:gridCol w:w="1276"/>
        <w:gridCol w:w="1417"/>
      </w:tblGrid>
      <w:tr w:rsidR="00A14201" w:rsidRPr="00A14201" w14:paraId="5F66BCA5" w14:textId="77777777" w:rsidTr="00A14201">
        <w:trPr>
          <w:cnfStyle w:val="100000000000" w:firstRow="1" w:lastRow="0" w:firstColumn="0" w:lastColumn="0" w:oddVBand="0" w:evenVBand="0" w:oddHBand="0" w:evenHBand="0" w:firstRowFirstColumn="0" w:firstRowLastColumn="0" w:lastRowFirstColumn="0" w:lastRowLastColumn="0"/>
        </w:trPr>
        <w:tc>
          <w:tcPr>
            <w:tcW w:w="1668" w:type="dxa"/>
            <w:hideMark/>
          </w:tcPr>
          <w:p w14:paraId="04BD21AE"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项目</w:t>
            </w:r>
          </w:p>
        </w:tc>
        <w:tc>
          <w:tcPr>
            <w:tcW w:w="1275" w:type="dxa"/>
            <w:hideMark/>
          </w:tcPr>
          <w:p w14:paraId="66C1B24D"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Y1</w:t>
            </w:r>
          </w:p>
        </w:tc>
        <w:tc>
          <w:tcPr>
            <w:tcW w:w="1276" w:type="dxa"/>
            <w:hideMark/>
          </w:tcPr>
          <w:p w14:paraId="2FE2269D"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Y2</w:t>
            </w:r>
          </w:p>
        </w:tc>
        <w:tc>
          <w:tcPr>
            <w:tcW w:w="1276" w:type="dxa"/>
            <w:hideMark/>
          </w:tcPr>
          <w:p w14:paraId="11F02B6E"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Y3</w:t>
            </w:r>
          </w:p>
        </w:tc>
        <w:tc>
          <w:tcPr>
            <w:tcW w:w="1276" w:type="dxa"/>
            <w:hideMark/>
          </w:tcPr>
          <w:p w14:paraId="45BEDEFF"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Y4</w:t>
            </w:r>
          </w:p>
        </w:tc>
        <w:tc>
          <w:tcPr>
            <w:tcW w:w="1417" w:type="dxa"/>
            <w:hideMark/>
          </w:tcPr>
          <w:p w14:paraId="467DB3C7"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Y5</w:t>
            </w:r>
          </w:p>
        </w:tc>
      </w:tr>
      <w:tr w:rsidR="00A14201" w:rsidRPr="00A14201" w14:paraId="1E6B266E" w14:textId="77777777" w:rsidTr="00A14201">
        <w:tc>
          <w:tcPr>
            <w:tcW w:w="1668" w:type="dxa"/>
            <w:hideMark/>
          </w:tcPr>
          <w:p w14:paraId="0360009A"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营业收入</w:t>
            </w:r>
          </w:p>
        </w:tc>
        <w:tc>
          <w:tcPr>
            <w:tcW w:w="1275" w:type="dxa"/>
            <w:hideMark/>
          </w:tcPr>
          <w:p w14:paraId="1503D4B0"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2520</w:t>
            </w:r>
          </w:p>
        </w:tc>
        <w:tc>
          <w:tcPr>
            <w:tcW w:w="1276" w:type="dxa"/>
            <w:hideMark/>
          </w:tcPr>
          <w:p w14:paraId="4F031504"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7210</w:t>
            </w:r>
          </w:p>
        </w:tc>
        <w:tc>
          <w:tcPr>
            <w:tcW w:w="1276" w:type="dxa"/>
            <w:hideMark/>
          </w:tcPr>
          <w:p w14:paraId="444A135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14220</w:t>
            </w:r>
          </w:p>
        </w:tc>
        <w:tc>
          <w:tcPr>
            <w:tcW w:w="1276" w:type="dxa"/>
            <w:hideMark/>
          </w:tcPr>
          <w:p w14:paraId="68D3F499"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22200</w:t>
            </w:r>
          </w:p>
        </w:tc>
        <w:tc>
          <w:tcPr>
            <w:tcW w:w="1417" w:type="dxa"/>
            <w:hideMark/>
          </w:tcPr>
          <w:p w14:paraId="265B7A2F"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30600</w:t>
            </w:r>
          </w:p>
        </w:tc>
      </w:tr>
      <w:tr w:rsidR="00A14201" w:rsidRPr="00A14201" w14:paraId="5C354984" w14:textId="77777777" w:rsidTr="00A14201">
        <w:tc>
          <w:tcPr>
            <w:tcW w:w="1668" w:type="dxa"/>
            <w:hideMark/>
          </w:tcPr>
          <w:p w14:paraId="0FAE1D22"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收入增速</w:t>
            </w:r>
          </w:p>
        </w:tc>
        <w:tc>
          <w:tcPr>
            <w:tcW w:w="1275" w:type="dxa"/>
            <w:hideMark/>
          </w:tcPr>
          <w:p w14:paraId="25A06CA8"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w:t>
            </w:r>
          </w:p>
        </w:tc>
        <w:tc>
          <w:tcPr>
            <w:tcW w:w="1276" w:type="dxa"/>
            <w:hideMark/>
          </w:tcPr>
          <w:p w14:paraId="1675319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186%</w:t>
            </w:r>
          </w:p>
        </w:tc>
        <w:tc>
          <w:tcPr>
            <w:tcW w:w="1276" w:type="dxa"/>
            <w:hideMark/>
          </w:tcPr>
          <w:p w14:paraId="28FB348F"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97%</w:t>
            </w:r>
          </w:p>
        </w:tc>
        <w:tc>
          <w:tcPr>
            <w:tcW w:w="1276" w:type="dxa"/>
            <w:hideMark/>
          </w:tcPr>
          <w:p w14:paraId="481C2438"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56%</w:t>
            </w:r>
          </w:p>
        </w:tc>
        <w:tc>
          <w:tcPr>
            <w:tcW w:w="1417" w:type="dxa"/>
            <w:hideMark/>
          </w:tcPr>
          <w:p w14:paraId="7AA6631D"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38%</w:t>
            </w:r>
          </w:p>
        </w:tc>
      </w:tr>
      <w:tr w:rsidR="00A14201" w:rsidRPr="00A14201" w14:paraId="261636CF" w14:textId="77777777" w:rsidTr="00A14201">
        <w:tc>
          <w:tcPr>
            <w:tcW w:w="1668" w:type="dxa"/>
            <w:hideMark/>
          </w:tcPr>
          <w:p w14:paraId="03524212"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营业成本</w:t>
            </w:r>
          </w:p>
        </w:tc>
        <w:tc>
          <w:tcPr>
            <w:tcW w:w="1275" w:type="dxa"/>
            <w:hideMark/>
          </w:tcPr>
          <w:p w14:paraId="05BD5C59"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1470</w:t>
            </w:r>
          </w:p>
        </w:tc>
        <w:tc>
          <w:tcPr>
            <w:tcW w:w="1276" w:type="dxa"/>
            <w:hideMark/>
          </w:tcPr>
          <w:p w14:paraId="4C8C7177"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3140</w:t>
            </w:r>
          </w:p>
        </w:tc>
        <w:tc>
          <w:tcPr>
            <w:tcW w:w="1276" w:type="dxa"/>
            <w:hideMark/>
          </w:tcPr>
          <w:p w14:paraId="42E9B65E"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5260</w:t>
            </w:r>
          </w:p>
        </w:tc>
        <w:tc>
          <w:tcPr>
            <w:tcW w:w="1276" w:type="dxa"/>
            <w:hideMark/>
          </w:tcPr>
          <w:p w14:paraId="1B05FE08"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7540</w:t>
            </w:r>
          </w:p>
        </w:tc>
        <w:tc>
          <w:tcPr>
            <w:tcW w:w="1417" w:type="dxa"/>
            <w:hideMark/>
          </w:tcPr>
          <w:p w14:paraId="4FEF302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9800</w:t>
            </w:r>
          </w:p>
        </w:tc>
      </w:tr>
      <w:tr w:rsidR="00A14201" w:rsidRPr="00A14201" w14:paraId="0F1F401A" w14:textId="77777777" w:rsidTr="00A14201">
        <w:tc>
          <w:tcPr>
            <w:tcW w:w="1668" w:type="dxa"/>
            <w:hideMark/>
          </w:tcPr>
          <w:p w14:paraId="3D416E5A"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毛利</w:t>
            </w:r>
          </w:p>
        </w:tc>
        <w:tc>
          <w:tcPr>
            <w:tcW w:w="1275" w:type="dxa"/>
            <w:hideMark/>
          </w:tcPr>
          <w:p w14:paraId="123353A8"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1050</w:t>
            </w:r>
          </w:p>
        </w:tc>
        <w:tc>
          <w:tcPr>
            <w:tcW w:w="1276" w:type="dxa"/>
            <w:hideMark/>
          </w:tcPr>
          <w:p w14:paraId="561D0928"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4070</w:t>
            </w:r>
          </w:p>
        </w:tc>
        <w:tc>
          <w:tcPr>
            <w:tcW w:w="1276" w:type="dxa"/>
            <w:hideMark/>
          </w:tcPr>
          <w:p w14:paraId="32F5150E"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8960</w:t>
            </w:r>
          </w:p>
        </w:tc>
        <w:tc>
          <w:tcPr>
            <w:tcW w:w="1276" w:type="dxa"/>
            <w:hideMark/>
          </w:tcPr>
          <w:p w14:paraId="7F358589"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14660</w:t>
            </w:r>
          </w:p>
        </w:tc>
        <w:tc>
          <w:tcPr>
            <w:tcW w:w="1417" w:type="dxa"/>
            <w:hideMark/>
          </w:tcPr>
          <w:p w14:paraId="4350D59A"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20800</w:t>
            </w:r>
          </w:p>
        </w:tc>
      </w:tr>
      <w:tr w:rsidR="00A14201" w:rsidRPr="00A14201" w14:paraId="4C97AFDC" w14:textId="77777777" w:rsidTr="00A14201">
        <w:tc>
          <w:tcPr>
            <w:tcW w:w="1668" w:type="dxa"/>
            <w:hideMark/>
          </w:tcPr>
          <w:p w14:paraId="3CEAE00A"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毛利率</w:t>
            </w:r>
          </w:p>
        </w:tc>
        <w:tc>
          <w:tcPr>
            <w:tcW w:w="1275" w:type="dxa"/>
            <w:hideMark/>
          </w:tcPr>
          <w:p w14:paraId="19A1BB1F"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41.7%</w:t>
            </w:r>
          </w:p>
        </w:tc>
        <w:tc>
          <w:tcPr>
            <w:tcW w:w="1276" w:type="dxa"/>
            <w:hideMark/>
          </w:tcPr>
          <w:p w14:paraId="6C9465C8"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56.4%</w:t>
            </w:r>
          </w:p>
        </w:tc>
        <w:tc>
          <w:tcPr>
            <w:tcW w:w="1276" w:type="dxa"/>
            <w:hideMark/>
          </w:tcPr>
          <w:p w14:paraId="14119B7A"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63.0%</w:t>
            </w:r>
          </w:p>
        </w:tc>
        <w:tc>
          <w:tcPr>
            <w:tcW w:w="1276" w:type="dxa"/>
            <w:hideMark/>
          </w:tcPr>
          <w:p w14:paraId="0286478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66.0%</w:t>
            </w:r>
          </w:p>
        </w:tc>
        <w:tc>
          <w:tcPr>
            <w:tcW w:w="1417" w:type="dxa"/>
            <w:hideMark/>
          </w:tcPr>
          <w:p w14:paraId="7471CB78"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68.0%</w:t>
            </w:r>
          </w:p>
        </w:tc>
      </w:tr>
      <w:tr w:rsidR="00A14201" w:rsidRPr="00A14201" w14:paraId="628743CD" w14:textId="77777777" w:rsidTr="00A14201">
        <w:tc>
          <w:tcPr>
            <w:tcW w:w="1668" w:type="dxa"/>
            <w:hideMark/>
          </w:tcPr>
          <w:p w14:paraId="72425FAA"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研发费用</w:t>
            </w:r>
          </w:p>
        </w:tc>
        <w:tc>
          <w:tcPr>
            <w:tcW w:w="1275" w:type="dxa"/>
            <w:hideMark/>
          </w:tcPr>
          <w:p w14:paraId="775CE74E"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480</w:t>
            </w:r>
          </w:p>
        </w:tc>
        <w:tc>
          <w:tcPr>
            <w:tcW w:w="1276" w:type="dxa"/>
            <w:hideMark/>
          </w:tcPr>
          <w:p w14:paraId="42228090"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720</w:t>
            </w:r>
          </w:p>
        </w:tc>
        <w:tc>
          <w:tcPr>
            <w:tcW w:w="1276" w:type="dxa"/>
            <w:hideMark/>
          </w:tcPr>
          <w:p w14:paraId="40AAFD70"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1080</w:t>
            </w:r>
          </w:p>
        </w:tc>
        <w:tc>
          <w:tcPr>
            <w:tcW w:w="1276" w:type="dxa"/>
            <w:hideMark/>
          </w:tcPr>
          <w:p w14:paraId="7AC98574"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1440</w:t>
            </w:r>
          </w:p>
        </w:tc>
        <w:tc>
          <w:tcPr>
            <w:tcW w:w="1417" w:type="dxa"/>
            <w:hideMark/>
          </w:tcPr>
          <w:p w14:paraId="2011B63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1680</w:t>
            </w:r>
          </w:p>
        </w:tc>
      </w:tr>
      <w:tr w:rsidR="00A14201" w:rsidRPr="00A14201" w14:paraId="79916F60" w14:textId="77777777" w:rsidTr="00A14201">
        <w:tc>
          <w:tcPr>
            <w:tcW w:w="1668" w:type="dxa"/>
            <w:hideMark/>
          </w:tcPr>
          <w:p w14:paraId="7A40ECAE"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销售费用</w:t>
            </w:r>
          </w:p>
        </w:tc>
        <w:tc>
          <w:tcPr>
            <w:tcW w:w="1275" w:type="dxa"/>
            <w:hideMark/>
          </w:tcPr>
          <w:p w14:paraId="27C4CDEB"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560</w:t>
            </w:r>
          </w:p>
        </w:tc>
        <w:tc>
          <w:tcPr>
            <w:tcW w:w="1276" w:type="dxa"/>
            <w:hideMark/>
          </w:tcPr>
          <w:p w14:paraId="441C69D7"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1440</w:t>
            </w:r>
          </w:p>
        </w:tc>
        <w:tc>
          <w:tcPr>
            <w:tcW w:w="1276" w:type="dxa"/>
            <w:hideMark/>
          </w:tcPr>
          <w:p w14:paraId="11154329"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2130</w:t>
            </w:r>
          </w:p>
        </w:tc>
        <w:tc>
          <w:tcPr>
            <w:tcW w:w="1276" w:type="dxa"/>
            <w:hideMark/>
          </w:tcPr>
          <w:p w14:paraId="77BE3E8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2880</w:t>
            </w:r>
          </w:p>
        </w:tc>
        <w:tc>
          <w:tcPr>
            <w:tcW w:w="1417" w:type="dxa"/>
            <w:hideMark/>
          </w:tcPr>
          <w:p w14:paraId="5870C70F"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3660</w:t>
            </w:r>
          </w:p>
        </w:tc>
      </w:tr>
      <w:tr w:rsidR="00A14201" w:rsidRPr="00A14201" w14:paraId="25ACBBE9" w14:textId="77777777" w:rsidTr="00A14201">
        <w:tc>
          <w:tcPr>
            <w:tcW w:w="1668" w:type="dxa"/>
            <w:hideMark/>
          </w:tcPr>
          <w:p w14:paraId="5B6AA96A"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管理费用</w:t>
            </w:r>
          </w:p>
        </w:tc>
        <w:tc>
          <w:tcPr>
            <w:tcW w:w="1275" w:type="dxa"/>
            <w:hideMark/>
          </w:tcPr>
          <w:p w14:paraId="25F224F2"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360</w:t>
            </w:r>
          </w:p>
        </w:tc>
        <w:tc>
          <w:tcPr>
            <w:tcW w:w="1276" w:type="dxa"/>
            <w:hideMark/>
          </w:tcPr>
          <w:p w14:paraId="55801ECC"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720</w:t>
            </w:r>
          </w:p>
        </w:tc>
        <w:tc>
          <w:tcPr>
            <w:tcW w:w="1276" w:type="dxa"/>
            <w:hideMark/>
          </w:tcPr>
          <w:p w14:paraId="2F2A4B82"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1080</w:t>
            </w:r>
          </w:p>
        </w:tc>
        <w:tc>
          <w:tcPr>
            <w:tcW w:w="1276" w:type="dxa"/>
            <w:hideMark/>
          </w:tcPr>
          <w:p w14:paraId="049F7413"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1440</w:t>
            </w:r>
          </w:p>
        </w:tc>
        <w:tc>
          <w:tcPr>
            <w:tcW w:w="1417" w:type="dxa"/>
            <w:hideMark/>
          </w:tcPr>
          <w:p w14:paraId="7434B91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1680</w:t>
            </w:r>
          </w:p>
        </w:tc>
      </w:tr>
      <w:tr w:rsidR="00A14201" w:rsidRPr="00A14201" w14:paraId="163EB8F9" w14:textId="77777777" w:rsidTr="00A14201">
        <w:tc>
          <w:tcPr>
            <w:tcW w:w="1668" w:type="dxa"/>
            <w:hideMark/>
          </w:tcPr>
          <w:p w14:paraId="6EB1A180"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营业利润</w:t>
            </w:r>
          </w:p>
        </w:tc>
        <w:tc>
          <w:tcPr>
            <w:tcW w:w="1275" w:type="dxa"/>
            <w:hideMark/>
          </w:tcPr>
          <w:p w14:paraId="2F8D8CC2"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-350</w:t>
            </w:r>
          </w:p>
        </w:tc>
        <w:tc>
          <w:tcPr>
            <w:tcW w:w="1276" w:type="dxa"/>
            <w:hideMark/>
          </w:tcPr>
          <w:p w14:paraId="645DBF9F"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1190</w:t>
            </w:r>
          </w:p>
        </w:tc>
        <w:tc>
          <w:tcPr>
            <w:tcW w:w="1276" w:type="dxa"/>
            <w:hideMark/>
          </w:tcPr>
          <w:p w14:paraId="7B8D2C19"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4670</w:t>
            </w:r>
          </w:p>
        </w:tc>
        <w:tc>
          <w:tcPr>
            <w:tcW w:w="1276" w:type="dxa"/>
            <w:hideMark/>
          </w:tcPr>
          <w:p w14:paraId="71E1A627"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8900</w:t>
            </w:r>
          </w:p>
        </w:tc>
        <w:tc>
          <w:tcPr>
            <w:tcW w:w="1417" w:type="dxa"/>
            <w:hideMark/>
          </w:tcPr>
          <w:p w14:paraId="78B015BC"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13780</w:t>
            </w:r>
          </w:p>
        </w:tc>
      </w:tr>
      <w:tr w:rsidR="00A14201" w:rsidRPr="00A14201" w14:paraId="761B8454" w14:textId="77777777" w:rsidTr="00A14201">
        <w:tc>
          <w:tcPr>
            <w:tcW w:w="1668" w:type="dxa"/>
            <w:hideMark/>
          </w:tcPr>
          <w:p w14:paraId="7F4ADCAE"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净利润</w:t>
            </w:r>
          </w:p>
        </w:tc>
        <w:tc>
          <w:tcPr>
            <w:tcW w:w="1275" w:type="dxa"/>
            <w:hideMark/>
          </w:tcPr>
          <w:p w14:paraId="7600F033"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-350</w:t>
            </w:r>
          </w:p>
        </w:tc>
        <w:tc>
          <w:tcPr>
            <w:tcW w:w="1276" w:type="dxa"/>
            <w:hideMark/>
          </w:tcPr>
          <w:p w14:paraId="1D0BD16F"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950</w:t>
            </w:r>
          </w:p>
        </w:tc>
        <w:tc>
          <w:tcPr>
            <w:tcW w:w="1276" w:type="dxa"/>
            <w:hideMark/>
          </w:tcPr>
          <w:p w14:paraId="696E615E"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3736</w:t>
            </w:r>
          </w:p>
        </w:tc>
        <w:tc>
          <w:tcPr>
            <w:tcW w:w="1276" w:type="dxa"/>
            <w:hideMark/>
          </w:tcPr>
          <w:p w14:paraId="4A9A4F6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7120</w:t>
            </w:r>
          </w:p>
        </w:tc>
        <w:tc>
          <w:tcPr>
            <w:tcW w:w="1417" w:type="dxa"/>
            <w:hideMark/>
          </w:tcPr>
          <w:p w14:paraId="1CE41C39"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11024</w:t>
            </w:r>
          </w:p>
        </w:tc>
      </w:tr>
      <w:tr w:rsidR="00A14201" w:rsidRPr="00A14201" w14:paraId="3B396555" w14:textId="77777777" w:rsidTr="00A14201">
        <w:tc>
          <w:tcPr>
            <w:tcW w:w="1668" w:type="dxa"/>
            <w:hideMark/>
          </w:tcPr>
          <w:p w14:paraId="18B0919D" w14:textId="77777777" w:rsidR="00A14201" w:rsidRPr="00A14201" w:rsidRDefault="00A14201" w:rsidP="00A14201">
            <w:pPr>
              <w:widowControl/>
              <w:spacing w:line="375" w:lineRule="atLeast"/>
              <w:jc w:val="center"/>
              <w:rPr>
                <w:rFonts w:ascii="黑体" w:eastAsia="黑体" w:hAnsi="黑体" w:cstheme="minorHAnsi" w:hint="eastAsia"/>
                <w:color w:val="0F1115"/>
                <w:kern w:val="0"/>
                <w:szCs w:val="21"/>
              </w:rPr>
            </w:pPr>
            <w:r w:rsidRPr="00A14201">
              <w:rPr>
                <w:rFonts w:ascii="黑体" w:eastAsia="黑体" w:hAnsi="黑体" w:cstheme="minorHAnsi"/>
                <w:color w:val="0F1115"/>
                <w:kern w:val="0"/>
                <w:szCs w:val="21"/>
              </w:rPr>
              <w:t>净利率</w:t>
            </w:r>
          </w:p>
        </w:tc>
        <w:tc>
          <w:tcPr>
            <w:tcW w:w="1275" w:type="dxa"/>
            <w:hideMark/>
          </w:tcPr>
          <w:p w14:paraId="48CEFAB1"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w:t>
            </w:r>
          </w:p>
        </w:tc>
        <w:tc>
          <w:tcPr>
            <w:tcW w:w="1276" w:type="dxa"/>
            <w:hideMark/>
          </w:tcPr>
          <w:p w14:paraId="47743D27"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13.2%</w:t>
            </w:r>
          </w:p>
        </w:tc>
        <w:tc>
          <w:tcPr>
            <w:tcW w:w="1276" w:type="dxa"/>
            <w:hideMark/>
          </w:tcPr>
          <w:p w14:paraId="515AEDBD"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26.3%</w:t>
            </w:r>
          </w:p>
        </w:tc>
        <w:tc>
          <w:tcPr>
            <w:tcW w:w="1276" w:type="dxa"/>
            <w:hideMark/>
          </w:tcPr>
          <w:p w14:paraId="285F4D12"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32.1%</w:t>
            </w:r>
          </w:p>
        </w:tc>
        <w:tc>
          <w:tcPr>
            <w:tcW w:w="1417" w:type="dxa"/>
            <w:hideMark/>
          </w:tcPr>
          <w:p w14:paraId="6B1C641C" w14:textId="77777777" w:rsidR="00A14201" w:rsidRPr="00A14201" w:rsidRDefault="00A14201" w:rsidP="00A14201">
            <w:pPr>
              <w:widowControl/>
              <w:spacing w:line="375" w:lineRule="atLeast"/>
              <w:jc w:val="center"/>
              <w:rPr>
                <w:rFonts w:asciiTheme="minorHAnsi" w:eastAsiaTheme="minorEastAsia" w:hAnsiTheme="minorHAnsi" w:cstheme="minorHAnsi"/>
                <w:color w:val="0F1115"/>
                <w:kern w:val="0"/>
                <w:szCs w:val="21"/>
              </w:rPr>
            </w:pPr>
            <w:r w:rsidRPr="00A14201">
              <w:rPr>
                <w:rFonts w:asciiTheme="minorHAnsi" w:eastAsiaTheme="minorEastAsia" w:hAnsiTheme="minorHAnsi" w:cstheme="minorHAnsi"/>
                <w:color w:val="0F1115"/>
                <w:kern w:val="0"/>
                <w:szCs w:val="21"/>
              </w:rPr>
              <w:t>36.0%</w:t>
            </w:r>
          </w:p>
        </w:tc>
      </w:tr>
    </w:tbl>
    <w:p w14:paraId="3C48E29E" w14:textId="77777777" w:rsidR="00A14201" w:rsidRDefault="00A14201" w:rsidP="00A14201">
      <w:pPr>
        <w:pStyle w:val="a3"/>
        <w:widowControl/>
        <w:shd w:val="clear" w:color="auto" w:fill="FFFFFF"/>
        <w:spacing w:beforeAutospacing="0" w:afterAutospacing="0"/>
        <w:rPr>
          <w:kern w:val="2"/>
          <w:sz w:val="21"/>
        </w:rPr>
      </w:pPr>
    </w:p>
    <w:p w14:paraId="21418BD2" w14:textId="77777777" w:rsidR="00E93FEF" w:rsidRDefault="00000000">
      <w:pPr>
        <w:pStyle w:val="a3"/>
        <w:widowControl/>
        <w:shd w:val="clear" w:color="auto" w:fill="FFFFFF"/>
        <w:spacing w:before="120" w:beforeAutospacing="0" w:after="120" w:afterAutospacing="0"/>
        <w:ind w:firstLine="420"/>
        <w:outlineLvl w:val="2"/>
        <w:rPr>
          <w:kern w:val="2"/>
          <w:sz w:val="21"/>
        </w:rPr>
      </w:pPr>
      <w:bookmarkStart w:id="40" w:name="_Toc25513"/>
      <w:r>
        <w:rPr>
          <w:rFonts w:hint="eastAsia"/>
          <w:kern w:val="2"/>
          <w:sz w:val="21"/>
        </w:rPr>
        <w:t>5.3.3</w:t>
      </w:r>
      <w:r>
        <w:rPr>
          <w:rFonts w:hint="eastAsia"/>
          <w:kern w:val="2"/>
          <w:sz w:val="21"/>
        </w:rPr>
        <w:t>盈利与现金流分析</w:t>
      </w:r>
      <w:bookmarkEnd w:id="40"/>
    </w:p>
    <w:p w14:paraId="6A9DAF1C" w14:textId="77777777" w:rsidR="00E93FEF" w:rsidRDefault="00000000">
      <w:pPr>
        <w:pStyle w:val="a3"/>
        <w:widowControl/>
        <w:shd w:val="clear" w:color="auto" w:fill="FFFFFF"/>
        <w:spacing w:beforeAutospacing="0" w:afterAutospacing="0"/>
        <w:ind w:firstLine="420"/>
      </w:pPr>
      <w:r>
        <w:rPr>
          <w:rFonts w:hint="eastAsia"/>
          <w:kern w:val="2"/>
          <w:sz w:val="21"/>
        </w:rPr>
        <w:t>项目第一阶段为战略投入阶段，受研发与试点成本影响，整体处于阶段性亏损状态，硬件毛利率保持行业合理水平。进入第二阶段，随着采购规模扩大与成本优化，硬件毛利率显著提升，叠加高毛利软件服务贡献，综合毛利率稳步上行，月度现金流持续改善，逐步接近盈亏平衡。第三阶段随着终端规模突破盈利临界点，项目实现全面盈利，综合毛利率维持较高水平，净利润表现稳健，投资回报周期合理，现金流健康且具备长期可持续增长能力。</w:t>
      </w:r>
    </w:p>
    <w:p w14:paraId="3E53AB60"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1" w:name="_Toc16935"/>
      <w:r>
        <w:rPr>
          <w:rFonts w:ascii="Times New Roman" w:eastAsia="楷体_GB2312" w:hAnsi="Times New Roman" w:cs="Times New Roman" w:hint="eastAsia"/>
          <w:sz w:val="28"/>
          <w:szCs w:val="28"/>
        </w:rPr>
        <w:t xml:space="preserve">5.4 </w:t>
      </w:r>
      <w:r>
        <w:rPr>
          <w:rFonts w:ascii="Times New Roman" w:eastAsia="楷体_GB2312" w:hAnsi="Times New Roman" w:cs="Times New Roman" w:hint="eastAsia"/>
          <w:sz w:val="28"/>
          <w:szCs w:val="28"/>
        </w:rPr>
        <w:t>财务规划总结</w:t>
      </w:r>
      <w:bookmarkEnd w:id="41"/>
    </w:p>
    <w:p w14:paraId="2AE2526D"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项目整体财务模型具备前期风险可控、中期增长清晰、长期造血强劲的核心优势。以轻量化、高性价比硬件快速覆盖基层医药零售终端，形成稳定的线下触点网络；依托高毛利的软件订阅、智能运维、订单服务与数据增值业务，构建持续、稳定、可重复的经常性收入来源，实现从一次性销售向长期价值运营的转型。</w:t>
      </w:r>
    </w:p>
    <w:p w14:paraId="4780DD30"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lastRenderedPageBreak/>
        <w:t>项目客户锁定效应显著，软硬件深度绑定药房日常运营，客户迁移成本高、续约稳定性强，能够长期支撑营收与利润的可持续增长。随着终端规模扩大与平台化渠道打通，获客效率持续提升、销售费用逐步优化，规模效应与技术迭代进一步降低硬件与算力成本，推动综合毛利率与净利率持续改善。</w:t>
      </w:r>
    </w:p>
    <w:p w14:paraId="171E2509" w14:textId="401A385D" w:rsidR="00E93FEF" w:rsidRDefault="00000000" w:rsidP="00A14201">
      <w:pPr>
        <w:pStyle w:val="a3"/>
        <w:widowControl/>
        <w:shd w:val="clear" w:color="auto" w:fill="FFFFFF"/>
        <w:spacing w:beforeAutospacing="0" w:afterAutospacing="0"/>
        <w:ind w:firstLine="420"/>
        <w:rPr>
          <w:kern w:val="2"/>
          <w:sz w:val="21"/>
        </w:rPr>
      </w:pPr>
      <w:r>
        <w:rPr>
          <w:rFonts w:hint="eastAsia"/>
          <w:kern w:val="2"/>
          <w:sz w:val="21"/>
        </w:rPr>
        <w:t>整体财务结构具备良好的抗风险能力与抗周期性特征，增长路径明确、盈利预期稳健，既能够支撑项目短期健康运营，也可为投资者带来长期、可靠的投资回报，具备较高的商业价值与成长空间。</w:t>
      </w:r>
    </w:p>
    <w:p w14:paraId="7A7F7E57" w14:textId="77777777" w:rsidR="00E93FEF" w:rsidRDefault="00000000">
      <w:pPr>
        <w:adjustRightInd w:val="0"/>
        <w:snapToGrid w:val="0"/>
        <w:spacing w:beforeLines="100" w:before="312" w:afterLines="50" w:after="156" w:line="380" w:lineRule="exact"/>
        <w:outlineLvl w:val="0"/>
        <w:rPr>
          <w:rFonts w:ascii="Times New Roman" w:eastAsia="仿宋_GB2312" w:hAnsi="Times New Roman" w:cs="Times New Roman"/>
          <w:sz w:val="30"/>
          <w:szCs w:val="30"/>
        </w:rPr>
      </w:pPr>
      <w:bookmarkStart w:id="42" w:name="_Toc21739"/>
      <w:r>
        <w:rPr>
          <w:rFonts w:ascii="Times New Roman" w:eastAsia="仿宋_GB2312" w:hAnsi="Times New Roman" w:cs="Times New Roman" w:hint="eastAsia"/>
          <w:sz w:val="30"/>
          <w:szCs w:val="30"/>
        </w:rPr>
        <w:t>六、风险管理</w:t>
      </w:r>
      <w:bookmarkEnd w:id="42"/>
    </w:p>
    <w:p w14:paraId="081ED907"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在“</w:t>
      </w:r>
      <w:r>
        <w:rPr>
          <w:rFonts w:hint="eastAsia"/>
          <w:kern w:val="2"/>
          <w:sz w:val="21"/>
        </w:rPr>
        <w:t>AI</w:t>
      </w:r>
      <w:r>
        <w:rPr>
          <w:rFonts w:hint="eastAsia"/>
          <w:kern w:val="2"/>
          <w:sz w:val="21"/>
        </w:rPr>
        <w:t>大模型</w:t>
      </w:r>
      <w:r>
        <w:rPr>
          <w:rFonts w:hint="eastAsia"/>
          <w:kern w:val="2"/>
          <w:sz w:val="21"/>
        </w:rPr>
        <w:t>+</w:t>
      </w:r>
      <w:r>
        <w:rPr>
          <w:rFonts w:hint="eastAsia"/>
          <w:kern w:val="2"/>
          <w:sz w:val="21"/>
        </w:rPr>
        <w:t>智能机器人”下沉医药零售行业的商业化进程中，项目不仅处于技术爆发的蓝海，也置身于严苛监管与复杂市场环境的交织地带。本章通过对政策、市场、财务、技术及用户五大核心维度的深度前瞻性预测，构建了一套“预防为主、动态调控、技术冗余”的战略防御体系。</w:t>
      </w:r>
    </w:p>
    <w:p w14:paraId="22789A1E"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3" w:name="_Toc27926"/>
      <w:r>
        <w:rPr>
          <w:rFonts w:ascii="Times New Roman" w:eastAsia="楷体_GB2312" w:hAnsi="Times New Roman" w:cs="Times New Roman" w:hint="eastAsia"/>
          <w:sz w:val="28"/>
          <w:szCs w:val="28"/>
        </w:rPr>
        <w:t xml:space="preserve">6.1 </w:t>
      </w:r>
      <w:r>
        <w:rPr>
          <w:rFonts w:ascii="Times New Roman" w:eastAsia="楷体_GB2312" w:hAnsi="Times New Roman" w:cs="Times New Roman" w:hint="eastAsia"/>
          <w:sz w:val="28"/>
          <w:szCs w:val="28"/>
        </w:rPr>
        <w:t>政策风险预测及调控</w:t>
      </w:r>
      <w:bookmarkEnd w:id="43"/>
    </w:p>
    <w:p w14:paraId="07BD29B3"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医疗健康与药品零售领域受国家法律法规的高度监管。</w:t>
      </w:r>
      <w:r>
        <w:rPr>
          <w:rFonts w:hint="eastAsia"/>
          <w:kern w:val="2"/>
          <w:sz w:val="21"/>
        </w:rPr>
        <w:t>AI</w:t>
      </w:r>
      <w:r>
        <w:rPr>
          <w:rFonts w:hint="eastAsia"/>
          <w:kern w:val="2"/>
          <w:sz w:val="21"/>
        </w:rPr>
        <w:t>辅助咨询的法律边界、处方药流转合规性以及医保合规对接，是项目必须死守的生命线。</w:t>
      </w:r>
    </w:p>
    <w:p w14:paraId="7EF55F5C"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风险预测：边缘端</w:t>
      </w:r>
      <w:r>
        <w:rPr>
          <w:rFonts w:hint="eastAsia"/>
          <w:kern w:val="2"/>
          <w:sz w:val="21"/>
        </w:rPr>
        <w:t>AI</w:t>
      </w:r>
      <w:r>
        <w:rPr>
          <w:rFonts w:hint="eastAsia"/>
          <w:kern w:val="2"/>
          <w:sz w:val="21"/>
        </w:rPr>
        <w:t>药师在进行用药建议时，存在被监管部门界定为“无证开展非法诊疗行为”的合规风险；同时，线上处方流转与医保结算接口的合规调整，可能因政策变动导致业务阶段性受阻。</w:t>
      </w:r>
    </w:p>
    <w:p w14:paraId="26585A7D"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调控方案：</w:t>
      </w:r>
    </w:p>
    <w:p w14:paraId="26942FE0"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角色定位红线化：</w:t>
      </w:r>
      <w:r>
        <w:rPr>
          <w:rFonts w:hint="eastAsia"/>
          <w:kern w:val="2"/>
          <w:sz w:val="21"/>
        </w:rPr>
        <w:t xml:space="preserve"> </w:t>
      </w:r>
      <w:r>
        <w:rPr>
          <w:rFonts w:hint="eastAsia"/>
          <w:kern w:val="2"/>
          <w:sz w:val="21"/>
        </w:rPr>
        <w:t>系统在底层逻辑上严守“健康咨询与用药科普助手”的定位。交互界面显著标识合规免责文本，声明系统不构成临床诊断结论，仅提供非处方药（</w:t>
      </w:r>
      <w:r>
        <w:rPr>
          <w:rFonts w:hint="eastAsia"/>
          <w:kern w:val="2"/>
          <w:sz w:val="21"/>
        </w:rPr>
        <w:t>OTC</w:t>
      </w:r>
      <w:r>
        <w:rPr>
          <w:rFonts w:hint="eastAsia"/>
          <w:kern w:val="2"/>
          <w:sz w:val="21"/>
        </w:rPr>
        <w:t>）推荐。</w:t>
      </w:r>
    </w:p>
    <w:p w14:paraId="1DFD5C46"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确定性规则引擎拦截：拒绝将大模型的概率性输出直接用于发药指引。系统内嵌基于国家药典与临床指南的硬核规则图谱。一旦消费者主诉触发高危症状（如剧烈胸痛、突发意识模糊等），系统秒级熔断发药逻辑，自动执行“报警拦截，强制引导就医”。</w:t>
      </w:r>
    </w:p>
    <w:p w14:paraId="1BC9B03D"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执业药师云端“人机协同”：深度集成远程电子处方审核机制。针对处方药分拣等高敏场景，由系统自动对接云端在线执业药师进行双重合规复核。</w:t>
      </w:r>
    </w:p>
    <w:p w14:paraId="237AE097"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全链路合规备案溯源：</w:t>
      </w:r>
      <w:r>
        <w:rPr>
          <w:rFonts w:hint="eastAsia"/>
          <w:kern w:val="2"/>
          <w:sz w:val="21"/>
        </w:rPr>
        <w:t xml:space="preserve"> </w:t>
      </w:r>
      <w:r>
        <w:rPr>
          <w:rFonts w:hint="eastAsia"/>
          <w:kern w:val="2"/>
          <w:sz w:val="21"/>
        </w:rPr>
        <w:t>严格遵循新版《药品管理法》与</w:t>
      </w:r>
      <w:r>
        <w:rPr>
          <w:rFonts w:hint="eastAsia"/>
          <w:kern w:val="2"/>
          <w:sz w:val="21"/>
        </w:rPr>
        <w:t xml:space="preserve"> GSP</w:t>
      </w:r>
      <w:r>
        <w:rPr>
          <w:rFonts w:hint="eastAsia"/>
          <w:kern w:val="2"/>
          <w:sz w:val="21"/>
        </w:rPr>
        <w:t>（药品经营质量管理规范）标准，利用</w:t>
      </w:r>
      <w:r>
        <w:rPr>
          <w:rFonts w:hint="eastAsia"/>
          <w:kern w:val="2"/>
          <w:sz w:val="21"/>
        </w:rPr>
        <w:t>OCR</w:t>
      </w:r>
      <w:r>
        <w:rPr>
          <w:rFonts w:hint="eastAsia"/>
          <w:kern w:val="2"/>
          <w:sz w:val="21"/>
        </w:rPr>
        <w:t>与</w:t>
      </w:r>
      <w:r>
        <w:rPr>
          <w:rFonts w:hint="eastAsia"/>
          <w:kern w:val="2"/>
          <w:sz w:val="21"/>
        </w:rPr>
        <w:t>UDI</w:t>
      </w:r>
      <w:r>
        <w:rPr>
          <w:rFonts w:hint="eastAsia"/>
          <w:kern w:val="2"/>
          <w:sz w:val="21"/>
        </w:rPr>
        <w:t>溯源码技术实现药品“一物一码”全流程闭环追溯，主动适配数字化监管趋势。</w:t>
      </w:r>
    </w:p>
    <w:p w14:paraId="3C06BED2"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4" w:name="_Toc24987"/>
      <w:r>
        <w:rPr>
          <w:rFonts w:ascii="Times New Roman" w:eastAsia="楷体_GB2312" w:hAnsi="Times New Roman" w:cs="Times New Roman" w:hint="eastAsia"/>
          <w:sz w:val="28"/>
          <w:szCs w:val="28"/>
        </w:rPr>
        <w:t xml:space="preserve">6.2 </w:t>
      </w:r>
      <w:r>
        <w:rPr>
          <w:rFonts w:ascii="Times New Roman" w:eastAsia="楷体_GB2312" w:hAnsi="Times New Roman" w:cs="Times New Roman" w:hint="eastAsia"/>
          <w:sz w:val="28"/>
          <w:szCs w:val="28"/>
        </w:rPr>
        <w:t>市场风险预测及调控</w:t>
      </w:r>
      <w:bookmarkEnd w:id="44"/>
    </w:p>
    <w:p w14:paraId="69D36071"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基层药店与零售机构具有决策周期长、对固定资产投入极度敏感、对新技术持观望态度的天然属性，同时市场中潜在跟进者的同质化竞争也会直接影响项目的规模化渗透速度。</w:t>
      </w:r>
    </w:p>
    <w:p w14:paraId="6D27CD4D"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风险预测：传统商户由于认知惯性，对智能化设备接受度不一，导致地推前期市场渗透迟滞，销售费用率高企；同时，行业潜在跟进者可能通过恶意价格战迅速摊薄利润空间，导致项目面临拓展失速的风险。</w:t>
      </w:r>
    </w:p>
    <w:p w14:paraId="2AFC05A6"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调控方案：</w:t>
      </w:r>
    </w:p>
    <w:p w14:paraId="217182C1"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lastRenderedPageBreak/>
        <w:t>柔性财务模型解耦：</w:t>
      </w:r>
      <w:r>
        <w:rPr>
          <w:rFonts w:hint="eastAsia"/>
          <w:kern w:val="2"/>
          <w:sz w:val="21"/>
        </w:rPr>
        <w:t xml:space="preserve"> </w:t>
      </w:r>
      <w:r>
        <w:rPr>
          <w:rFonts w:hint="eastAsia"/>
          <w:kern w:val="2"/>
          <w:sz w:val="21"/>
        </w:rPr>
        <w:t>摒弃传统单一的设备买卖模式，全面推行“硬件租赁</w:t>
      </w:r>
      <w:r>
        <w:rPr>
          <w:rFonts w:hint="eastAsia"/>
          <w:kern w:val="2"/>
          <w:sz w:val="21"/>
        </w:rPr>
        <w:t>+ SaaS</w:t>
      </w:r>
      <w:r>
        <w:rPr>
          <w:rFonts w:hint="eastAsia"/>
          <w:kern w:val="2"/>
          <w:sz w:val="21"/>
        </w:rPr>
        <w:t>订阅年费</w:t>
      </w:r>
      <w:r>
        <w:rPr>
          <w:rFonts w:hint="eastAsia"/>
          <w:kern w:val="2"/>
          <w:sz w:val="21"/>
        </w:rPr>
        <w:t>+</w:t>
      </w:r>
      <w:r>
        <w:rPr>
          <w:rFonts w:hint="eastAsia"/>
          <w:kern w:val="2"/>
          <w:sz w:val="21"/>
        </w:rPr>
        <w:t>订单流技术抽成”的轻量化方案。通过精准的</w:t>
      </w:r>
      <w:r>
        <w:rPr>
          <w:rFonts w:hint="eastAsia"/>
          <w:kern w:val="2"/>
          <w:sz w:val="21"/>
        </w:rPr>
        <w:t>ROI</w:t>
      </w:r>
      <w:r>
        <w:rPr>
          <w:rFonts w:hint="eastAsia"/>
          <w:kern w:val="2"/>
          <w:sz w:val="21"/>
        </w:rPr>
        <w:t>账单对比，展示“设备月租</w:t>
      </w:r>
      <w:r>
        <w:rPr>
          <w:rFonts w:hint="eastAsia"/>
          <w:kern w:val="2"/>
          <w:sz w:val="21"/>
        </w:rPr>
        <w:t>/</w:t>
      </w:r>
      <w:r>
        <w:rPr>
          <w:rFonts w:hint="eastAsia"/>
          <w:kern w:val="2"/>
          <w:sz w:val="21"/>
        </w:rPr>
        <w:t>维护费远低于两名夜班药师人工成本”的刚性降本事实，极限降低商户首次决策门槛。</w:t>
      </w:r>
    </w:p>
    <w:p w14:paraId="1AB1EA9A"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错位竞争与样板效应：避开高成本、饱和度高的特大型医疗机构正面战场，聚焦基层药店夜间无人值守、社区</w:t>
      </w:r>
      <w:r>
        <w:rPr>
          <w:rFonts w:hint="eastAsia"/>
          <w:kern w:val="2"/>
          <w:sz w:val="21"/>
        </w:rPr>
        <w:t>O2O</w:t>
      </w:r>
      <w:r>
        <w:rPr>
          <w:rFonts w:hint="eastAsia"/>
          <w:kern w:val="2"/>
          <w:sz w:val="21"/>
        </w:rPr>
        <w:t>前置仓等刚需缺口场景。通过快速跑通区域连锁药店样板店，形成口碑传播与示范效应，依托区域优势拉开与竞争对手的身位。</w:t>
      </w:r>
    </w:p>
    <w:p w14:paraId="3681CA2C"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O2O</w:t>
      </w:r>
      <w:r>
        <w:rPr>
          <w:rFonts w:hint="eastAsia"/>
          <w:kern w:val="2"/>
          <w:sz w:val="21"/>
        </w:rPr>
        <w:t>平台级生态卡位：主动融入美团买药、阿里健康等即时配送平台的线下基础设施网络。通过系统级接口级联调，将项目设备转化为平台推荐的线下标准履约终端，利用极高的系统迁移成本构建排他性屏障。</w:t>
      </w:r>
    </w:p>
    <w:p w14:paraId="2C35C49D"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5" w:name="_Toc428"/>
      <w:r>
        <w:rPr>
          <w:rFonts w:ascii="Times New Roman" w:eastAsia="楷体_GB2312" w:hAnsi="Times New Roman" w:cs="Times New Roman" w:hint="eastAsia"/>
          <w:sz w:val="28"/>
          <w:szCs w:val="28"/>
        </w:rPr>
        <w:t xml:space="preserve">6.3 </w:t>
      </w:r>
      <w:r>
        <w:rPr>
          <w:rFonts w:ascii="Times New Roman" w:eastAsia="楷体_GB2312" w:hAnsi="Times New Roman" w:cs="Times New Roman" w:hint="eastAsia"/>
          <w:sz w:val="28"/>
          <w:szCs w:val="28"/>
        </w:rPr>
        <w:t>财务风险预测及调控</w:t>
      </w:r>
      <w:bookmarkEnd w:id="45"/>
    </w:p>
    <w:p w14:paraId="25C49194"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机器人硬件研发、开模、供应链账期管理与规模化铺货具有天然的资金密集属性。财务流动性的强弱与营运资本周期的优化，是支撑项目持续造血的基础。</w:t>
      </w:r>
    </w:p>
    <w:p w14:paraId="0111ACBE"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风险预测：</w:t>
      </w:r>
      <w:r>
        <w:rPr>
          <w:rFonts w:hint="eastAsia"/>
          <w:kern w:val="2"/>
          <w:sz w:val="21"/>
        </w:rPr>
        <w:t xml:space="preserve"> </w:t>
      </w:r>
      <w:r>
        <w:rPr>
          <w:rFonts w:hint="eastAsia"/>
          <w:kern w:val="2"/>
          <w:sz w:val="21"/>
        </w:rPr>
        <w:t>硬件设备在初期量产与多城市铺货阶段需要刚性的大额资金垫支。若市场扩张节奏与预期错配，极易引发阶段性现金流断裂、原材料库存积压或因下游回笼账期拉长导致的财务失血。</w:t>
      </w:r>
    </w:p>
    <w:p w14:paraId="1E1C9D90"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调控方案：</w:t>
      </w:r>
    </w:p>
    <w:p w14:paraId="4AD55B0E"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以销定产与轻资产运营：核心硬件模块坚持轻资产、矩阵式委外代工模式，实施“标准化核心零部件适度备货、整机按订单动态总装”策略，极限压降库存占用与资金沉淀。</w:t>
      </w:r>
    </w:p>
    <w:p w14:paraId="761300D6"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供应链金融与资产证券化：积极拓展与上游核心元器件供应商的战略账期协作。在中后期引入融资租赁公司承接硬件资产，利用资产证券化或保理等金融手段加速资金回笼，优化公司的现金转换周期。</w:t>
      </w:r>
    </w:p>
    <w:p w14:paraId="521404AE"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打造高毛利经常性收入蓄水池：逐步将公司收入结构从“一次性硬件销售”向“硬件</w:t>
      </w:r>
      <w:r>
        <w:rPr>
          <w:rFonts w:hint="eastAsia"/>
          <w:kern w:val="2"/>
          <w:sz w:val="21"/>
        </w:rPr>
        <w:t xml:space="preserve">+ </w:t>
      </w:r>
      <w:r>
        <w:rPr>
          <w:rFonts w:hint="eastAsia"/>
          <w:kern w:val="2"/>
          <w:sz w:val="21"/>
        </w:rPr>
        <w:t>软件</w:t>
      </w:r>
      <w:r>
        <w:rPr>
          <w:rFonts w:hint="eastAsia"/>
          <w:kern w:val="2"/>
          <w:sz w:val="21"/>
        </w:rPr>
        <w:t>SaaS</w:t>
      </w:r>
      <w:r>
        <w:rPr>
          <w:rFonts w:hint="eastAsia"/>
          <w:kern w:val="2"/>
          <w:sz w:val="21"/>
        </w:rPr>
        <w:t>续费</w:t>
      </w:r>
      <w:r>
        <w:rPr>
          <w:rFonts w:hint="eastAsia"/>
          <w:kern w:val="2"/>
          <w:sz w:val="21"/>
        </w:rPr>
        <w:t>+</w:t>
      </w:r>
      <w:r>
        <w:rPr>
          <w:rFonts w:hint="eastAsia"/>
          <w:kern w:val="2"/>
          <w:sz w:val="21"/>
        </w:rPr>
        <w:t>增值数据服务”的多元化矩阵转型。用长期、高毛利的软件“数字化租金”对冲和稀释硬件制造端的财务波动，提升持续造血能力。</w:t>
      </w:r>
    </w:p>
    <w:p w14:paraId="650479A0"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6" w:name="_Toc19083"/>
      <w:r>
        <w:rPr>
          <w:rFonts w:ascii="Times New Roman" w:eastAsia="楷体_GB2312" w:hAnsi="Times New Roman" w:cs="Times New Roman" w:hint="eastAsia"/>
          <w:sz w:val="28"/>
          <w:szCs w:val="28"/>
        </w:rPr>
        <w:t xml:space="preserve">6.4 </w:t>
      </w:r>
      <w:r>
        <w:rPr>
          <w:rFonts w:ascii="Times New Roman" w:eastAsia="楷体_GB2312" w:hAnsi="Times New Roman" w:cs="Times New Roman" w:hint="eastAsia"/>
          <w:sz w:val="28"/>
          <w:szCs w:val="28"/>
        </w:rPr>
        <w:t>技术风险预测及调控</w:t>
      </w:r>
      <w:bookmarkEnd w:id="46"/>
    </w:p>
    <w:p w14:paraId="77BAD6F9"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本项目是横跨虚拟数字空间与物理实体执行的软硬一体系统。在面对药品这种高容错率限制的特殊行业时，“发错药”属于零容忍的系统级灾难事件。</w:t>
      </w:r>
    </w:p>
    <w:p w14:paraId="55D60538"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风险预测：纯软件端</w:t>
      </w:r>
      <w:r>
        <w:rPr>
          <w:rFonts w:hint="eastAsia"/>
          <w:kern w:val="2"/>
          <w:sz w:val="21"/>
        </w:rPr>
        <w:t>AI</w:t>
      </w:r>
      <w:r>
        <w:rPr>
          <w:rFonts w:hint="eastAsia"/>
          <w:kern w:val="2"/>
          <w:sz w:val="21"/>
        </w:rPr>
        <w:t>大模型可能产生“幻觉”导致输出药谱偏差；硬件端视觉识别可能因药盒包装反光、污损产生误读；机械臂在长期高频运行中可能因电流波动或机械磨损导致轨迹漂移，发生抓取失败或药盒破损。</w:t>
      </w:r>
    </w:p>
    <w:p w14:paraId="0E930B71"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调控方案：</w:t>
      </w:r>
    </w:p>
    <w:p w14:paraId="3A2A9637"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概率性</w:t>
      </w:r>
      <w:r>
        <w:rPr>
          <w:rFonts w:hint="eastAsia"/>
          <w:kern w:val="2"/>
          <w:sz w:val="21"/>
        </w:rPr>
        <w:t>AI</w:t>
      </w:r>
      <w:r>
        <w:rPr>
          <w:rFonts w:hint="eastAsia"/>
          <w:kern w:val="2"/>
          <w:sz w:val="21"/>
        </w:rPr>
        <w:t>与确定性工控隔离：</w:t>
      </w:r>
      <w:r>
        <w:rPr>
          <w:rFonts w:hint="eastAsia"/>
          <w:kern w:val="2"/>
          <w:sz w:val="21"/>
        </w:rPr>
        <w:t>AI</w:t>
      </w:r>
      <w:r>
        <w:rPr>
          <w:rFonts w:hint="eastAsia"/>
          <w:kern w:val="2"/>
          <w:sz w:val="21"/>
        </w:rPr>
        <w:t>大模型仅负责前端自然语言意图理解与交互，核心发药控制权交由本地边缘端确定性控制算法。大模型生成的出库建议必须通过本地图谱的硬性逻辑校验，即便云端网络中断，本地系统仍能依靠本地确定性数据库维持基础发药功能。</w:t>
      </w:r>
    </w:p>
    <w:p w14:paraId="0ED17D3F"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出舱前“三模态交叉验证”：机械臂物理分拣路径中设置独立复核节点。药品交付前必须通过“机械臂扫码识别</w:t>
      </w:r>
      <w:r>
        <w:rPr>
          <w:rFonts w:hint="eastAsia"/>
          <w:kern w:val="2"/>
          <w:sz w:val="21"/>
        </w:rPr>
        <w:t xml:space="preserve"> + </w:t>
      </w:r>
      <w:r>
        <w:rPr>
          <w:rFonts w:hint="eastAsia"/>
          <w:kern w:val="2"/>
          <w:sz w:val="21"/>
        </w:rPr>
        <w:t>顶置高精度视觉</w:t>
      </w:r>
      <w:r>
        <w:rPr>
          <w:rFonts w:hint="eastAsia"/>
          <w:kern w:val="2"/>
          <w:sz w:val="21"/>
        </w:rPr>
        <w:t>OCR</w:t>
      </w:r>
      <w:r>
        <w:rPr>
          <w:rFonts w:hint="eastAsia"/>
          <w:kern w:val="2"/>
          <w:sz w:val="21"/>
        </w:rPr>
        <w:t>文字比对</w:t>
      </w:r>
      <w:r>
        <w:rPr>
          <w:rFonts w:hint="eastAsia"/>
          <w:kern w:val="2"/>
          <w:sz w:val="21"/>
        </w:rPr>
        <w:t>+</w:t>
      </w:r>
      <w:r>
        <w:rPr>
          <w:rFonts w:hint="eastAsia"/>
          <w:kern w:val="2"/>
          <w:sz w:val="21"/>
        </w:rPr>
        <w:t>称重传感器动态称权”的三重物理防线，数据完全吻合方可开舱交付，确保错药、乱药、坏药绝对无法流出舱外。</w:t>
      </w:r>
    </w:p>
    <w:p w14:paraId="15BE9562"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异常自愈与力矩自适应机制：</w:t>
      </w:r>
      <w:r>
        <w:rPr>
          <w:rFonts w:hint="eastAsia"/>
          <w:kern w:val="2"/>
          <w:sz w:val="21"/>
        </w:rPr>
        <w:t xml:space="preserve"> </w:t>
      </w:r>
      <w:r>
        <w:rPr>
          <w:rFonts w:hint="eastAsia"/>
          <w:kern w:val="2"/>
          <w:sz w:val="21"/>
        </w:rPr>
        <w:t>机械臂夹爪集成微秒级力矩反馈机制，根据药盒材质动态调节物理握力，防止捏碎玻璃瓶或软袋。系统内嵌“自动重试、卡死回库、异常件自动归入废药区、客诉自动报警”等自愈流程，结合常态化远程</w:t>
      </w:r>
      <w:r>
        <w:rPr>
          <w:rFonts w:hint="eastAsia"/>
          <w:kern w:val="2"/>
          <w:sz w:val="21"/>
        </w:rPr>
        <w:t>OTA</w:t>
      </w:r>
      <w:r>
        <w:rPr>
          <w:rFonts w:hint="eastAsia"/>
          <w:kern w:val="2"/>
          <w:sz w:val="21"/>
        </w:rPr>
        <w:t>升级，持续提升系统可靠性与安全性。</w:t>
      </w:r>
    </w:p>
    <w:p w14:paraId="4B758C9E"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7" w:name="_Toc20203"/>
      <w:r>
        <w:rPr>
          <w:rFonts w:ascii="Times New Roman" w:eastAsia="楷体_GB2312" w:hAnsi="Times New Roman" w:cs="Times New Roman" w:hint="eastAsia"/>
          <w:sz w:val="28"/>
          <w:szCs w:val="28"/>
        </w:rPr>
        <w:lastRenderedPageBreak/>
        <w:t xml:space="preserve">6.5 </w:t>
      </w:r>
      <w:r>
        <w:rPr>
          <w:rFonts w:ascii="Times New Roman" w:eastAsia="楷体_GB2312" w:hAnsi="Times New Roman" w:cs="Times New Roman" w:hint="eastAsia"/>
          <w:sz w:val="28"/>
          <w:szCs w:val="28"/>
        </w:rPr>
        <w:t>用户风险预测及调控</w:t>
      </w:r>
      <w:bookmarkEnd w:id="47"/>
    </w:p>
    <w:p w14:paraId="77A07631"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零售药店的核心消费客群中老年人占比较高，基层店员对智能设备的运营熟练度也有所不同，同时夜间</w:t>
      </w:r>
      <w:r>
        <w:rPr>
          <w:rFonts w:hint="eastAsia"/>
          <w:kern w:val="2"/>
          <w:sz w:val="21"/>
        </w:rPr>
        <w:t>24</w:t>
      </w:r>
      <w:r>
        <w:rPr>
          <w:rFonts w:hint="eastAsia"/>
          <w:kern w:val="2"/>
          <w:sz w:val="21"/>
        </w:rPr>
        <w:t>小时无人值守场景也对设备的极端稳定性与应急处理提出了严苛要求。</w:t>
      </w:r>
    </w:p>
    <w:p w14:paraId="61E32C1C" w14:textId="77777777" w:rsidR="00E93FEF" w:rsidRDefault="00E93FEF">
      <w:pPr>
        <w:pStyle w:val="a3"/>
        <w:widowControl/>
        <w:shd w:val="clear" w:color="auto" w:fill="FFFFFF"/>
        <w:spacing w:beforeAutospacing="0" w:afterAutospacing="0"/>
        <w:ind w:firstLine="420"/>
        <w:rPr>
          <w:kern w:val="2"/>
          <w:sz w:val="21"/>
        </w:rPr>
      </w:pPr>
    </w:p>
    <w:p w14:paraId="6320272E"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风险预测：</w:t>
      </w:r>
      <w:r>
        <w:rPr>
          <w:rFonts w:hint="eastAsia"/>
          <w:kern w:val="2"/>
          <w:sz w:val="21"/>
        </w:rPr>
        <w:t xml:space="preserve"> </w:t>
      </w:r>
      <w:r>
        <w:rPr>
          <w:rFonts w:hint="eastAsia"/>
          <w:kern w:val="2"/>
          <w:sz w:val="21"/>
        </w:rPr>
        <w:t>老年用户或基层店员可能因不熟悉智能化操作而产生畏难与排斥心理，导致设备使用率低下；夜间无人看管场景下，可能面临恶意破坏、断电断网或紧急故障无法即时处理的用户体验危机。</w:t>
      </w:r>
    </w:p>
    <w:p w14:paraId="638BF6F6"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调控方案：</w:t>
      </w:r>
    </w:p>
    <w:p w14:paraId="0B8E20C0"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极简多模态适老化交互：摒弃任何繁琐的点击与输入流程，界面默认开启“大字体长辈模式”。系统以“全语音对话</w:t>
      </w:r>
      <w:r>
        <w:rPr>
          <w:rFonts w:hint="eastAsia"/>
          <w:kern w:val="2"/>
          <w:sz w:val="21"/>
        </w:rPr>
        <w:t>+</w:t>
      </w:r>
      <w:r>
        <w:rPr>
          <w:rFonts w:hint="eastAsia"/>
          <w:kern w:val="2"/>
          <w:sz w:val="21"/>
        </w:rPr>
        <w:t>自然语言识别”为核心交互手段，老年用户只需像和邻里聊天一样说出主诉，即可完成购药，跨越数字鸿沟。</w:t>
      </w:r>
    </w:p>
    <w:p w14:paraId="668B1002"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一键式“数字温情”人工介入：设备面板保留醒目的物理“一键呼叫云端药师”大按钮。在</w:t>
      </w:r>
      <w:r>
        <w:rPr>
          <w:rFonts w:hint="eastAsia"/>
          <w:kern w:val="2"/>
          <w:sz w:val="21"/>
        </w:rPr>
        <w:t>AI</w:t>
      </w:r>
      <w:r>
        <w:rPr>
          <w:rFonts w:hint="eastAsia"/>
          <w:kern w:val="2"/>
          <w:sz w:val="21"/>
        </w:rPr>
        <w:t>无法精准识别或用户产生焦虑时，秒级连线远程真人视频导购与在线药师，用人工温情消除无人场景的冰冷感。</w:t>
      </w:r>
    </w:p>
    <w:p w14:paraId="7FF207A5" w14:textId="77777777" w:rsidR="00E93FEF" w:rsidRDefault="00000000">
      <w:pPr>
        <w:pStyle w:val="a3"/>
        <w:widowControl/>
        <w:shd w:val="clear" w:color="auto" w:fill="FFFFFF"/>
        <w:spacing w:beforeAutospacing="0" w:afterAutospacing="0"/>
        <w:ind w:firstLine="420"/>
        <w:rPr>
          <w:kern w:val="2"/>
          <w:sz w:val="21"/>
        </w:rPr>
      </w:pPr>
      <w:r>
        <w:rPr>
          <w:rFonts w:hint="eastAsia"/>
          <w:kern w:val="2"/>
          <w:sz w:val="21"/>
        </w:rPr>
        <w:t>全方位运营支持与故障容灾：为</w:t>
      </w:r>
      <w:r>
        <w:rPr>
          <w:rFonts w:hint="eastAsia"/>
          <w:kern w:val="2"/>
          <w:sz w:val="21"/>
        </w:rPr>
        <w:t>B</w:t>
      </w:r>
      <w:r>
        <w:rPr>
          <w:rFonts w:hint="eastAsia"/>
          <w:kern w:val="2"/>
          <w:sz w:val="21"/>
        </w:rPr>
        <w:t>端店员提供可视化、傻瓜式的日常补货培训。针对</w:t>
      </w:r>
      <w:r>
        <w:rPr>
          <w:rFonts w:hint="eastAsia"/>
          <w:kern w:val="2"/>
          <w:sz w:val="21"/>
        </w:rPr>
        <w:t>24</w:t>
      </w:r>
      <w:r>
        <w:rPr>
          <w:rFonts w:hint="eastAsia"/>
          <w:kern w:val="2"/>
          <w:sz w:val="21"/>
        </w:rPr>
        <w:t>小时无人值守场景，系统内置环境温湿度传感器矩阵与自适应调温机，并集成自动断电保护、网络冗余备用切换等物理防御机制，配套快速响应的售后上门技术支持，确保服务永续稳定。</w:t>
      </w:r>
    </w:p>
    <w:p w14:paraId="031C4CDE" w14:textId="77777777" w:rsidR="00E93FEF" w:rsidRDefault="00E93FEF">
      <w:pPr>
        <w:pStyle w:val="a3"/>
        <w:widowControl/>
        <w:shd w:val="clear" w:color="auto" w:fill="FFFFFF"/>
        <w:spacing w:beforeAutospacing="0" w:afterAutospacing="0"/>
        <w:ind w:firstLine="420"/>
        <w:rPr>
          <w:kern w:val="2"/>
          <w:sz w:val="21"/>
        </w:rPr>
      </w:pPr>
    </w:p>
    <w:p w14:paraId="6FBD80F1" w14:textId="77777777" w:rsidR="00E93FEF" w:rsidRDefault="00000000">
      <w:pPr>
        <w:adjustRightInd w:val="0"/>
        <w:snapToGrid w:val="0"/>
        <w:spacing w:beforeLines="100" w:before="312" w:afterLines="50" w:after="156" w:line="380" w:lineRule="exact"/>
        <w:outlineLvl w:val="0"/>
        <w:rPr>
          <w:rFonts w:ascii="Times New Roman" w:eastAsia="仿宋_GB2312" w:hAnsi="Times New Roman" w:cs="Times New Roman"/>
          <w:sz w:val="30"/>
          <w:szCs w:val="30"/>
        </w:rPr>
      </w:pPr>
      <w:bookmarkStart w:id="48" w:name="_Toc22081"/>
      <w:r>
        <w:rPr>
          <w:rFonts w:ascii="Times New Roman" w:eastAsia="仿宋_GB2312" w:hAnsi="Times New Roman" w:cs="Times New Roman" w:hint="eastAsia"/>
          <w:sz w:val="30"/>
          <w:szCs w:val="30"/>
        </w:rPr>
        <w:t>七、团队介绍</w:t>
      </w:r>
      <w:bookmarkEnd w:id="48"/>
    </w:p>
    <w:p w14:paraId="54088268"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49" w:name="_Toc11914"/>
      <w:r>
        <w:rPr>
          <w:rFonts w:ascii="Times New Roman" w:eastAsia="楷体_GB2312" w:hAnsi="Times New Roman" w:cs="Times New Roman" w:hint="eastAsia"/>
          <w:sz w:val="28"/>
          <w:szCs w:val="28"/>
        </w:rPr>
        <w:t xml:space="preserve">7.1 </w:t>
      </w:r>
      <w:r>
        <w:rPr>
          <w:rFonts w:ascii="Times New Roman" w:eastAsia="楷体_GB2312" w:hAnsi="Times New Roman" w:cs="Times New Roman" w:hint="eastAsia"/>
          <w:sz w:val="28"/>
          <w:szCs w:val="28"/>
        </w:rPr>
        <w:t>团队宗旨</w:t>
      </w:r>
      <w:bookmarkEnd w:id="49"/>
    </w:p>
    <w:p w14:paraId="657FAD11" w14:textId="77777777" w:rsidR="00E93FEF" w:rsidRDefault="00000000">
      <w:pPr>
        <w:ind w:firstLineChars="200" w:firstLine="420"/>
      </w:pPr>
      <w:r>
        <w:rPr>
          <w:rFonts w:hint="eastAsia"/>
        </w:rPr>
        <w:t>以科技普惠基层医疗为初心，用人工智能与机器人技术补齐基层药事服务短板，让每一家药店、每一个社区卫生服务中心都拥有稳定可靠、低成本的</w:t>
      </w:r>
      <w:r>
        <w:rPr>
          <w:rFonts w:hint="eastAsia"/>
        </w:rPr>
        <w:t xml:space="preserve"> AI </w:t>
      </w:r>
      <w:r>
        <w:rPr>
          <w:rFonts w:hint="eastAsia"/>
        </w:rPr>
        <w:t>药师与智能自动化能力，守护大众用药安全，推动智慧医疗真正下沉到基层一线。</w:t>
      </w:r>
    </w:p>
    <w:p w14:paraId="6E1F447B"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50" w:name="_Toc6079"/>
      <w:r>
        <w:rPr>
          <w:rFonts w:ascii="Times New Roman" w:eastAsia="楷体_GB2312" w:hAnsi="Times New Roman" w:cs="Times New Roman" w:hint="eastAsia"/>
          <w:sz w:val="28"/>
          <w:szCs w:val="28"/>
        </w:rPr>
        <w:t xml:space="preserve">7.2 </w:t>
      </w:r>
      <w:r>
        <w:rPr>
          <w:rFonts w:ascii="Times New Roman" w:eastAsia="楷体_GB2312" w:hAnsi="Times New Roman" w:cs="Times New Roman" w:hint="eastAsia"/>
          <w:sz w:val="28"/>
          <w:szCs w:val="28"/>
        </w:rPr>
        <w:t>团队简介</w:t>
      </w:r>
      <w:bookmarkEnd w:id="50"/>
    </w:p>
    <w:p w14:paraId="409324AF" w14:textId="77777777" w:rsidR="00E93FEF" w:rsidRDefault="00000000">
      <w:pPr>
        <w:ind w:firstLineChars="200" w:firstLine="420"/>
      </w:pPr>
      <w:r>
        <w:rPr>
          <w:rFonts w:hint="eastAsia"/>
        </w:rPr>
        <w:t>团队全部由全日制在校本科生组成，成员分别来自计算机科学与技术、物联网工程、网络工程三个高度契合的专业，长期协同开展科研实践与学科竞赛，是一支结构稳定、分工清晰、执行力强的科创团队。</w:t>
      </w:r>
    </w:p>
    <w:p w14:paraId="67F32D1B" w14:textId="77777777" w:rsidR="00E93FEF" w:rsidRDefault="00000000">
      <w:pPr>
        <w:ind w:firstLineChars="200" w:firstLine="420"/>
      </w:pPr>
      <w:r>
        <w:rPr>
          <w:rFonts w:hint="eastAsia"/>
        </w:rPr>
        <w:t>团队依托学院优质教学资源与专业教师指导，立足课程知识、实验室训练与真实行业调研，自主完成项目研发、系统搭建、方案设计与商业落地全流程工作。团队具备扎实的技术基础、丰富的赛事经验与较强的创新实践能力，能够高效支撑项目从创意、原型到落地应用的完整推进。</w:t>
      </w:r>
    </w:p>
    <w:p w14:paraId="77165559"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51" w:name="_Toc3872"/>
      <w:r>
        <w:rPr>
          <w:rFonts w:ascii="Times New Roman" w:eastAsia="楷体_GB2312" w:hAnsi="Times New Roman" w:cs="Times New Roman" w:hint="eastAsia"/>
          <w:sz w:val="28"/>
          <w:szCs w:val="28"/>
        </w:rPr>
        <w:t xml:space="preserve">7.3 </w:t>
      </w:r>
      <w:r>
        <w:rPr>
          <w:rFonts w:ascii="Times New Roman" w:eastAsia="楷体_GB2312" w:hAnsi="Times New Roman" w:cs="Times New Roman" w:hint="eastAsia"/>
          <w:sz w:val="28"/>
          <w:szCs w:val="28"/>
        </w:rPr>
        <w:t>团队组织架构</w:t>
      </w:r>
      <w:bookmarkEnd w:id="51"/>
    </w:p>
    <w:p w14:paraId="2ED530CB" w14:textId="77777777" w:rsidR="00E93FEF" w:rsidRDefault="00000000">
      <w:pPr>
        <w:ind w:firstLineChars="200" w:firstLine="420"/>
      </w:pPr>
      <w:r>
        <w:rPr>
          <w:rFonts w:hint="eastAsia"/>
        </w:rPr>
        <w:t>硬件与软件研发组：由熊鑫、潘妙奇、问文娟组成，核心负责机械臂的软硬件操作与调试，包括机械结构控制、嵌入式系统开发、运动算法优化以及软硬件联调，是保障设备稳定运行的技术核心。</w:t>
      </w:r>
    </w:p>
    <w:p w14:paraId="43BDA028" w14:textId="77777777" w:rsidR="00E93FEF" w:rsidRDefault="00000000">
      <w:pPr>
        <w:ind w:firstLineChars="200" w:firstLine="420"/>
      </w:pPr>
      <w:r>
        <w:rPr>
          <w:rFonts w:hint="eastAsia"/>
        </w:rPr>
        <w:t>市场与商业规划组：由朱济震、常宇璇、李星瀚组成，主要负责市场调研、竞品分析、商业模式设计以及商业计划书的撰写，为项目的市场定位与商业化路径提供决策支持。</w:t>
      </w:r>
    </w:p>
    <w:p w14:paraId="5CB5F226" w14:textId="77777777" w:rsidR="00E93FEF" w:rsidRDefault="00000000">
      <w:pPr>
        <w:ind w:firstLineChars="200" w:firstLine="420"/>
      </w:pPr>
      <w:r>
        <w:rPr>
          <w:rFonts w:hint="eastAsia"/>
        </w:rPr>
        <w:lastRenderedPageBreak/>
        <w:t>设计与展示组：由石灵子、赵玉佳组成，专注于项目</w:t>
      </w:r>
      <w:r>
        <w:rPr>
          <w:rFonts w:hint="eastAsia"/>
        </w:rPr>
        <w:t xml:space="preserve"> PPT </w:t>
      </w:r>
      <w:r>
        <w:rPr>
          <w:rFonts w:hint="eastAsia"/>
        </w:rPr>
        <w:t>的设计与制作，负责将项目的技术亮点、商业价值与发展规划进行可视化呈现，提升项目的展示效果与传播力。</w:t>
      </w:r>
    </w:p>
    <w:p w14:paraId="4B1790EB" w14:textId="77777777" w:rsidR="00E93FEF" w:rsidRDefault="00000000">
      <w:pPr>
        <w:adjustRightInd w:val="0"/>
        <w:snapToGrid w:val="0"/>
        <w:spacing w:beforeLines="50" w:before="156" w:afterLines="50" w:after="156" w:line="380" w:lineRule="exact"/>
        <w:outlineLvl w:val="1"/>
        <w:rPr>
          <w:rFonts w:ascii="Times New Roman" w:eastAsia="楷体_GB2312" w:hAnsi="Times New Roman" w:cs="Times New Roman"/>
          <w:sz w:val="28"/>
          <w:szCs w:val="28"/>
        </w:rPr>
      </w:pPr>
      <w:bookmarkStart w:id="52" w:name="_Toc13427"/>
      <w:r>
        <w:rPr>
          <w:rFonts w:ascii="Times New Roman" w:eastAsia="楷体_GB2312" w:hAnsi="Times New Roman" w:cs="Times New Roman" w:hint="eastAsia"/>
          <w:sz w:val="28"/>
          <w:szCs w:val="28"/>
        </w:rPr>
        <w:t xml:space="preserve">7.4 </w:t>
      </w:r>
      <w:r>
        <w:rPr>
          <w:rFonts w:ascii="Times New Roman" w:eastAsia="楷体_GB2312" w:hAnsi="Times New Roman" w:cs="Times New Roman" w:hint="eastAsia"/>
          <w:sz w:val="28"/>
          <w:szCs w:val="28"/>
        </w:rPr>
        <w:t>核心团队优势</w:t>
      </w:r>
      <w:bookmarkEnd w:id="52"/>
    </w:p>
    <w:p w14:paraId="621F5D89" w14:textId="77777777" w:rsidR="00E93FEF" w:rsidRDefault="00000000">
      <w:pPr>
        <w:ind w:firstLineChars="200" w:firstLine="420"/>
      </w:pPr>
      <w:r>
        <w:rPr>
          <w:rFonts w:hint="eastAsia"/>
        </w:rPr>
        <w:t>专业高度匹配，技术链完整</w:t>
      </w:r>
      <w:r>
        <w:rPr>
          <w:rFonts w:hint="eastAsia"/>
        </w:rPr>
        <w:t xml:space="preserve"> </w:t>
      </w:r>
      <w:r>
        <w:rPr>
          <w:rFonts w:hint="eastAsia"/>
        </w:rPr>
        <w:t>团队成员专业背景覆盖计算机、物联网、网络工程，形成</w:t>
      </w:r>
      <w:r>
        <w:rPr>
          <w:rFonts w:hint="eastAsia"/>
        </w:rPr>
        <w:t xml:space="preserve"> </w:t>
      </w:r>
      <w:r>
        <w:rPr>
          <w:rFonts w:hint="eastAsia"/>
        </w:rPr>
        <w:t>“算法</w:t>
      </w:r>
      <w:r>
        <w:rPr>
          <w:rFonts w:hint="eastAsia"/>
        </w:rPr>
        <w:t>+</w:t>
      </w:r>
      <w:r>
        <w:rPr>
          <w:rFonts w:hint="eastAsia"/>
        </w:rPr>
        <w:t>硬件</w:t>
      </w:r>
      <w:r>
        <w:rPr>
          <w:rFonts w:hint="eastAsia"/>
        </w:rPr>
        <w:t>+</w:t>
      </w:r>
      <w:r>
        <w:rPr>
          <w:rFonts w:hint="eastAsia"/>
        </w:rPr>
        <w:t>网络”的完整技术体系，与项目软硬件一体化需求高度契合。</w:t>
      </w:r>
    </w:p>
    <w:p w14:paraId="68544CA0" w14:textId="77777777" w:rsidR="00E93FEF" w:rsidRDefault="00000000">
      <w:pPr>
        <w:ind w:firstLineChars="200" w:firstLine="420"/>
      </w:pPr>
      <w:r>
        <w:rPr>
          <w:rFonts w:hint="eastAsia"/>
        </w:rPr>
        <w:t>分工明确，执行力强</w:t>
      </w:r>
      <w:r>
        <w:rPr>
          <w:rFonts w:hint="eastAsia"/>
        </w:rPr>
        <w:t xml:space="preserve"> </w:t>
      </w:r>
      <w:r>
        <w:rPr>
          <w:rFonts w:hint="eastAsia"/>
        </w:rPr>
        <w:t>团队内部根据成员专长进行清晰分工，硬件研发、市场分析、设计展示各环节责任到人，确保项目各模块高效推进、协同落地。</w:t>
      </w:r>
    </w:p>
    <w:p w14:paraId="050C79A2" w14:textId="77777777" w:rsidR="00E93FEF" w:rsidRDefault="00000000">
      <w:pPr>
        <w:ind w:firstLineChars="200" w:firstLine="420"/>
      </w:pPr>
      <w:r>
        <w:rPr>
          <w:rFonts w:hint="eastAsia"/>
        </w:rPr>
        <w:t>科创经验丰富，赛事基础扎实</w:t>
      </w:r>
      <w:r>
        <w:rPr>
          <w:rFonts w:hint="eastAsia"/>
        </w:rPr>
        <w:t xml:space="preserve"> </w:t>
      </w:r>
      <w:r>
        <w:rPr>
          <w:rFonts w:hint="eastAsia"/>
        </w:rPr>
        <w:t>团队成员多次参与</w:t>
      </w:r>
      <w:r>
        <w:rPr>
          <w:rFonts w:hint="eastAsia"/>
        </w:rPr>
        <w:t xml:space="preserve"> </w:t>
      </w:r>
      <w:r>
        <w:rPr>
          <w:rFonts w:hint="eastAsia"/>
        </w:rPr>
        <w:t>“互联网</w:t>
      </w:r>
      <w:r>
        <w:rPr>
          <w:rFonts w:hint="eastAsia"/>
        </w:rPr>
        <w:t>+</w:t>
      </w:r>
      <w:r>
        <w:rPr>
          <w:rFonts w:hint="eastAsia"/>
        </w:rPr>
        <w:t>”、挑战杯、机器人大赛等高水平创新创业竞赛，具备规范的研发流程与成熟的项目表达能力。</w:t>
      </w:r>
    </w:p>
    <w:p w14:paraId="4AA2F7B8" w14:textId="77777777" w:rsidR="00E93FEF" w:rsidRDefault="00000000">
      <w:pPr>
        <w:ind w:firstLineChars="200" w:firstLine="420"/>
      </w:pPr>
      <w:r>
        <w:rPr>
          <w:rFonts w:hint="eastAsia"/>
        </w:rPr>
        <w:t>创新活力突出，学习迭代快</w:t>
      </w:r>
      <w:r>
        <w:rPr>
          <w:rFonts w:hint="eastAsia"/>
        </w:rPr>
        <w:t xml:space="preserve"> </w:t>
      </w:r>
      <w:r>
        <w:rPr>
          <w:rFonts w:hint="eastAsia"/>
        </w:rPr>
        <w:t>本科生团队思维灵活、响应迅速，能够快速学习前沿技术并落地转化，适配轻量化、高效率的科创项目推进节奏。</w:t>
      </w:r>
    </w:p>
    <w:p w14:paraId="69062CB3" w14:textId="77777777" w:rsidR="00E93FEF" w:rsidRDefault="00000000">
      <w:pPr>
        <w:ind w:firstLineChars="200" w:firstLine="420"/>
      </w:pPr>
      <w:r>
        <w:rPr>
          <w:rFonts w:hint="eastAsia"/>
        </w:rPr>
        <w:t>落地导向明确，贴近真实需求</w:t>
      </w:r>
      <w:r>
        <w:rPr>
          <w:rFonts w:hint="eastAsia"/>
        </w:rPr>
        <w:t xml:space="preserve"> </w:t>
      </w:r>
      <w:r>
        <w:rPr>
          <w:rFonts w:hint="eastAsia"/>
        </w:rPr>
        <w:t>坚持从基层药房实际痛点出发，注重实用性、低成本与易部署，产品设计更贴合中小药店、基层医疗机构的真实使用场景。</w:t>
      </w:r>
    </w:p>
    <w:p w14:paraId="2CEDCD95" w14:textId="77777777" w:rsidR="00E93FEF" w:rsidRDefault="00E93FEF">
      <w:pPr>
        <w:ind w:firstLineChars="200" w:firstLine="420"/>
      </w:pPr>
    </w:p>
    <w:p w14:paraId="39F49EF4" w14:textId="77777777" w:rsidR="00E93FEF" w:rsidRDefault="00E93FEF">
      <w:pPr>
        <w:ind w:firstLineChars="200" w:firstLine="420"/>
      </w:pPr>
    </w:p>
    <w:p w14:paraId="7882B79A" w14:textId="77777777" w:rsidR="00E93FEF" w:rsidRDefault="00E93FEF">
      <w:pPr>
        <w:ind w:firstLineChars="200" w:firstLine="420"/>
      </w:pPr>
    </w:p>
    <w:sectPr w:rsidR="00E93F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75D3"/>
    <w:multiLevelType w:val="multilevel"/>
    <w:tmpl w:val="CFB6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639F1"/>
    <w:multiLevelType w:val="multilevel"/>
    <w:tmpl w:val="1AF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0504"/>
    <w:multiLevelType w:val="multilevel"/>
    <w:tmpl w:val="1CB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40AC5"/>
    <w:multiLevelType w:val="multilevel"/>
    <w:tmpl w:val="9A9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6F01"/>
    <w:multiLevelType w:val="multilevel"/>
    <w:tmpl w:val="857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74C74"/>
    <w:multiLevelType w:val="multilevel"/>
    <w:tmpl w:val="6C1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04F0E"/>
    <w:multiLevelType w:val="multilevel"/>
    <w:tmpl w:val="480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F3F3F"/>
    <w:multiLevelType w:val="multilevel"/>
    <w:tmpl w:val="47D2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7012C0"/>
    <w:multiLevelType w:val="multilevel"/>
    <w:tmpl w:val="1CE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71797"/>
    <w:multiLevelType w:val="multilevel"/>
    <w:tmpl w:val="4B4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549441">
    <w:abstractNumId w:val="9"/>
  </w:num>
  <w:num w:numId="2" w16cid:durableId="1034426705">
    <w:abstractNumId w:val="5"/>
  </w:num>
  <w:num w:numId="3" w16cid:durableId="1161895942">
    <w:abstractNumId w:val="7"/>
  </w:num>
  <w:num w:numId="4" w16cid:durableId="1144858419">
    <w:abstractNumId w:val="1"/>
  </w:num>
  <w:num w:numId="5" w16cid:durableId="1100298572">
    <w:abstractNumId w:val="0"/>
  </w:num>
  <w:num w:numId="6" w16cid:durableId="160201062">
    <w:abstractNumId w:val="6"/>
  </w:num>
  <w:num w:numId="7" w16cid:durableId="2140952754">
    <w:abstractNumId w:val="2"/>
  </w:num>
  <w:num w:numId="8" w16cid:durableId="2017222963">
    <w:abstractNumId w:val="8"/>
  </w:num>
  <w:num w:numId="9" w16cid:durableId="1952787025">
    <w:abstractNumId w:val="4"/>
  </w:num>
  <w:num w:numId="10" w16cid:durableId="493840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EF"/>
    <w:rsid w:val="002F5AD2"/>
    <w:rsid w:val="0034625C"/>
    <w:rsid w:val="00355B60"/>
    <w:rsid w:val="003D20DE"/>
    <w:rsid w:val="003E41C6"/>
    <w:rsid w:val="007B0E0B"/>
    <w:rsid w:val="007C3710"/>
    <w:rsid w:val="00A14201"/>
    <w:rsid w:val="00B40675"/>
    <w:rsid w:val="00BE0136"/>
    <w:rsid w:val="00BE3C3E"/>
    <w:rsid w:val="00BF0F1F"/>
    <w:rsid w:val="00E84C04"/>
    <w:rsid w:val="00E93FEF"/>
    <w:rsid w:val="00EA7C0D"/>
    <w:rsid w:val="50267A8B"/>
    <w:rsid w:val="5D225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8E397"/>
  <w15:docId w15:val="{CB6093BB-8FB6-4B90-A750-84064416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宋体"/>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ind w:leftChars="400" w:left="840"/>
    </w:pPr>
  </w:style>
  <w:style w:type="paragraph" w:styleId="TOC1">
    <w:name w:val="toc 1"/>
    <w:basedOn w:val="a"/>
    <w:next w:val="a"/>
  </w:style>
  <w:style w:type="paragraph" w:styleId="TOC2">
    <w:name w:val="toc 2"/>
    <w:basedOn w:val="a"/>
    <w:next w:val="a"/>
    <w:pPr>
      <w:ind w:leftChars="200" w:left="420"/>
    </w:pPr>
  </w:style>
  <w:style w:type="paragraph" w:styleId="a3">
    <w:name w:val="Normal (Web)"/>
    <w:basedOn w:val="a"/>
    <w:qFormat/>
    <w:pPr>
      <w:spacing w:beforeAutospacing="1" w:afterAutospacing="1"/>
      <w:jc w:val="left"/>
    </w:pPr>
    <w:rPr>
      <w:kern w:val="0"/>
      <w:sz w:val="24"/>
    </w:rPr>
  </w:style>
  <w:style w:type="character" w:styleId="a4">
    <w:name w:val="Strong"/>
    <w:basedOn w:val="a0"/>
    <w:uiPriority w:val="22"/>
    <w:qFormat/>
    <w:rPr>
      <w:b/>
    </w:rPr>
  </w:style>
  <w:style w:type="paragraph" w:styleId="a5">
    <w:name w:val="List Paragraph"/>
    <w:basedOn w:val="a"/>
    <w:uiPriority w:val="34"/>
    <w:qFormat/>
    <w:pPr>
      <w:ind w:firstLineChars="200" w:firstLine="420"/>
    </w:pPr>
  </w:style>
  <w:style w:type="table" w:styleId="a6">
    <w:name w:val="Table Grid"/>
    <w:basedOn w:val="a1"/>
    <w:rsid w:val="00B40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三线表1"/>
    <w:basedOn w:val="a1"/>
    <w:uiPriority w:val="99"/>
    <w:rsid w:val="00B40675"/>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10772</Words>
  <Characters>11528</Characters>
  <Application>Microsoft Office Word</Application>
  <DocSecurity>0</DocSecurity>
  <Lines>640</Lines>
  <Paragraphs>619</Paragraphs>
  <ScaleCrop>false</ScaleCrop>
  <Company/>
  <LinksUpToDate>false</LinksUpToDate>
  <CharactersWithSpaces>21681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WPS_1753846211</dc:creator>
  <cp:lastModifiedBy>鑫 熊</cp:lastModifiedBy>
  <cp:revision>4</cp:revision>
  <dcterms:created xsi:type="dcterms:W3CDTF">2026-05-30T03:50:00Z</dcterms:created>
  <dcterms:modified xsi:type="dcterms:W3CDTF">2026-05-30T06:25:00Z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19F469C5A62644F29FB084B60218495F_13</vt:lpwstr>
  </property>
  <property fmtid="{D5CDD505-2E9C-101B-9397-08002B2CF9AE}" pid="4" name="KSOTemplateDocerSaveRecord">
    <vt:lpwstr>eyJoZGlkIjoiNWMyODM0YTE2YmRmZmM2MDc2NmQ3Nzk3MzJhOWQzN2IiLCJ1c2VySWQiOiIxNzcxNjY4NDUwIn0=</vt:lpwstr>
  </property>
</Properties>
</file>