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2D5730">
      <w:pPr>
        <w:spacing w:line="360" w:lineRule="auto"/>
        <w:rPr>
          <w:rFonts w:ascii="Times New Roman" w:hAnsi="Times New Roman" w:eastAsia="宋体" w:cs="Times New Roman"/>
          <w:b/>
          <w:bCs/>
          <w:sz w:val="30"/>
          <w:szCs w:val="30"/>
          <w:u w:val="single"/>
        </w:rPr>
      </w:pPr>
      <w:r>
        <w:rPr>
          <w:rFonts w:hint="eastAsia" w:ascii="Times New Roman" w:hAnsi="Times New Roman" w:eastAsia="宋体" w:cs="Times New Roman"/>
          <w:b/>
          <w:bCs/>
          <w:sz w:val="30"/>
          <w:szCs w:val="30"/>
        </w:rPr>
        <w:t>分类号</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w:t>
      </w:r>
      <w:r>
        <w:rPr>
          <w:rFonts w:hint="eastAsia" w:ascii="Times New Roman" w:hAnsi="Times New Roman" w:eastAsia="宋体" w:cs="宋体"/>
          <w:b/>
          <w:bCs/>
          <w:color w:val="000000"/>
          <w:sz w:val="30"/>
          <w:szCs w:val="30"/>
        </w:rPr>
        <w:t>论文选题类型</w:t>
      </w:r>
      <w:r>
        <w:rPr>
          <w:rFonts w:hint="eastAsia" w:ascii="Times New Roman" w:hAnsi="Times New Roman" w:eastAsia="宋体" w:cs="Times New Roman"/>
          <w:b/>
          <w:bCs/>
          <w:sz w:val="30"/>
          <w:szCs w:val="30"/>
          <w:u w:val="single"/>
        </w:rPr>
        <w:t xml:space="preserve">              </w:t>
      </w:r>
    </w:p>
    <w:p w14:paraId="37766DC8">
      <w:pPr>
        <w:spacing w:line="360" w:lineRule="auto"/>
        <w:rPr>
          <w:rFonts w:ascii="Times New Roman" w:hAnsi="Times New Roman" w:eastAsia="宋体" w:cs="Times New Roman"/>
          <w:b/>
          <w:bCs/>
          <w:sz w:val="30"/>
          <w:szCs w:val="30"/>
        </w:rPr>
      </w:pPr>
      <w:r>
        <w:rPr>
          <w:rFonts w:hint="eastAsia" w:ascii="Times New Roman" w:hAnsi="Times New Roman" w:eastAsia="宋体" w:cs="Times New Roman"/>
          <w:b/>
          <w:bCs/>
          <w:sz w:val="30"/>
          <w:szCs w:val="30"/>
        </w:rPr>
        <w:t xml:space="preserve">U D C </w:t>
      </w:r>
      <w:r>
        <w:rPr>
          <w:rFonts w:hint="eastAsia" w:ascii="Times New Roman" w:hAnsi="Times New Roman" w:eastAsia="宋体" w:cs="Times New Roman"/>
          <w:b/>
          <w:bCs/>
          <w:sz w:val="30"/>
          <w:szCs w:val="30"/>
          <w:u w:val="single"/>
        </w:rPr>
        <w:t xml:space="preserve">                </w:t>
      </w:r>
      <w:r>
        <w:rPr>
          <w:rFonts w:hint="eastAsia" w:ascii="Times New Roman" w:hAnsi="Times New Roman" w:eastAsia="宋体" w:cs="Times New Roman"/>
          <w:b/>
          <w:bCs/>
          <w:sz w:val="30"/>
          <w:szCs w:val="30"/>
        </w:rPr>
        <w:t xml:space="preserve">        编号</w:t>
      </w:r>
      <w:r>
        <w:rPr>
          <w:rFonts w:hint="eastAsia" w:ascii="Times New Roman" w:hAnsi="Times New Roman" w:eastAsia="宋体" w:cs="Times New Roman"/>
          <w:b/>
          <w:bCs/>
          <w:sz w:val="30"/>
          <w:szCs w:val="30"/>
          <w:u w:val="single"/>
        </w:rPr>
        <w:t xml:space="preserve">                      </w:t>
      </w:r>
    </w:p>
    <w:p w14:paraId="555E64FA">
      <w:pPr>
        <w:spacing w:line="360" w:lineRule="auto"/>
        <w:rPr>
          <w:rFonts w:ascii="Times New Roman" w:hAnsi="Times New Roman" w:eastAsia="宋体" w:cs="Times New Roman"/>
          <w:sz w:val="30"/>
          <w:szCs w:val="20"/>
        </w:rPr>
      </w:pPr>
    </w:p>
    <w:p w14:paraId="2154A410">
      <w:pPr>
        <w:spacing w:line="360" w:lineRule="auto"/>
        <w:jc w:val="center"/>
        <w:rPr>
          <w:rFonts w:ascii="Times New Roman" w:hAnsi="Times New Roman" w:eastAsia="宋体" w:cs="Times New Roman"/>
          <w:sz w:val="36"/>
          <w:szCs w:val="36"/>
        </w:rPr>
      </w:pPr>
      <w:r>
        <w:rPr>
          <w:rFonts w:hint="eastAsia" w:ascii="Times New Roman" w:hAnsi="Times New Roman" w:eastAsia="宋体" w:cs="Times New Roman"/>
          <w:sz w:val="36"/>
          <w:szCs w:val="36"/>
        </w:rPr>
        <w:drawing>
          <wp:inline distT="0" distB="0" distL="114300" distR="114300">
            <wp:extent cx="2303145" cy="465455"/>
            <wp:effectExtent l="0" t="0" r="1905" b="10795"/>
            <wp:docPr id="4" name="图片 4" descr="图形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ds"/>
                    <pic:cNvPicPr>
                      <a:picLocks noChangeAspect="1"/>
                    </pic:cNvPicPr>
                  </pic:nvPicPr>
                  <pic:blipFill>
                    <a:blip r:embed="rId10"/>
                    <a:stretch>
                      <a:fillRect/>
                    </a:stretch>
                  </pic:blipFill>
                  <pic:spPr>
                    <a:xfrm>
                      <a:off x="0" y="0"/>
                      <a:ext cx="2303145" cy="465455"/>
                    </a:xfrm>
                    <a:prstGeom prst="rect">
                      <a:avLst/>
                    </a:prstGeom>
                    <a:noFill/>
                    <a:ln>
                      <a:noFill/>
                    </a:ln>
                  </pic:spPr>
                </pic:pic>
              </a:graphicData>
            </a:graphic>
          </wp:inline>
        </w:drawing>
      </w:r>
    </w:p>
    <w:p w14:paraId="4726BA1A">
      <w:pPr>
        <w:spacing w:line="360" w:lineRule="auto"/>
        <w:jc w:val="center"/>
        <w:rPr>
          <w:rFonts w:ascii="Times New Roman" w:hAnsi="Times New Roman" w:eastAsia="宋体" w:cs="Times New Roman"/>
          <w:b/>
          <w:bCs/>
          <w:sz w:val="72"/>
          <w:szCs w:val="72"/>
        </w:rPr>
      </w:pPr>
    </w:p>
    <w:p w14:paraId="33BE4B71">
      <w:pPr>
        <w:spacing w:line="360" w:lineRule="auto"/>
        <w:jc w:val="center"/>
        <w:outlineLvl w:val="9"/>
        <w:rPr>
          <w:rFonts w:ascii="Times New Roman" w:hAnsi="Times New Roman" w:eastAsia="宋体" w:cs="Times New Roman"/>
          <w:b/>
          <w:bCs/>
          <w:sz w:val="72"/>
          <w:szCs w:val="72"/>
        </w:rPr>
      </w:pPr>
      <w:r>
        <w:rPr>
          <w:rFonts w:hint="eastAsia" w:ascii="Times New Roman" w:hAnsi="Times New Roman" w:eastAsia="宋体" w:cs="Times New Roman"/>
          <w:b/>
          <w:bCs/>
          <w:sz w:val="72"/>
          <w:szCs w:val="72"/>
        </w:rPr>
        <w:t>本科毕业论文（设计）</w:t>
      </w:r>
    </w:p>
    <w:p w14:paraId="2660F948">
      <w:pPr>
        <w:widowControl/>
        <w:spacing w:line="360" w:lineRule="auto"/>
        <w:jc w:val="left"/>
        <w:rPr>
          <w:rFonts w:ascii="Times New Roman" w:hAnsi="Times New Roman" w:eastAsia="宋体" w:cs="Times New Roman"/>
        </w:rPr>
      </w:pPr>
    </w:p>
    <w:p w14:paraId="714800B7">
      <w:pPr>
        <w:widowControl/>
        <w:spacing w:line="360" w:lineRule="auto"/>
        <w:jc w:val="left"/>
        <w:rPr>
          <w:rFonts w:ascii="Times New Roman" w:hAnsi="Times New Roman" w:eastAsia="宋体" w:cs="Times New Roman"/>
        </w:rPr>
      </w:pPr>
    </w:p>
    <w:p w14:paraId="72506A35">
      <w:pPr>
        <w:widowControl/>
        <w:spacing w:line="360" w:lineRule="auto"/>
        <w:jc w:val="center"/>
        <w:rPr>
          <w:rFonts w:hint="eastAsia" w:ascii="Times New Roman" w:hAnsi="Times New Roman" w:eastAsia="宋体" w:cs="Times New Roman"/>
          <w:b/>
          <w:bCs/>
          <w:kern w:val="0"/>
          <w:sz w:val="48"/>
        </w:rPr>
      </w:pPr>
    </w:p>
    <w:p w14:paraId="0C5E9F65">
      <w:pPr>
        <w:widowControl/>
        <w:spacing w:line="360" w:lineRule="auto"/>
        <w:jc w:val="center"/>
        <w:outlineLvl w:val="9"/>
        <w:rPr>
          <w:rFonts w:hint="default" w:ascii="Times New Roman" w:hAnsi="Times New Roman" w:eastAsia="宋体" w:cs="Times New Roman"/>
          <w:b/>
          <w:bCs/>
          <w:kern w:val="0"/>
          <w:sz w:val="32"/>
          <w:szCs w:val="32"/>
          <w:u w:val="single"/>
          <w:lang w:val="en-US" w:eastAsia="zh-CN"/>
        </w:rPr>
      </w:pPr>
      <w:r>
        <w:rPr>
          <w:rFonts w:hint="eastAsia" w:ascii="Times New Roman" w:hAnsi="Times New Roman" w:eastAsia="宋体" w:cs="Times New Roman"/>
          <w:b/>
          <w:bCs/>
          <w:kern w:val="0"/>
          <w:sz w:val="48"/>
        </w:rPr>
        <w:t>题 目</w:t>
      </w:r>
      <w:r>
        <w:rPr>
          <w:rFonts w:hint="eastAsia" w:ascii="Times New Roman" w:hAnsi="Times New Roman" w:eastAsia="宋体" w:cs="Times New Roman"/>
          <w:b/>
          <w:bCs/>
          <w:kern w:val="0"/>
          <w:sz w:val="36"/>
          <w:szCs w:val="36"/>
          <w:u w:val="single"/>
          <w:lang w:val="en-US" w:eastAsia="zh-CN"/>
        </w:rPr>
        <w:t>武汉市高校毕业生就业影响因素统计分析</w:t>
      </w:r>
    </w:p>
    <w:p w14:paraId="12076BAB">
      <w:pPr>
        <w:widowControl/>
        <w:spacing w:line="360" w:lineRule="auto"/>
        <w:jc w:val="right"/>
        <w:outlineLvl w:val="9"/>
        <w:rPr>
          <w:rFonts w:hint="eastAsia" w:ascii="Times New Roman" w:hAnsi="Times New Roman" w:eastAsia="宋体" w:cs="Times New Roman"/>
          <w:b/>
          <w:bCs/>
          <w:kern w:val="0"/>
          <w:sz w:val="36"/>
          <w:szCs w:val="36"/>
          <w:u w:val="single"/>
        </w:rPr>
      </w:pPr>
    </w:p>
    <w:p w14:paraId="41BA2EB3">
      <w:pPr>
        <w:widowControl/>
        <w:spacing w:line="360" w:lineRule="auto"/>
        <w:rPr>
          <w:rFonts w:hint="eastAsia" w:ascii="Times New Roman" w:hAnsi="Times New Roman" w:eastAsia="宋体" w:cs="Times New Roman"/>
          <w:b/>
          <w:bCs/>
          <w:kern w:val="0"/>
          <w:sz w:val="36"/>
          <w:szCs w:val="36"/>
          <w:u w:val="single"/>
        </w:rPr>
      </w:pPr>
    </w:p>
    <w:tbl>
      <w:tblPr>
        <w:tblStyle w:val="8"/>
        <w:tblW w:w="6787" w:type="dxa"/>
        <w:jc w:val="center"/>
        <w:tblLayout w:type="fixed"/>
        <w:tblCellMar>
          <w:top w:w="0" w:type="dxa"/>
          <w:left w:w="108" w:type="dxa"/>
          <w:bottom w:w="0" w:type="dxa"/>
          <w:right w:w="108" w:type="dxa"/>
        </w:tblCellMar>
      </w:tblPr>
      <w:tblGrid>
        <w:gridCol w:w="1770"/>
        <w:gridCol w:w="5017"/>
      </w:tblGrid>
      <w:tr w14:paraId="4AF2760B">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E9E6FF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院  </w:t>
            </w:r>
          </w:p>
        </w:tc>
        <w:tc>
          <w:tcPr>
            <w:tcW w:w="5017" w:type="dxa"/>
            <w:tcBorders>
              <w:top w:val="nil"/>
              <w:left w:val="nil"/>
              <w:bottom w:val="single" w:color="auto" w:sz="4" w:space="0"/>
              <w:right w:val="nil"/>
            </w:tcBorders>
            <w:shd w:val="clear" w:color="auto" w:fill="auto"/>
            <w:noWrap/>
            <w:vAlign w:val="center"/>
          </w:tcPr>
          <w:p w14:paraId="3F3AB9B0">
            <w:pPr>
              <w:jc w:val="center"/>
              <w:rPr>
                <w:rFonts w:ascii="Times New Roman" w:hAnsi="Times New Roman" w:eastAsia="宋体" w:cs="等线"/>
                <w:b/>
                <w:bCs/>
                <w:color w:val="000000"/>
                <w:sz w:val="30"/>
                <w:szCs w:val="30"/>
              </w:rPr>
            </w:pPr>
            <w:r>
              <w:rPr>
                <w:rFonts w:hint="eastAsia" w:ascii="Times New Roman" w:hAnsi="Times New Roman" w:eastAsia="宋体" w:cs="Times New Roman"/>
                <w:b/>
                <w:bCs/>
                <w:sz w:val="30"/>
                <w:szCs w:val="30"/>
              </w:rPr>
              <w:t>数学与统计学学院</w:t>
            </w:r>
          </w:p>
        </w:tc>
      </w:tr>
      <w:tr w14:paraId="15644128">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52A76D6B">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专    业  </w:t>
            </w:r>
          </w:p>
        </w:tc>
        <w:tc>
          <w:tcPr>
            <w:tcW w:w="5017" w:type="dxa"/>
            <w:tcBorders>
              <w:top w:val="single" w:color="auto" w:sz="4" w:space="0"/>
              <w:left w:val="nil"/>
              <w:bottom w:val="single" w:color="auto" w:sz="4" w:space="0"/>
              <w:right w:val="nil"/>
            </w:tcBorders>
            <w:shd w:val="clear" w:color="auto" w:fill="auto"/>
            <w:noWrap/>
            <w:vAlign w:val="center"/>
          </w:tcPr>
          <w:p w14:paraId="7C1D9183">
            <w:pPr>
              <w:jc w:val="center"/>
              <w:rPr>
                <w:rFonts w:hint="eastAsia" w:ascii="Times New Roman" w:hAnsi="Times New Roman" w:eastAsia="宋体" w:cs="等线"/>
                <w:b/>
                <w:bCs/>
                <w:color w:val="000000"/>
                <w:sz w:val="30"/>
                <w:szCs w:val="30"/>
                <w:lang w:eastAsia="zh-CN"/>
              </w:rPr>
            </w:pPr>
            <w:r>
              <w:rPr>
                <w:rFonts w:hint="eastAsia" w:ascii="Times New Roman" w:hAnsi="Times New Roman" w:eastAsia="宋体" w:cs="等线"/>
                <w:b/>
                <w:bCs/>
                <w:color w:val="000000"/>
                <w:sz w:val="30"/>
                <w:szCs w:val="30"/>
              </w:rPr>
              <w:t>数学与应用数学</w:t>
            </w:r>
            <w:r>
              <w:rPr>
                <w:rFonts w:hint="eastAsia" w:ascii="Times New Roman" w:hAnsi="Times New Roman" w:eastAsia="宋体" w:cs="等线"/>
                <w:b/>
                <w:bCs/>
                <w:color w:val="000000"/>
                <w:sz w:val="30"/>
                <w:szCs w:val="30"/>
                <w:lang w:eastAsia="zh-CN"/>
              </w:rPr>
              <w:t>（</w:t>
            </w:r>
            <w:r>
              <w:rPr>
                <w:rFonts w:hint="eastAsia" w:ascii="Times New Roman" w:hAnsi="Times New Roman" w:eastAsia="宋体" w:cs="等线"/>
                <w:b/>
                <w:bCs/>
                <w:color w:val="000000"/>
                <w:sz w:val="30"/>
                <w:szCs w:val="30"/>
                <w:lang w:val="en-US" w:eastAsia="zh-CN"/>
              </w:rPr>
              <w:t>师范</w:t>
            </w:r>
            <w:r>
              <w:rPr>
                <w:rFonts w:hint="eastAsia" w:ascii="Times New Roman" w:hAnsi="Times New Roman" w:eastAsia="宋体" w:cs="等线"/>
                <w:b/>
                <w:bCs/>
                <w:color w:val="000000"/>
                <w:sz w:val="30"/>
                <w:szCs w:val="30"/>
                <w:lang w:eastAsia="zh-CN"/>
              </w:rPr>
              <w:t>）</w:t>
            </w:r>
          </w:p>
        </w:tc>
      </w:tr>
      <w:tr w14:paraId="2A07C28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42246B08">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年    级  </w:t>
            </w:r>
          </w:p>
        </w:tc>
        <w:tc>
          <w:tcPr>
            <w:tcW w:w="5017" w:type="dxa"/>
            <w:tcBorders>
              <w:top w:val="single" w:color="auto" w:sz="4" w:space="0"/>
              <w:left w:val="nil"/>
              <w:bottom w:val="single" w:color="auto" w:sz="4" w:space="0"/>
              <w:right w:val="nil"/>
            </w:tcBorders>
            <w:shd w:val="clear" w:color="auto" w:fill="auto"/>
            <w:noWrap/>
            <w:vAlign w:val="center"/>
          </w:tcPr>
          <w:p w14:paraId="0A2AE109">
            <w:pPr>
              <w:jc w:val="center"/>
              <w:rPr>
                <w:rFonts w:ascii="Times New Roman" w:hAnsi="Times New Roman" w:eastAsia="宋体" w:cs="等线"/>
                <w:b/>
                <w:bCs/>
                <w:color w:val="000000"/>
                <w:sz w:val="30"/>
                <w:szCs w:val="30"/>
              </w:rPr>
            </w:pPr>
            <w:r>
              <w:rPr>
                <w:rFonts w:hint="eastAsia" w:ascii="Times New Roman" w:hAnsi="Times New Roman" w:eastAsia="宋体" w:cs="等线"/>
                <w:b/>
                <w:bCs/>
                <w:color w:val="000000"/>
                <w:sz w:val="30"/>
                <w:szCs w:val="30"/>
              </w:rPr>
              <w:t>2021</w:t>
            </w:r>
          </w:p>
        </w:tc>
      </w:tr>
      <w:tr w14:paraId="3DC050DE">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6BF827A">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学生姓名  </w:t>
            </w:r>
          </w:p>
        </w:tc>
        <w:tc>
          <w:tcPr>
            <w:tcW w:w="5017" w:type="dxa"/>
            <w:tcBorders>
              <w:top w:val="single" w:color="auto" w:sz="4" w:space="0"/>
              <w:left w:val="nil"/>
              <w:bottom w:val="single" w:color="auto" w:sz="4" w:space="0"/>
              <w:right w:val="nil"/>
            </w:tcBorders>
            <w:shd w:val="clear" w:color="auto" w:fill="auto"/>
            <w:noWrap/>
            <w:vAlign w:val="center"/>
          </w:tcPr>
          <w:p w14:paraId="7BFD4155">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郎黎明</w:t>
            </w:r>
          </w:p>
        </w:tc>
      </w:tr>
      <w:tr w14:paraId="76F3DD11">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15EB1936">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学    号  </w:t>
            </w:r>
          </w:p>
        </w:tc>
        <w:tc>
          <w:tcPr>
            <w:tcW w:w="5017" w:type="dxa"/>
            <w:tcBorders>
              <w:top w:val="single" w:color="auto" w:sz="4" w:space="0"/>
              <w:left w:val="nil"/>
              <w:bottom w:val="single" w:color="auto" w:sz="4" w:space="0"/>
              <w:right w:val="nil"/>
            </w:tcBorders>
            <w:shd w:val="clear" w:color="auto" w:fill="auto"/>
            <w:noWrap/>
            <w:vAlign w:val="center"/>
          </w:tcPr>
          <w:p w14:paraId="7732E7CF">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rPr>
              <w:t>202121</w:t>
            </w:r>
            <w:r>
              <w:rPr>
                <w:rFonts w:hint="eastAsia" w:ascii="Times New Roman" w:hAnsi="Times New Roman" w:eastAsia="宋体" w:cs="等线"/>
                <w:b/>
                <w:bCs/>
                <w:color w:val="000000"/>
                <w:sz w:val="30"/>
                <w:szCs w:val="30"/>
                <w:lang w:val="en-US" w:eastAsia="zh-CN"/>
              </w:rPr>
              <w:t>2225</w:t>
            </w:r>
          </w:p>
        </w:tc>
      </w:tr>
      <w:tr w14:paraId="5106DB0F">
        <w:tblPrEx>
          <w:tblCellMar>
            <w:top w:w="0" w:type="dxa"/>
            <w:left w:w="108" w:type="dxa"/>
            <w:bottom w:w="0" w:type="dxa"/>
            <w:right w:w="108" w:type="dxa"/>
          </w:tblCellMar>
        </w:tblPrEx>
        <w:trPr>
          <w:trHeight w:val="737" w:hRule="atLeast"/>
          <w:jc w:val="center"/>
        </w:trPr>
        <w:tc>
          <w:tcPr>
            <w:tcW w:w="1770" w:type="dxa"/>
            <w:tcBorders>
              <w:top w:val="nil"/>
              <w:left w:val="nil"/>
              <w:bottom w:val="nil"/>
              <w:right w:val="nil"/>
            </w:tcBorders>
            <w:shd w:val="clear" w:color="auto" w:fill="auto"/>
            <w:noWrap/>
            <w:vAlign w:val="bottom"/>
          </w:tcPr>
          <w:p w14:paraId="0474D289">
            <w:pPr>
              <w:widowControl/>
              <w:textAlignment w:val="center"/>
              <w:rPr>
                <w:rFonts w:hint="eastAsia" w:ascii="Times New Roman" w:hAnsi="Times New Roman" w:eastAsia="宋体" w:cs="宋体"/>
                <w:b/>
                <w:bCs/>
                <w:color w:val="000000"/>
                <w:sz w:val="30"/>
                <w:szCs w:val="30"/>
              </w:rPr>
            </w:pPr>
            <w:r>
              <w:rPr>
                <w:rFonts w:hint="eastAsia" w:ascii="Times New Roman" w:hAnsi="Times New Roman" w:eastAsia="宋体" w:cs="宋体"/>
                <w:b/>
                <w:bCs/>
                <w:color w:val="000000"/>
                <w:kern w:val="0"/>
                <w:sz w:val="30"/>
                <w:szCs w:val="30"/>
                <w:lang w:bidi="ar"/>
              </w:rPr>
              <w:t xml:space="preserve">指导教师  </w:t>
            </w:r>
          </w:p>
        </w:tc>
        <w:tc>
          <w:tcPr>
            <w:tcW w:w="5017" w:type="dxa"/>
            <w:tcBorders>
              <w:top w:val="single" w:color="auto" w:sz="4" w:space="0"/>
              <w:left w:val="nil"/>
              <w:bottom w:val="single" w:color="auto" w:sz="4" w:space="0"/>
              <w:right w:val="nil"/>
            </w:tcBorders>
            <w:shd w:val="clear" w:color="auto" w:fill="auto"/>
            <w:noWrap/>
            <w:vAlign w:val="center"/>
          </w:tcPr>
          <w:p w14:paraId="10BD80E7">
            <w:pPr>
              <w:jc w:val="center"/>
              <w:rPr>
                <w:rFonts w:hint="default" w:ascii="Times New Roman" w:hAnsi="Times New Roman" w:eastAsia="宋体" w:cs="等线"/>
                <w:b/>
                <w:bCs/>
                <w:color w:val="000000"/>
                <w:sz w:val="30"/>
                <w:szCs w:val="30"/>
                <w:lang w:val="en-US" w:eastAsia="zh-CN"/>
              </w:rPr>
            </w:pPr>
            <w:r>
              <w:rPr>
                <w:rFonts w:hint="eastAsia" w:ascii="Times New Roman" w:hAnsi="Times New Roman" w:eastAsia="宋体" w:cs="等线"/>
                <w:b/>
                <w:bCs/>
                <w:color w:val="000000"/>
                <w:sz w:val="30"/>
                <w:szCs w:val="30"/>
                <w:lang w:val="en-US" w:eastAsia="zh-CN"/>
              </w:rPr>
              <w:t>黄超</w:t>
            </w:r>
          </w:p>
        </w:tc>
      </w:tr>
    </w:tbl>
    <w:p w14:paraId="419CE212">
      <w:pPr>
        <w:spacing w:line="360" w:lineRule="auto"/>
        <w:jc w:val="center"/>
        <w:rPr>
          <w:rFonts w:hint="eastAsia" w:ascii="Times New Roman" w:hAnsi="Times New Roman" w:eastAsia="宋体" w:cs="Times New Roman"/>
          <w:b/>
          <w:bCs/>
          <w:sz w:val="32"/>
          <w:szCs w:val="20"/>
        </w:rPr>
      </w:pPr>
      <w:r>
        <w:rPr>
          <w:rFonts w:hint="eastAsia" w:ascii="Times New Roman" w:hAnsi="Times New Roman" w:eastAsia="宋体" w:cs="Times New Roman"/>
          <w:b/>
          <w:bCs/>
          <w:sz w:val="32"/>
          <w:szCs w:val="20"/>
        </w:rPr>
        <w:t>二○二五年</w:t>
      </w:r>
      <w:r>
        <w:rPr>
          <w:rFonts w:hint="eastAsia" w:ascii="Times New Roman" w:hAnsi="Times New Roman" w:eastAsia="宋体" w:cs="Times New Roman"/>
          <w:b/>
          <w:bCs/>
          <w:sz w:val="32"/>
          <w:szCs w:val="20"/>
          <w:lang w:val="en-US" w:eastAsia="zh-CN"/>
        </w:rPr>
        <w:t>五</w:t>
      </w:r>
      <w:r>
        <w:rPr>
          <w:rFonts w:hint="eastAsia" w:ascii="Times New Roman" w:hAnsi="Times New Roman" w:eastAsia="宋体" w:cs="Times New Roman"/>
          <w:b/>
          <w:bCs/>
          <w:sz w:val="32"/>
          <w:szCs w:val="20"/>
        </w:rPr>
        <w:t>月</w:t>
      </w:r>
    </w:p>
    <w:p w14:paraId="7F812A4C">
      <w:pPr>
        <w:spacing w:line="360" w:lineRule="auto"/>
        <w:jc w:val="center"/>
        <w:rPr>
          <w:rFonts w:hint="eastAsia" w:ascii="Times New Roman" w:hAnsi="Times New Roman" w:eastAsia="宋体" w:cs="Times New Roman"/>
          <w:b/>
          <w:bCs/>
          <w:sz w:val="32"/>
          <w:szCs w:val="20"/>
        </w:rPr>
      </w:pPr>
    </w:p>
    <w:p w14:paraId="77B233CA">
      <w:pPr>
        <w:pStyle w:val="7"/>
        <w:keepNext w:val="0"/>
        <w:keepLines w:val="0"/>
        <w:widowControl/>
        <w:suppressLineNumbers w:val="0"/>
        <w:spacing w:before="0" w:beforeAutospacing="0" w:after="120" w:afterAutospacing="0" w:line="18" w:lineRule="atLeast"/>
        <w:ind w:left="0" w:right="0"/>
        <w:jc w:val="center"/>
      </w:pPr>
      <w:r>
        <w:rPr>
          <w:rFonts w:ascii="华文新魏" w:hAnsi="华文新魏" w:eastAsia="华文新魏" w:cs="华文新魏"/>
          <w:b/>
          <w:bCs/>
          <w:i w:val="0"/>
          <w:iCs w:val="0"/>
          <w:color w:val="000000"/>
          <w:spacing w:val="0"/>
          <w:w w:val="100"/>
          <w:sz w:val="36"/>
          <w:szCs w:val="36"/>
          <w:vertAlign w:val="baseline"/>
        </w:rPr>
        <w:t>华中师范大学</w:t>
      </w:r>
    </w:p>
    <w:p w14:paraId="35B74014">
      <w:pPr>
        <w:pStyle w:val="7"/>
        <w:keepNext w:val="0"/>
        <w:keepLines w:val="0"/>
        <w:widowControl/>
        <w:suppressLineNumbers w:val="0"/>
        <w:spacing w:before="0" w:beforeAutospacing="0" w:after="120" w:afterAutospacing="0" w:line="18" w:lineRule="atLeast"/>
        <w:ind w:left="0" w:right="0"/>
        <w:jc w:val="center"/>
      </w:pPr>
      <w:r>
        <w:rPr>
          <w:rFonts w:hint="eastAsia" w:ascii="华文新魏" w:hAnsi="华文新魏" w:eastAsia="华文新魏" w:cs="华文新魏"/>
          <w:b/>
          <w:bCs/>
          <w:i w:val="0"/>
          <w:iCs w:val="0"/>
          <w:color w:val="000000"/>
          <w:spacing w:val="0"/>
          <w:w w:val="100"/>
          <w:sz w:val="36"/>
          <w:szCs w:val="36"/>
          <w:vertAlign w:val="baseline"/>
        </w:rPr>
        <w:t>学位论文原创性声明</w:t>
      </w:r>
    </w:p>
    <w:p w14:paraId="45E45336">
      <w:pPr>
        <w:pStyle w:val="7"/>
        <w:keepNext w:val="0"/>
        <w:keepLines w:val="0"/>
        <w:widowControl/>
        <w:suppressLineNumbers w:val="0"/>
        <w:spacing w:before="0" w:beforeAutospacing="0" w:after="120" w:afterAutospacing="0" w:line="18" w:lineRule="atLeast"/>
        <w:ind w:left="0" w:right="0"/>
        <w:jc w:val="center"/>
      </w:pPr>
      <w:r>
        <w:rPr>
          <w:rFonts w:ascii="楷体" w:hAnsi="楷体" w:eastAsia="楷体" w:cs="楷体"/>
          <w:b/>
          <w:bCs/>
          <w:i w:val="0"/>
          <w:iCs w:val="0"/>
          <w:color w:val="000000"/>
          <w:spacing w:val="0"/>
          <w:w w:val="100"/>
          <w:sz w:val="32"/>
          <w:szCs w:val="32"/>
          <w:vertAlign w:val="baseline"/>
          <w:lang w:val="en-US"/>
        </w:rPr>
        <w:t> </w:t>
      </w:r>
    </w:p>
    <w:p w14:paraId="56D18E4F">
      <w:pPr>
        <w:pStyle w:val="7"/>
        <w:keepNext w:val="0"/>
        <w:keepLines w:val="0"/>
        <w:widowControl/>
        <w:suppressLineNumbers w:val="0"/>
        <w:spacing w:before="0" w:beforeAutospacing="0" w:after="0" w:afterAutospacing="0" w:line="18" w:lineRule="atLeast"/>
        <w:ind w:left="0" w:right="0" w:firstLine="420"/>
        <w:jc w:val="center"/>
      </w:pPr>
      <w:r>
        <w:rPr>
          <w:rFonts w:ascii="方正书宋_GBK" w:hAnsi="方正书宋_GBK" w:eastAsia="方正书宋_GBK" w:cs="方正书宋_GBK"/>
          <w:b w:val="0"/>
          <w:bCs w:val="0"/>
          <w:i w:val="0"/>
          <w:iCs w:val="0"/>
          <w:color w:val="000000"/>
          <w:spacing w:val="0"/>
          <w:w w:val="100"/>
          <w:sz w:val="24"/>
          <w:szCs w:val="24"/>
          <w:vertAlign w:val="baseline"/>
        </w:rPr>
        <w:t>本人郑重声明：所呈交的学位论文是本人在导师指导下独立进行研究工作所取得的研究成果。除了文中特别加以标注引用的内容外，本论文不包含任何其他个人或集体已经发表或撰写的成果作品。本人完全意识到本声明的法律后果由本人承担。</w:t>
      </w:r>
    </w:p>
    <w:p w14:paraId="560B3386">
      <w:pPr>
        <w:pStyle w:val="7"/>
        <w:keepNext w:val="0"/>
        <w:keepLines w:val="0"/>
        <w:widowControl/>
        <w:suppressLineNumbers w:val="0"/>
        <w:spacing w:before="0" w:beforeAutospacing="0" w:after="0" w:afterAutospacing="0" w:line="18" w:lineRule="atLeast"/>
        <w:ind w:left="0" w:right="0" w:firstLine="570"/>
        <w:jc w:val="center"/>
      </w:pPr>
      <w:r>
        <w:rPr>
          <w:rFonts w:ascii="仿宋" w:hAnsi="仿宋" w:eastAsia="仿宋" w:cs="仿宋"/>
          <w:b w:val="0"/>
          <w:bCs w:val="0"/>
          <w:i w:val="0"/>
          <w:iCs w:val="0"/>
          <w:color w:val="000000"/>
          <w:spacing w:val="0"/>
          <w:w w:val="100"/>
          <w:sz w:val="24"/>
          <w:szCs w:val="24"/>
          <w:vertAlign w:val="baseline"/>
        </w:rPr>
        <w:t>学位论文作者签名： 日期： 年 月 日</w:t>
      </w:r>
    </w:p>
    <w:p w14:paraId="28A9AF93">
      <w:pPr>
        <w:pStyle w:val="7"/>
        <w:keepNext w:val="0"/>
        <w:keepLines w:val="0"/>
        <w:widowControl/>
        <w:suppressLineNumbers w:val="0"/>
        <w:spacing w:before="0" w:beforeAutospacing="0" w:after="240" w:afterAutospacing="0" w:line="18" w:lineRule="atLeast"/>
        <w:ind w:left="0" w:right="0" w:firstLine="570"/>
        <w:jc w:val="center"/>
      </w:pPr>
      <w:r>
        <w:rPr>
          <w:rFonts w:hint="eastAsia" w:ascii="宋体" w:hAnsi="宋体" w:eastAsia="宋体" w:cs="宋体"/>
          <w:b w:val="0"/>
          <w:bCs w:val="0"/>
          <w:i w:val="0"/>
          <w:iCs w:val="0"/>
          <w:color w:val="000000"/>
          <w:spacing w:val="0"/>
          <w:w w:val="100"/>
          <w:sz w:val="18"/>
          <w:szCs w:val="18"/>
          <w:vertAlign w:val="baseline"/>
          <w:lang w:val="en-US"/>
        </w:rPr>
        <w:t> </w:t>
      </w:r>
    </w:p>
    <w:p w14:paraId="04C9D5D3">
      <w:pPr>
        <w:pStyle w:val="7"/>
        <w:keepNext w:val="0"/>
        <w:keepLines w:val="0"/>
        <w:widowControl/>
        <w:suppressLineNumbers w:val="0"/>
        <w:spacing w:before="0" w:beforeAutospacing="0" w:after="240" w:afterAutospacing="0" w:line="18" w:lineRule="atLeast"/>
        <w:ind w:left="0" w:right="0" w:firstLine="1840"/>
        <w:jc w:val="both"/>
      </w:pPr>
      <w:r>
        <w:rPr>
          <w:rFonts w:hint="eastAsia" w:ascii="楷体" w:hAnsi="楷体" w:eastAsia="楷体" w:cs="楷体"/>
          <w:b/>
          <w:bCs/>
          <w:i w:val="0"/>
          <w:iCs w:val="0"/>
          <w:color w:val="000000"/>
          <w:spacing w:val="0"/>
          <w:w w:val="100"/>
          <w:sz w:val="32"/>
          <w:szCs w:val="32"/>
          <w:vertAlign w:val="baseline"/>
        </w:rPr>
        <w:t>学位论文版权使用授权书</w:t>
      </w:r>
    </w:p>
    <w:p w14:paraId="78A24892">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作者完全了解学校有关保障、使用学位论文的规定，同意学校保留并向有关学位论文管理部门或机构送交论文的复印件和电子版，允许论文被查阅和借阅。本人授权省级优秀学士学位论文评选机构将本学位论文的全部或部分内容编入有关数据库进行检索，可以采用影印、缩印或扫描等复制手段保存和汇编本学位论文。</w:t>
      </w:r>
    </w:p>
    <w:p w14:paraId="64F1475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lang w:val="en-US"/>
        </w:rPr>
        <w:t> </w:t>
      </w:r>
    </w:p>
    <w:p w14:paraId="291F799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本学位论文属于</w:t>
      </w:r>
    </w:p>
    <w:p w14:paraId="2B2425D9">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1、保密 □ ，在_____年解密后适用本授权书。</w:t>
      </w:r>
    </w:p>
    <w:p w14:paraId="3B20ED16">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2、不保密 □。</w:t>
      </w:r>
    </w:p>
    <w:p w14:paraId="5216E8AE">
      <w:pPr>
        <w:pStyle w:val="7"/>
        <w:keepNext w:val="0"/>
        <w:keepLines w:val="0"/>
        <w:widowControl/>
        <w:suppressLineNumbers w:val="0"/>
        <w:spacing w:before="0" w:beforeAutospacing="0" w:after="240" w:afterAutospacing="0" w:line="18" w:lineRule="atLeast"/>
        <w:ind w:left="0" w:right="0" w:firstLine="420"/>
        <w:jc w:val="both"/>
      </w:pPr>
      <w:r>
        <w:rPr>
          <w:rFonts w:hint="eastAsia" w:ascii="宋体" w:hAnsi="宋体" w:eastAsia="宋体" w:cs="宋体"/>
          <w:b w:val="0"/>
          <w:bCs w:val="0"/>
          <w:i w:val="0"/>
          <w:iCs w:val="0"/>
          <w:color w:val="000000"/>
          <w:spacing w:val="0"/>
          <w:w w:val="100"/>
          <w:sz w:val="24"/>
          <w:szCs w:val="24"/>
          <w:vertAlign w:val="baseline"/>
        </w:rPr>
        <w:t>（请在以上相应方框内打“√”）</w:t>
      </w:r>
    </w:p>
    <w:p w14:paraId="41F5AC48">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学位论文作者签名： 日期： 年 月 日</w:t>
      </w:r>
    </w:p>
    <w:p w14:paraId="20293823">
      <w:pPr>
        <w:pStyle w:val="7"/>
        <w:keepNext w:val="0"/>
        <w:keepLines w:val="0"/>
        <w:widowControl/>
        <w:suppressLineNumbers w:val="0"/>
        <w:spacing w:before="0" w:beforeAutospacing="0" w:after="240" w:afterAutospacing="0" w:line="18" w:lineRule="atLeast"/>
        <w:ind w:left="0" w:right="0" w:firstLine="420"/>
        <w:jc w:val="both"/>
      </w:pPr>
      <w:r>
        <w:rPr>
          <w:rFonts w:hint="eastAsia" w:ascii="仿宋" w:hAnsi="仿宋" w:eastAsia="仿宋" w:cs="仿宋"/>
          <w:b w:val="0"/>
          <w:bCs w:val="0"/>
          <w:i w:val="0"/>
          <w:iCs w:val="0"/>
          <w:color w:val="000000"/>
          <w:spacing w:val="0"/>
          <w:w w:val="100"/>
          <w:sz w:val="24"/>
          <w:szCs w:val="24"/>
          <w:vertAlign w:val="baseline"/>
        </w:rPr>
        <w:t>导师签名： 日期： 年 月 日</w:t>
      </w:r>
    </w:p>
    <w:p w14:paraId="4106A8CA">
      <w:pPr>
        <w:spacing w:line="360" w:lineRule="auto"/>
        <w:jc w:val="center"/>
        <w:rPr>
          <w:rFonts w:hint="eastAsia" w:ascii="Times New Roman" w:hAnsi="Times New Roman" w:eastAsia="宋体" w:cs="Times New Roman"/>
          <w:b/>
          <w:bCs/>
          <w:sz w:val="32"/>
          <w:szCs w:val="20"/>
        </w:rPr>
      </w:pPr>
    </w:p>
    <w:p w14:paraId="3A99A4BB">
      <w:pPr>
        <w:spacing w:line="360" w:lineRule="auto"/>
        <w:rPr>
          <w:rFonts w:ascii="Times New Roman" w:hAnsi="Times New Roman" w:eastAsia="宋体"/>
          <w:b/>
          <w:bCs/>
          <w:sz w:val="30"/>
        </w:rPr>
        <w:sectPr>
          <w:headerReference r:id="rId3" w:type="default"/>
          <w:footerReference r:id="rId5" w:type="default"/>
          <w:headerReference r:id="rId4" w:type="even"/>
          <w:footerReference r:id="rId6" w:type="even"/>
          <w:pgSz w:w="11906" w:h="16838"/>
          <w:pgMar w:top="1701" w:right="1418" w:bottom="1418" w:left="1701" w:header="851" w:footer="992" w:gutter="0"/>
          <w:pgNumType w:start="1"/>
          <w:cols w:space="720" w:num="1"/>
          <w:docGrid w:type="lines" w:linePitch="312" w:charSpace="0"/>
        </w:sectPr>
      </w:pPr>
      <w:r>
        <w:rPr>
          <w:rFonts w:ascii="Times New Roman" w:hAnsi="Times New Roman" w:eastAsia="宋体" w:cs="Times New Roman"/>
          <w:szCs w:val="20"/>
        </w:rPr>
        <mc:AlternateContent>
          <mc:Choice Requires="wps">
            <w:drawing>
              <wp:anchor distT="0" distB="0" distL="114300" distR="114300" simplePos="0" relativeHeight="251660288" behindDoc="0" locked="1" layoutInCell="1" allowOverlap="1">
                <wp:simplePos x="0" y="0"/>
                <wp:positionH relativeFrom="margin">
                  <wp:posOffset>2352675</wp:posOffset>
                </wp:positionH>
                <wp:positionV relativeFrom="margin">
                  <wp:posOffset>8768080</wp:posOffset>
                </wp:positionV>
                <wp:extent cx="1066800" cy="594360"/>
                <wp:effectExtent l="0" t="0" r="0" b="0"/>
                <wp:wrapNone/>
                <wp:docPr id="5" name="文本框 67"/>
                <wp:cNvGraphicFramePr/>
                <a:graphic xmlns:a="http://schemas.openxmlformats.org/drawingml/2006/main">
                  <a:graphicData uri="http://schemas.microsoft.com/office/word/2010/wordprocessingShape">
                    <wps:wsp>
                      <wps:cNvSpPr txBox="1"/>
                      <wps:spPr>
                        <a:xfrm>
                          <a:off x="0" y="0"/>
                          <a:ext cx="1066800" cy="594360"/>
                        </a:xfrm>
                        <a:prstGeom prst="rect">
                          <a:avLst/>
                        </a:prstGeom>
                        <a:solidFill>
                          <a:srgbClr val="FFFFFF"/>
                        </a:solidFill>
                        <a:ln>
                          <a:noFill/>
                        </a:ln>
                      </wps:spPr>
                      <wps:txbx>
                        <w:txbxContent>
                          <w:p w14:paraId="5A6D77B0">
                            <w:pPr>
                              <w:rPr>
                                <w:rFonts w:ascii="Times New Roman" w:hAnsi="Times New Roman" w:eastAsia="宋体" w:cs="Times New Roman"/>
                                <w:szCs w:val="20"/>
                              </w:rPr>
                            </w:pPr>
                          </w:p>
                        </w:txbxContent>
                      </wps:txbx>
                      <wps:bodyPr wrap="square" upright="1"/>
                    </wps:wsp>
                  </a:graphicData>
                </a:graphic>
              </wp:anchor>
            </w:drawing>
          </mc:Choice>
          <mc:Fallback>
            <w:pict>
              <v:shape id="文本框 67" o:spid="_x0000_s1026" o:spt="202" type="#_x0000_t202" style="position:absolute;left:0pt;margin-left:185.25pt;margin-top:690.4pt;height:46.8pt;width:84pt;mso-position-horizontal-relative:margin;mso-position-vertical-relative:margin;z-index:251660288;mso-width-relative:page;mso-height-relative:page;" fillcolor="#FFFFFF" filled="t" stroked="f" coordsize="21600,21600" o:gfxdata="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B6nrpj2QAAAA0BAAAPAAAAAAAAAAEAIAAAACIAAABk&#10;cnMvZG93bnJldi54bWxQSwECFAAUAAAACACHTuJAVBaub8wBAACGAwAADgAAAAAAAAABACAAAAAo&#10;AQAAZHJzL2Uyb0RvYy54bWxQSwUGAAAAAAYABgBZAQAAZgUAAAAA&#10;">
                <v:fill on="t" focussize="0,0"/>
                <v:stroke on="f"/>
                <v:imagedata o:title=""/>
                <o:lock v:ext="edit" aspectratio="f"/>
                <v:textbox>
                  <w:txbxContent>
                    <w:p w14:paraId="5A6D77B0">
                      <w:pPr>
                        <w:rPr>
                          <w:rFonts w:ascii="Times New Roman" w:hAnsi="Times New Roman" w:eastAsia="宋体" w:cs="Times New Roman"/>
                          <w:szCs w:val="20"/>
                        </w:rPr>
                      </w:pPr>
                    </w:p>
                  </w:txbxContent>
                </v:textbox>
                <w10:anchorlock/>
              </v:shape>
            </w:pict>
          </mc:Fallback>
        </mc:AlternateContent>
      </w:r>
    </w:p>
    <w:sdt>
      <w:sdtPr>
        <w:rPr>
          <w:rFonts w:ascii="宋体" w:hAnsi="宋体" w:eastAsia="宋体" w:cstheme="minorBidi"/>
          <w:kern w:val="2"/>
          <w:sz w:val="21"/>
          <w:szCs w:val="24"/>
          <w:lang w:val="en-US" w:eastAsia="zh-CN" w:bidi="ar-SA"/>
        </w:rPr>
        <w:id w:val="147479153"/>
        <w15:color w:val="DBDBDB"/>
        <w:docPartObj>
          <w:docPartGallery w:val="Table of Contents"/>
          <w:docPartUnique/>
        </w:docPartObj>
      </w:sdtPr>
      <w:sdtEndPr>
        <w:rPr>
          <w:rFonts w:hint="eastAsia" w:ascii="Times New Roman" w:hAnsi="Times New Roman" w:eastAsia="宋体" w:cs="Times New Roman"/>
          <w:kern w:val="2"/>
          <w:sz w:val="21"/>
          <w:szCs w:val="20"/>
          <w:lang w:val="en-US" w:eastAsia="zh-CN" w:bidi="ar-SA"/>
        </w:rPr>
      </w:sdtEndPr>
      <w:sdtContent>
        <w:p w14:paraId="59279860">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pPr>
          <w:r>
            <w:rPr>
              <w:rFonts w:ascii="宋体" w:hAnsi="宋体" w:eastAsia="宋体"/>
              <w:b/>
              <w:bCs/>
              <w:sz w:val="36"/>
              <w:szCs w:val="36"/>
            </w:rPr>
            <w:t>目录</w:t>
          </w:r>
        </w:p>
        <w:p w14:paraId="0CCAE9A9">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 w:val="21"/>
              <w:szCs w:val="20"/>
              <w:lang w:val="en-US" w:eastAsia="zh-CN" w:bidi="ar-SA"/>
            </w:rPr>
            <w:fldChar w:fldCharType="begin"/>
          </w:r>
          <w:r>
            <w:rPr>
              <w:rFonts w:hint="eastAsia" w:ascii="Times New Roman" w:hAnsi="Times New Roman" w:eastAsia="宋体" w:cs="Times New Roman"/>
              <w:kern w:val="2"/>
              <w:sz w:val="21"/>
              <w:szCs w:val="20"/>
              <w:lang w:val="en-US" w:eastAsia="zh-CN" w:bidi="ar-SA"/>
            </w:rPr>
            <w:instrText xml:space="preserve">TOC \o "1-3" \h \u </w:instrText>
          </w:r>
          <w:r>
            <w:rPr>
              <w:rFonts w:hint="eastAsia" w:ascii="Times New Roman" w:hAnsi="Times New Roman" w:eastAsia="宋体" w:cs="Times New Roman"/>
              <w:kern w:val="2"/>
              <w:sz w:val="21"/>
              <w:szCs w:val="20"/>
              <w:lang w:val="en-US" w:eastAsia="zh-CN" w:bidi="ar-SA"/>
            </w:rPr>
            <w:fldChar w:fldCharType="separate"/>
          </w: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_Toc10906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rPr>
            <w:t>一、</w:t>
          </w:r>
          <w:r>
            <w:rPr>
              <w:rFonts w:hint="eastAsia" w:ascii="Times New Roman" w:hAnsi="Times New Roman" w:eastAsia="宋体" w:cs="宋体"/>
              <w:bCs/>
              <w:szCs w:val="30"/>
              <w:lang w:val="en-US" w:eastAsia="zh-CN"/>
            </w:rPr>
            <w:t>引言</w:t>
          </w:r>
          <w:r>
            <w:tab/>
          </w:r>
          <w:r>
            <w:fldChar w:fldCharType="begin"/>
          </w:r>
          <w:r>
            <w:instrText xml:space="preserve"> PAGEREF _Toc10906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57F0D79F">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_Toc26836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rPr>
            <w:t>1.1</w:t>
          </w:r>
          <w:r>
            <w:rPr>
              <w:rFonts w:hint="eastAsia" w:ascii="Times New Roman" w:hAnsi="Times New Roman" w:eastAsia="宋体" w:cs="宋体"/>
              <w:bCs/>
              <w:szCs w:val="28"/>
              <w:lang w:val="en-US" w:eastAsia="zh-CN"/>
            </w:rPr>
            <w:t>研究背景</w:t>
          </w:r>
          <w:r>
            <w:tab/>
          </w:r>
          <w:r>
            <w:fldChar w:fldCharType="begin"/>
          </w:r>
          <w:r>
            <w:instrText xml:space="preserve"> PAGEREF _Toc26836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436A3201">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_Toc26888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1</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研究意义</w:t>
          </w:r>
          <w:r>
            <w:tab/>
          </w:r>
          <w:r>
            <w:fldChar w:fldCharType="begin"/>
          </w:r>
          <w:r>
            <w:instrText xml:space="preserve"> PAGEREF _Toc26888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349ABCD1">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_Toc10350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1</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2</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1驱动精准化政策制定</w:t>
          </w:r>
          <w:r>
            <w:tab/>
          </w:r>
          <w:r>
            <w:fldChar w:fldCharType="begin"/>
          </w:r>
          <w:r>
            <w:instrText xml:space="preserve"> PAGEREF _Toc10350 \h </w:instrText>
          </w:r>
          <w:r>
            <w:fldChar w:fldCharType="separate"/>
          </w:r>
          <w:r>
            <w:t>3</w:t>
          </w:r>
          <w:r>
            <w:fldChar w:fldCharType="end"/>
          </w:r>
          <w:r>
            <w:rPr>
              <w:rFonts w:hint="eastAsia" w:ascii="Times New Roman" w:hAnsi="Times New Roman" w:eastAsia="宋体" w:cs="Times New Roman"/>
              <w:kern w:val="2"/>
              <w:szCs w:val="20"/>
              <w:lang w:val="en-US" w:eastAsia="zh-CN" w:bidi="ar-SA"/>
            </w:rPr>
            <w:fldChar w:fldCharType="end"/>
          </w:r>
        </w:p>
        <w:p w14:paraId="00536B64">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_Toc6181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1.2.</w:t>
          </w:r>
          <w:r>
            <w:rPr>
              <w:rFonts w:hint="eastAsia" w:ascii="Times New Roman" w:hAnsi="Times New Roman" w:cs="Times New Roman"/>
              <w:bCs/>
              <w:szCs w:val="24"/>
              <w:lang w:val="en-US" w:eastAsia="zh-CN"/>
            </w:rPr>
            <w:t>2</w:t>
          </w:r>
          <w:r>
            <w:rPr>
              <w:rFonts w:hint="eastAsia"/>
              <w:bCs/>
              <w:szCs w:val="24"/>
            </w:rPr>
            <w:t>促进人力资源优化配置</w:t>
          </w:r>
          <w:r>
            <w:tab/>
          </w:r>
          <w:r>
            <w:fldChar w:fldCharType="begin"/>
          </w:r>
          <w:r>
            <w:instrText xml:space="preserve"> PAGEREF _Toc6181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3B55B836">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_Toc13691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1</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2</w:t>
          </w:r>
          <w:r>
            <w:rPr>
              <w:rFonts w:hint="eastAsia" w:ascii="Times New Roman" w:hAnsi="Times New Roman" w:eastAsia="宋体" w:cs="宋体"/>
              <w:bCs/>
              <w:szCs w:val="24"/>
            </w:rPr>
            <w:t>.</w:t>
          </w:r>
          <w:r>
            <w:rPr>
              <w:rFonts w:hint="eastAsia" w:ascii="Times New Roman" w:hAnsi="Times New Roman" w:eastAsia="宋体" w:cs="宋体"/>
              <w:bCs/>
              <w:szCs w:val="24"/>
              <w:lang w:val="en-US" w:eastAsia="zh-CN"/>
            </w:rPr>
            <w:t>3为实现大学毕业生充分就业提供依据</w:t>
          </w:r>
          <w:r>
            <w:tab/>
          </w:r>
          <w:r>
            <w:fldChar w:fldCharType="begin"/>
          </w:r>
          <w:r>
            <w:instrText xml:space="preserve"> PAGEREF _Toc13691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4BF34D8A">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_Toc30079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3文献综述</w:t>
          </w:r>
          <w:r>
            <w:tab/>
          </w:r>
          <w:r>
            <w:fldChar w:fldCharType="begin"/>
          </w:r>
          <w:r>
            <w:instrText xml:space="preserve"> PAGEREF _Toc30079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6554A1FF">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_Toc5392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eastAsia="宋体" w:cs="Times New Roman"/>
              <w:bCs/>
              <w:i w:val="0"/>
              <w:iCs w:val="0"/>
              <w:caps w:val="0"/>
              <w:spacing w:val="0"/>
              <w:kern w:val="0"/>
              <w:szCs w:val="24"/>
              <w:shd w:val="clear" w:fill="FFFFFF"/>
              <w:lang w:val="en-US" w:eastAsia="zh-CN" w:bidi="ar"/>
            </w:rPr>
            <w:t>1.3.1</w:t>
          </w:r>
          <w:r>
            <w:rPr>
              <w:rFonts w:hint="eastAsia" w:ascii="宋体" w:hAnsi="宋体" w:eastAsia="宋体" w:cs="宋体"/>
              <w:bCs/>
              <w:i w:val="0"/>
              <w:iCs w:val="0"/>
              <w:caps w:val="0"/>
              <w:spacing w:val="0"/>
              <w:kern w:val="0"/>
              <w:szCs w:val="24"/>
              <w:shd w:val="clear" w:fill="FFFFFF"/>
              <w:lang w:val="en-US" w:eastAsia="zh-CN" w:bidi="ar"/>
            </w:rPr>
            <w:t>国内相关研究状况</w:t>
          </w:r>
          <w:r>
            <w:tab/>
          </w:r>
          <w:r>
            <w:fldChar w:fldCharType="begin"/>
          </w:r>
          <w:r>
            <w:instrText xml:space="preserve"> PAGEREF _Toc5392 \h </w:instrText>
          </w:r>
          <w:r>
            <w:fldChar w:fldCharType="separate"/>
          </w:r>
          <w:r>
            <w:t>4</w:t>
          </w:r>
          <w:r>
            <w:fldChar w:fldCharType="end"/>
          </w:r>
          <w:r>
            <w:rPr>
              <w:rFonts w:hint="eastAsia" w:ascii="Times New Roman" w:hAnsi="Times New Roman" w:eastAsia="宋体" w:cs="Times New Roman"/>
              <w:kern w:val="2"/>
              <w:szCs w:val="20"/>
              <w:lang w:val="en-US" w:eastAsia="zh-CN" w:bidi="ar-SA"/>
            </w:rPr>
            <w:fldChar w:fldCharType="end"/>
          </w:r>
        </w:p>
        <w:p w14:paraId="692CF3F4">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_Toc24691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1.3.2</w:t>
          </w:r>
          <w:r>
            <w:rPr>
              <w:rFonts w:hint="eastAsia"/>
              <w:bCs/>
              <w:szCs w:val="24"/>
            </w:rPr>
            <w:t>国外相关研究状况</w:t>
          </w:r>
          <w:r>
            <w:tab/>
          </w:r>
          <w:r>
            <w:fldChar w:fldCharType="begin"/>
          </w:r>
          <w:r>
            <w:instrText xml:space="preserve"> PAGEREF _Toc24691 \h </w:instrText>
          </w:r>
          <w:r>
            <w:fldChar w:fldCharType="separate"/>
          </w:r>
          <w:r>
            <w:t>5</w:t>
          </w:r>
          <w:r>
            <w:fldChar w:fldCharType="end"/>
          </w:r>
          <w:r>
            <w:rPr>
              <w:rFonts w:hint="eastAsia" w:ascii="Times New Roman" w:hAnsi="Times New Roman" w:eastAsia="宋体" w:cs="Times New Roman"/>
              <w:kern w:val="2"/>
              <w:szCs w:val="20"/>
              <w:lang w:val="en-US" w:eastAsia="zh-CN" w:bidi="ar-SA"/>
            </w:rPr>
            <w:fldChar w:fldCharType="end"/>
          </w:r>
        </w:p>
        <w:p w14:paraId="37F2F5CC">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_Toc25908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二</w:t>
          </w:r>
          <w:r>
            <w:rPr>
              <w:rFonts w:hint="eastAsia" w:ascii="Times New Roman" w:hAnsi="Times New Roman" w:eastAsia="宋体" w:cs="宋体"/>
              <w:bCs/>
              <w:szCs w:val="30"/>
            </w:rPr>
            <w:t>、</w:t>
          </w:r>
          <w:r>
            <w:rPr>
              <w:rFonts w:hint="eastAsia" w:ascii="Times New Roman" w:hAnsi="Times New Roman" w:eastAsia="宋体" w:cs="宋体"/>
              <w:bCs/>
              <w:szCs w:val="30"/>
              <w:lang w:val="en-US" w:eastAsia="zh-CN"/>
            </w:rPr>
            <w:t>统计原理与方法</w:t>
          </w:r>
          <w:r>
            <w:tab/>
          </w:r>
          <w:r>
            <w:fldChar w:fldCharType="begin"/>
          </w:r>
          <w:r>
            <w:instrText xml:space="preserve"> PAGEREF _Toc25908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237B02BB">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_Toc12963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描述性统计</w:t>
          </w:r>
          <w:r>
            <w:tab/>
          </w:r>
          <w:r>
            <w:fldChar w:fldCharType="begin"/>
          </w:r>
          <w:r>
            <w:instrText xml:space="preserve"> PAGEREF _Toc12963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4D375C71">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_Toc17899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2</w:t>
          </w:r>
          <w:r>
            <w:rPr>
              <w:rFonts w:hint="eastAsia" w:ascii="Times New Roman" w:hAnsi="Times New Roman" w:eastAsia="宋体" w:cs="宋体"/>
              <w:bCs/>
              <w:szCs w:val="28"/>
            </w:rPr>
            <w:t>.</w:t>
          </w:r>
          <w:r>
            <w:rPr>
              <w:rFonts w:hint="eastAsia" w:ascii="Times New Roman" w:hAnsi="Times New Roman" w:eastAsia="宋体" w:cs="宋体"/>
              <w:bCs/>
              <w:szCs w:val="28"/>
              <w:lang w:val="en-US" w:eastAsia="zh-CN"/>
            </w:rPr>
            <w:t>2单因素分析</w:t>
          </w:r>
          <w:r>
            <w:tab/>
          </w:r>
          <w:r>
            <w:fldChar w:fldCharType="begin"/>
          </w:r>
          <w:r>
            <w:instrText xml:space="preserve"> PAGEREF _Toc17899 \h </w:instrText>
          </w:r>
          <w:r>
            <w:fldChar w:fldCharType="separate"/>
          </w:r>
          <w:r>
            <w:t>6</w:t>
          </w:r>
          <w:r>
            <w:fldChar w:fldCharType="end"/>
          </w:r>
          <w:r>
            <w:rPr>
              <w:rFonts w:hint="eastAsia" w:ascii="Times New Roman" w:hAnsi="Times New Roman" w:eastAsia="宋体" w:cs="Times New Roman"/>
              <w:kern w:val="2"/>
              <w:szCs w:val="20"/>
              <w:lang w:val="en-US" w:eastAsia="zh-CN" w:bidi="ar-SA"/>
            </w:rPr>
            <w:fldChar w:fldCharType="end"/>
          </w:r>
        </w:p>
        <w:p w14:paraId="022BB4CE">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_Toc11592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8"/>
            </w:rPr>
            <w:t>2.3</w:t>
          </w:r>
          <w:r>
            <w:rPr>
              <w:rFonts w:hint="eastAsia" w:ascii="Times New Roman" w:hAnsi="Times New Roman" w:cs="Times New Roman"/>
              <w:bCs/>
              <w:szCs w:val="28"/>
              <w:lang w:val="en-US" w:eastAsia="zh-CN"/>
            </w:rPr>
            <w:t>二元</w:t>
          </w:r>
          <w:r>
            <w:rPr>
              <w:rFonts w:hint="default" w:ascii="Times New Roman" w:hAnsi="Times New Roman" w:cs="Times New Roman"/>
              <w:bCs/>
              <w:szCs w:val="28"/>
            </w:rPr>
            <w:t>Logistic</w:t>
          </w:r>
          <w:r>
            <w:rPr>
              <w:rFonts w:hint="eastAsia"/>
              <w:bCs/>
              <w:szCs w:val="28"/>
            </w:rPr>
            <w:t>回归分析</w:t>
          </w:r>
          <w:r>
            <w:tab/>
          </w:r>
          <w:r>
            <w:fldChar w:fldCharType="begin"/>
          </w:r>
          <w:r>
            <w:instrText xml:space="preserve"> PAGEREF _Toc11592 \h </w:instrText>
          </w:r>
          <w:r>
            <w:fldChar w:fldCharType="separate"/>
          </w:r>
          <w:r>
            <w:t>7</w:t>
          </w:r>
          <w:r>
            <w:fldChar w:fldCharType="end"/>
          </w:r>
          <w:r>
            <w:rPr>
              <w:rFonts w:hint="eastAsia" w:ascii="Times New Roman" w:hAnsi="Times New Roman" w:eastAsia="宋体" w:cs="Times New Roman"/>
              <w:kern w:val="2"/>
              <w:szCs w:val="20"/>
              <w:lang w:val="en-US" w:eastAsia="zh-CN" w:bidi="ar-SA"/>
            </w:rPr>
            <w:fldChar w:fldCharType="end"/>
          </w:r>
        </w:p>
        <w:p w14:paraId="1EC6B324">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_Toc6086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 xml:space="preserve">三、 </w:t>
          </w:r>
          <w:r>
            <w:rPr>
              <w:rFonts w:hint="eastAsia" w:ascii="宋体" w:hAnsi="宋体" w:eastAsia="宋体" w:cs="宋体"/>
              <w:bCs/>
              <w:i w:val="0"/>
              <w:iCs w:val="0"/>
              <w:caps w:val="0"/>
              <w:spacing w:val="0"/>
              <w:kern w:val="2"/>
              <w:szCs w:val="30"/>
              <w:vertAlign w:val="baseline"/>
              <w:lang w:val="en-US" w:eastAsia="zh-CN" w:bidi="ar-SA"/>
            </w:rPr>
            <w:t>指标体系建构</w:t>
          </w:r>
          <w:r>
            <w:tab/>
          </w:r>
          <w:r>
            <w:fldChar w:fldCharType="begin"/>
          </w:r>
          <w:r>
            <w:instrText xml:space="preserve"> PAGEREF _Toc6086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5F97C06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_Toc10747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.1</w:t>
          </w:r>
          <w:r>
            <w:rPr>
              <w:rFonts w:hint="eastAsia" w:ascii="Times New Roman" w:hAnsi="Times New Roman" w:eastAsia="宋体" w:cs="宋体"/>
              <w:bCs/>
              <w:szCs w:val="28"/>
              <w:lang w:val="en-US" w:eastAsia="zh-CN"/>
            </w:rPr>
            <w:t>数据来源</w:t>
          </w:r>
          <w:r>
            <w:tab/>
          </w:r>
          <w:r>
            <w:fldChar w:fldCharType="begin"/>
          </w:r>
          <w:r>
            <w:instrText xml:space="preserve"> PAGEREF _Toc10747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4DC82D68">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_Toc9217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rPr>
            <w:t>3.1.1</w:t>
          </w:r>
          <w:r>
            <w:rPr>
              <w:rFonts w:hint="eastAsia" w:ascii="Times New Roman" w:hAnsi="Times New Roman" w:eastAsia="宋体" w:cs="宋体"/>
              <w:bCs/>
              <w:szCs w:val="24"/>
              <w:lang w:val="en-US" w:eastAsia="zh-CN"/>
            </w:rPr>
            <w:t>样本范围</w:t>
          </w:r>
          <w:r>
            <w:tab/>
          </w:r>
          <w:r>
            <w:fldChar w:fldCharType="begin"/>
          </w:r>
          <w:r>
            <w:instrText xml:space="preserve"> PAGEREF _Toc9217 \h </w:instrText>
          </w:r>
          <w:r>
            <w:fldChar w:fldCharType="separate"/>
          </w:r>
          <w:r>
            <w:t>8</w:t>
          </w:r>
          <w:r>
            <w:fldChar w:fldCharType="end"/>
          </w:r>
          <w:r>
            <w:rPr>
              <w:rFonts w:hint="eastAsia" w:ascii="Times New Roman" w:hAnsi="Times New Roman" w:eastAsia="宋体" w:cs="Times New Roman"/>
              <w:kern w:val="2"/>
              <w:szCs w:val="20"/>
              <w:lang w:val="en-US" w:eastAsia="zh-CN" w:bidi="ar-SA"/>
            </w:rPr>
            <w:fldChar w:fldCharType="end"/>
          </w:r>
        </w:p>
        <w:p w14:paraId="14ADB02C">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_Toc29418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rPr>
            <w:t>3.1.</w:t>
          </w:r>
          <w:r>
            <w:rPr>
              <w:rFonts w:hint="eastAsia" w:ascii="Times New Roman" w:hAnsi="Times New Roman" w:eastAsia="宋体" w:cs="宋体"/>
              <w:bCs/>
              <w:szCs w:val="24"/>
              <w:lang w:val="en-US" w:eastAsia="zh-CN"/>
            </w:rPr>
            <w:t>2问卷收集</w:t>
          </w:r>
          <w:r>
            <w:tab/>
          </w:r>
          <w:r>
            <w:fldChar w:fldCharType="begin"/>
          </w:r>
          <w:r>
            <w:instrText xml:space="preserve"> PAGEREF _Toc29418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48CE9D79">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_Toc8814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3</w:t>
          </w:r>
          <w:r>
            <w:rPr>
              <w:rFonts w:hint="eastAsia" w:ascii="Times New Roman" w:hAnsi="Times New Roman" w:eastAsia="宋体" w:cs="宋体"/>
              <w:bCs/>
              <w:szCs w:val="28"/>
            </w:rPr>
            <w:t>.2</w:t>
          </w:r>
          <w:r>
            <w:rPr>
              <w:rFonts w:hint="eastAsia" w:ascii="Times New Roman" w:hAnsi="Times New Roman" w:eastAsia="宋体" w:cs="宋体"/>
              <w:bCs/>
              <w:szCs w:val="28"/>
              <w:lang w:val="en-US" w:eastAsia="zh-CN"/>
            </w:rPr>
            <w:t>变量定义与测量</w:t>
          </w:r>
          <w:r>
            <w:tab/>
          </w:r>
          <w:r>
            <w:fldChar w:fldCharType="begin"/>
          </w:r>
          <w:r>
            <w:instrText xml:space="preserve"> PAGEREF _Toc8814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7D7CDAFA">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_Toc1429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四、 实证分析</w:t>
          </w:r>
          <w:r>
            <w:tab/>
          </w:r>
          <w:r>
            <w:fldChar w:fldCharType="begin"/>
          </w:r>
          <w:r>
            <w:instrText xml:space="preserve"> PAGEREF _Toc1429 \h </w:instrText>
          </w:r>
          <w:r>
            <w:fldChar w:fldCharType="separate"/>
          </w:r>
          <w:r>
            <w:t>9</w:t>
          </w:r>
          <w:r>
            <w:fldChar w:fldCharType="end"/>
          </w:r>
          <w:r>
            <w:rPr>
              <w:rFonts w:hint="eastAsia" w:ascii="Times New Roman" w:hAnsi="Times New Roman" w:eastAsia="宋体" w:cs="Times New Roman"/>
              <w:kern w:val="2"/>
              <w:szCs w:val="20"/>
              <w:lang w:val="en-US" w:eastAsia="zh-CN" w:bidi="ar-SA"/>
            </w:rPr>
            <w:fldChar w:fldCharType="end"/>
          </w:r>
        </w:p>
        <w:p w14:paraId="15ECCFCB">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_Toc29622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4.1描述性统计结果</w:t>
          </w:r>
          <w:r>
            <w:tab/>
          </w:r>
          <w:r>
            <w:fldChar w:fldCharType="begin"/>
          </w:r>
          <w:r>
            <w:instrText xml:space="preserve"> PAGEREF _Toc29622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6BDE5BBC">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_Toc23683 </w:instrText>
          </w:r>
          <w:r>
            <w:rPr>
              <w:rFonts w:hint="eastAsia" w:ascii="Times New Roman" w:hAnsi="Times New Roman" w:eastAsia="宋体" w:cs="Times New Roman"/>
              <w:kern w:val="2"/>
              <w:szCs w:val="20"/>
              <w:lang w:val="en-US" w:eastAsia="zh-CN" w:bidi="ar-SA"/>
            </w:rPr>
            <w:fldChar w:fldCharType="separate"/>
          </w:r>
          <w:r>
            <w:rPr>
              <w:rFonts w:hint="default" w:ascii="Times New Roman" w:hAnsi="Times New Roman" w:cs="Times New Roman"/>
              <w:bCs/>
              <w:szCs w:val="24"/>
            </w:rPr>
            <w:t>4.1.1</w:t>
          </w:r>
          <w:r>
            <w:rPr>
              <w:rFonts w:hint="eastAsia"/>
              <w:bCs/>
              <w:szCs w:val="24"/>
            </w:rPr>
            <w:t>样本特征分布</w:t>
          </w:r>
          <w:r>
            <w:tab/>
          </w:r>
          <w:r>
            <w:fldChar w:fldCharType="begin"/>
          </w:r>
          <w:r>
            <w:instrText xml:space="preserve"> PAGEREF _Toc23683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10264127">
          <w:pPr>
            <w:pStyle w:val="3"/>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_Toc23231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4"/>
              <w:lang w:val="en-US" w:eastAsia="zh-CN"/>
            </w:rPr>
            <w:t>4.</w:t>
          </w:r>
          <w:r>
            <w:rPr>
              <w:rFonts w:hint="default" w:ascii="Times New Roman" w:hAnsi="Times New Roman" w:eastAsia="宋体" w:cs="宋体"/>
              <w:bCs/>
              <w:szCs w:val="24"/>
              <w:lang w:val="en-US" w:eastAsia="zh-CN"/>
            </w:rPr>
            <w:t>1.2就业率差异分析</w:t>
          </w:r>
          <w:r>
            <w:tab/>
          </w:r>
          <w:r>
            <w:fldChar w:fldCharType="begin"/>
          </w:r>
          <w:r>
            <w:instrText xml:space="preserve"> PAGEREF _Toc23231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7C058F7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_Toc32657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4.2单因素分析结果</w:t>
          </w:r>
          <w:r>
            <w:tab/>
          </w:r>
          <w:r>
            <w:fldChar w:fldCharType="begin"/>
          </w:r>
          <w:r>
            <w:instrText xml:space="preserve"> PAGEREF _Toc32657 \h </w:instrText>
          </w:r>
          <w:r>
            <w:fldChar w:fldCharType="separate"/>
          </w:r>
          <w:r>
            <w:t>10</w:t>
          </w:r>
          <w:r>
            <w:fldChar w:fldCharType="end"/>
          </w:r>
          <w:r>
            <w:rPr>
              <w:rFonts w:hint="eastAsia" w:ascii="Times New Roman" w:hAnsi="Times New Roman" w:eastAsia="宋体" w:cs="Times New Roman"/>
              <w:kern w:val="2"/>
              <w:szCs w:val="20"/>
              <w:lang w:val="en-US" w:eastAsia="zh-CN" w:bidi="ar-SA"/>
            </w:rPr>
            <w:fldChar w:fldCharType="end"/>
          </w:r>
        </w:p>
        <w:p w14:paraId="70F2C800">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_Toc5693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4.3Logistic回归分析</w:t>
          </w:r>
          <w:r>
            <w:tab/>
          </w:r>
          <w:r>
            <w:fldChar w:fldCharType="begin"/>
          </w:r>
          <w:r>
            <w:instrText xml:space="preserve"> PAGEREF _Toc5693 \h </w:instrText>
          </w:r>
          <w:r>
            <w:fldChar w:fldCharType="separate"/>
          </w:r>
          <w:r>
            <w:t>12</w:t>
          </w:r>
          <w:r>
            <w:fldChar w:fldCharType="end"/>
          </w:r>
          <w:r>
            <w:rPr>
              <w:rFonts w:hint="eastAsia" w:ascii="Times New Roman" w:hAnsi="Times New Roman" w:eastAsia="宋体" w:cs="Times New Roman"/>
              <w:kern w:val="2"/>
              <w:szCs w:val="20"/>
              <w:lang w:val="en-US" w:eastAsia="zh-CN" w:bidi="ar-SA"/>
            </w:rPr>
            <w:fldChar w:fldCharType="end"/>
          </w:r>
        </w:p>
        <w:p w14:paraId="6110FBB9">
          <w:pPr>
            <w:pStyle w:val="6"/>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_Toc22471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28"/>
              <w:lang w:val="en-US" w:eastAsia="zh-CN"/>
            </w:rPr>
            <w:t>4.4模型检验</w:t>
          </w:r>
          <w:r>
            <w:tab/>
          </w:r>
          <w:r>
            <w:fldChar w:fldCharType="begin"/>
          </w:r>
          <w:r>
            <w:instrText xml:space="preserve"> PAGEREF _Toc22471 \h </w:instrText>
          </w:r>
          <w:r>
            <w:fldChar w:fldCharType="separate"/>
          </w:r>
          <w:r>
            <w:t>12</w:t>
          </w:r>
          <w:r>
            <w:fldChar w:fldCharType="end"/>
          </w:r>
          <w:r>
            <w:rPr>
              <w:rFonts w:hint="eastAsia" w:ascii="Times New Roman" w:hAnsi="Times New Roman" w:eastAsia="宋体" w:cs="Times New Roman"/>
              <w:kern w:val="2"/>
              <w:szCs w:val="20"/>
              <w:lang w:val="en-US" w:eastAsia="zh-CN" w:bidi="ar-SA"/>
            </w:rPr>
            <w:fldChar w:fldCharType="end"/>
          </w:r>
        </w:p>
        <w:p w14:paraId="096B9A55">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_Toc941 </w:instrText>
          </w:r>
          <w:r>
            <w:rPr>
              <w:rFonts w:hint="eastAsia" w:ascii="Times New Roman" w:hAnsi="Times New Roman" w:eastAsia="宋体" w:cs="Times New Roman"/>
              <w:kern w:val="2"/>
              <w:szCs w:val="20"/>
              <w:lang w:val="en-US" w:eastAsia="zh-CN" w:bidi="ar-SA"/>
            </w:rPr>
            <w:fldChar w:fldCharType="separate"/>
          </w:r>
          <w:r>
            <w:rPr>
              <w:rFonts w:hint="eastAsia" w:ascii="Times New Roman" w:hAnsi="Times New Roman" w:eastAsia="宋体" w:cs="宋体"/>
              <w:bCs/>
              <w:szCs w:val="30"/>
              <w:lang w:val="en-US" w:eastAsia="zh-CN"/>
            </w:rPr>
            <w:t>五、 结论与展望</w:t>
          </w:r>
          <w:r>
            <w:tab/>
          </w:r>
          <w:r>
            <w:fldChar w:fldCharType="begin"/>
          </w:r>
          <w:r>
            <w:instrText xml:space="preserve"> PAGEREF _Toc941 \h </w:instrText>
          </w:r>
          <w:r>
            <w:fldChar w:fldCharType="separate"/>
          </w:r>
          <w:r>
            <w:t>13</w:t>
          </w:r>
          <w:r>
            <w:fldChar w:fldCharType="end"/>
          </w:r>
          <w:r>
            <w:rPr>
              <w:rFonts w:hint="eastAsia" w:ascii="Times New Roman" w:hAnsi="Times New Roman" w:eastAsia="宋体" w:cs="Times New Roman"/>
              <w:kern w:val="2"/>
              <w:szCs w:val="20"/>
              <w:lang w:val="en-US" w:eastAsia="zh-CN" w:bidi="ar-SA"/>
            </w:rPr>
            <w:fldChar w:fldCharType="end"/>
          </w:r>
        </w:p>
        <w:p w14:paraId="0E0FFC35">
          <w:pPr>
            <w:pStyle w:val="5"/>
            <w:keepNext w:val="0"/>
            <w:keepLines w:val="0"/>
            <w:pageBreakBefore w:val="0"/>
            <w:widowControl w:val="0"/>
            <w:tabs>
              <w:tab w:val="right" w:leader="dot" w:pos="8787"/>
            </w:tabs>
            <w:kinsoku/>
            <w:wordWrap/>
            <w:overflowPunct/>
            <w:topLinePunct w:val="0"/>
            <w:autoSpaceDE/>
            <w:autoSpaceDN/>
            <w:bidi w:val="0"/>
            <w:adjustRightInd/>
            <w:snapToGrid/>
            <w:spacing w:line="360" w:lineRule="auto"/>
            <w:textAlignment w:val="auto"/>
          </w:pPr>
          <w:r>
            <w:rPr>
              <w:rFonts w:hint="eastAsia" w:ascii="Times New Roman" w:hAnsi="Times New Roman" w:eastAsia="宋体" w:cs="Times New Roman"/>
              <w:kern w:val="2"/>
              <w:szCs w:val="20"/>
              <w:lang w:val="en-US" w:eastAsia="zh-CN" w:bidi="ar-SA"/>
            </w:rPr>
            <w:fldChar w:fldCharType="begin"/>
          </w:r>
          <w:r>
            <w:rPr>
              <w:rFonts w:hint="eastAsia" w:ascii="Times New Roman" w:hAnsi="Times New Roman" w:eastAsia="宋体" w:cs="Times New Roman"/>
              <w:kern w:val="2"/>
              <w:szCs w:val="20"/>
              <w:lang w:val="en-US" w:eastAsia="zh-CN" w:bidi="ar-SA"/>
            </w:rPr>
            <w:instrText xml:space="preserve"> HYPERLINK \l _Toc27359 </w:instrText>
          </w:r>
          <w:r>
            <w:rPr>
              <w:rFonts w:hint="eastAsia" w:ascii="Times New Roman" w:hAnsi="Times New Roman" w:eastAsia="宋体" w:cs="Times New Roman"/>
              <w:kern w:val="2"/>
              <w:szCs w:val="20"/>
              <w:lang w:val="en-US" w:eastAsia="zh-CN" w:bidi="ar-SA"/>
            </w:rPr>
            <w:fldChar w:fldCharType="separate"/>
          </w:r>
          <w:r>
            <w:rPr>
              <w:rFonts w:hint="eastAsia" w:ascii="宋体" w:hAnsi="宋体" w:eastAsia="宋体" w:cs="宋体-方正超大字符集"/>
              <w:bCs/>
              <w:szCs w:val="20"/>
            </w:rPr>
            <w:t>参考文献</w:t>
          </w:r>
          <w:r>
            <w:tab/>
          </w:r>
          <w:r>
            <w:fldChar w:fldCharType="begin"/>
          </w:r>
          <w:r>
            <w:instrText xml:space="preserve"> PAGEREF _Toc27359 \h </w:instrText>
          </w:r>
          <w:r>
            <w:fldChar w:fldCharType="separate"/>
          </w:r>
          <w:r>
            <w:t>15</w:t>
          </w:r>
          <w:r>
            <w:fldChar w:fldCharType="end"/>
          </w:r>
          <w:r>
            <w:rPr>
              <w:rFonts w:hint="eastAsia" w:ascii="Times New Roman" w:hAnsi="Times New Roman" w:eastAsia="宋体" w:cs="Times New Roman"/>
              <w:kern w:val="2"/>
              <w:szCs w:val="20"/>
              <w:lang w:val="en-US" w:eastAsia="zh-CN" w:bidi="ar-SA"/>
            </w:rPr>
            <w:fldChar w:fldCharType="end"/>
          </w:r>
        </w:p>
        <w:p w14:paraId="0C0D32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Cs w:val="20"/>
              <w:lang w:val="en-US" w:eastAsia="zh-CN" w:bidi="ar-SA"/>
            </w:rPr>
            <w:fldChar w:fldCharType="end"/>
          </w:r>
        </w:p>
      </w:sdtContent>
    </w:sdt>
    <w:p w14:paraId="71F964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imes New Roman" w:hAnsi="Times New Roman" w:eastAsia="宋体" w:cs="Times New Roman"/>
          <w:kern w:val="2"/>
          <w:sz w:val="21"/>
          <w:szCs w:val="20"/>
          <w:lang w:val="en-US" w:eastAsia="zh-CN" w:bidi="ar-SA"/>
        </w:rPr>
      </w:pPr>
    </w:p>
    <w:p w14:paraId="67C1560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920C234">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3C8E54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561CF3C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DC6CCD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036B9EE">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12D3367B">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07E5DAB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6B87625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rPr>
      </w:pPr>
    </w:p>
    <w:p w14:paraId="37007CEA">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sz w:val="24"/>
          <w:szCs w:val="20"/>
          <w:lang w:val="en-US" w:eastAsia="zh-CN"/>
        </w:rPr>
      </w:pPr>
      <w:r>
        <w:rPr>
          <w:rFonts w:hint="eastAsia" w:ascii="Times New Roman" w:hAnsi="Times New Roman" w:eastAsia="宋体" w:cs="Times New Roman"/>
          <w:b/>
          <w:sz w:val="24"/>
          <w:szCs w:val="20"/>
        </w:rPr>
        <w:t>内容摘要：</w:t>
      </w: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w:t>
      </w:r>
      <w:r>
        <w:rPr>
          <w:rFonts w:hint="eastAsia" w:ascii="Times New Roman" w:hAnsi="Times New Roman" w:eastAsia="宋体" w:cs="Times New Roman"/>
          <w:sz w:val="24"/>
          <w:szCs w:val="20"/>
          <w:lang w:val="en-US" w:eastAsia="zh-CN"/>
        </w:rPr>
        <w:t>一年超过一年</w:t>
      </w:r>
      <w:r>
        <w:rPr>
          <w:rFonts w:hint="eastAsia" w:ascii="Times New Roman" w:hAnsi="Times New Roman" w:eastAsia="宋体" w:cs="Times New Roman"/>
          <w:sz w:val="24"/>
          <w:szCs w:val="20"/>
        </w:rPr>
        <w:t>，这也使得高校毕业生的就业难度</w:t>
      </w:r>
      <w:r>
        <w:rPr>
          <w:rFonts w:hint="eastAsia" w:ascii="Times New Roman" w:hAnsi="Times New Roman" w:eastAsia="宋体" w:cs="Times New Roman"/>
          <w:sz w:val="24"/>
          <w:szCs w:val="20"/>
          <w:lang w:val="en-US" w:eastAsia="zh-CN"/>
        </w:rPr>
        <w:t>变得</w:t>
      </w:r>
      <w:r>
        <w:rPr>
          <w:rFonts w:hint="eastAsia" w:ascii="Times New Roman" w:hAnsi="Times New Roman" w:eastAsia="宋体" w:cs="Times New Roman"/>
          <w:sz w:val="24"/>
          <w:szCs w:val="20"/>
        </w:rPr>
        <w:t>越来越大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本研究基于湖北省武汉市8所高校（覆盖双一流2所、普通本科5所、专科1所）的毕业生的就业情况调查问卷，运用描述性统计，单因素分析以及二元Logistic回归分析来对可能影响高校毕业生就业问题的因素进行分析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研究发现有无实习经历，GPA,学校层次，专业类别这四个因素对高校毕业生的就业问题存在显著影响，其中有无实习经历和GPA对高校毕业生的就业问题影响程度最大</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最后，通过研究结论给出了几点关于提高高校毕业生就业率的建议</w:t>
      </w:r>
      <w:r>
        <w:rPr>
          <w:rFonts w:hint="eastAsia" w:ascii="Times New Roman" w:hAnsi="Times New Roman" w:eastAsia="宋体" w:cs="Times New Roman"/>
          <w:sz w:val="24"/>
          <w:szCs w:val="20"/>
          <w:lang w:eastAsia="zh-CN"/>
        </w:rPr>
        <w:t>.</w:t>
      </w:r>
    </w:p>
    <w:p w14:paraId="283E88FF">
      <w:pPr>
        <w:spacing w:line="360" w:lineRule="auto"/>
        <w:ind w:firstLine="482" w:firstLineChars="200"/>
        <w:outlineLvl w:val="9"/>
        <w:rPr>
          <w:rFonts w:hint="eastAsia" w:ascii="Times New Roman" w:hAnsi="Times New Roman" w:eastAsia="宋体" w:cs="Times New Roman"/>
          <w:sz w:val="24"/>
          <w:szCs w:val="20"/>
        </w:rPr>
      </w:pPr>
      <w:r>
        <w:rPr>
          <w:rFonts w:hint="eastAsia" w:ascii="Times New Roman" w:hAnsi="Times New Roman" w:eastAsia="宋体" w:cs="Times New Roman"/>
          <w:b/>
          <w:sz w:val="24"/>
          <w:szCs w:val="20"/>
        </w:rPr>
        <w:t>关键词：</w:t>
      </w:r>
      <w:r>
        <w:rPr>
          <w:rFonts w:hint="eastAsia" w:ascii="Times New Roman" w:hAnsi="Times New Roman" w:eastAsia="宋体" w:cs="Times New Roman"/>
          <w:sz w:val="24"/>
          <w:szCs w:val="20"/>
        </w:rPr>
        <w:t>高校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毕业生</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就业</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影响因素</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描述性统计</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单因素分析</w:t>
      </w:r>
      <w:r>
        <w:rPr>
          <w:rFonts w:hint="eastAsia" w:ascii="Times New Roman" w:hAnsi="Times New Roman" w:eastAsia="宋体" w:cs="Times New Roman"/>
          <w:sz w:val="24"/>
          <w:szCs w:val="20"/>
          <w:lang w:eastAsia="zh-CN"/>
        </w:rPr>
        <w:t>；</w:t>
      </w:r>
      <w:r>
        <w:rPr>
          <w:rFonts w:hint="eastAsia" w:ascii="Times New Roman" w:hAnsi="Times New Roman" w:eastAsia="宋体" w:cs="Times New Roman"/>
          <w:sz w:val="24"/>
          <w:szCs w:val="20"/>
        </w:rPr>
        <w:t>二元Logistic回归分析</w:t>
      </w:r>
    </w:p>
    <w:p w14:paraId="5076F18E">
      <w:pPr>
        <w:spacing w:line="360" w:lineRule="auto"/>
        <w:ind w:firstLine="480" w:firstLineChars="200"/>
        <w:outlineLvl w:val="9"/>
        <w:rPr>
          <w:rFonts w:hint="eastAsia" w:ascii="Times New Roman" w:hAnsi="Times New Roman" w:eastAsia="宋体" w:cs="Times New Roman"/>
          <w:sz w:val="24"/>
          <w:szCs w:val="20"/>
        </w:rPr>
      </w:pPr>
    </w:p>
    <w:p w14:paraId="52CEC75F">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sz w:val="24"/>
          <w:szCs w:val="20"/>
        </w:rPr>
      </w:pPr>
      <w:r>
        <w:rPr>
          <w:rFonts w:hint="eastAsia" w:ascii="Times New Roman" w:hAnsi="Times New Roman" w:eastAsia="宋体" w:cs="Times New Roman"/>
          <w:b/>
          <w:sz w:val="24"/>
          <w:szCs w:val="20"/>
        </w:rPr>
        <w:t>Title:Statistical Analysis of the Influencing Factors on the Employment of College Graduates in Wuhan City</w:t>
      </w:r>
    </w:p>
    <w:p w14:paraId="494277E2">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cs="Times New Roman"/>
          <w:b/>
          <w:sz w:val="24"/>
          <w:szCs w:val="20"/>
          <w:lang w:val="en-US" w:eastAsia="zh-CN"/>
        </w:rPr>
      </w:pPr>
      <w:r>
        <w:rPr>
          <w:rFonts w:hint="eastAsia" w:ascii="Times New Roman" w:hAnsi="Times New Roman" w:eastAsia="宋体" w:cs="Times New Roman"/>
          <w:b/>
          <w:sz w:val="24"/>
          <w:szCs w:val="20"/>
          <w:lang w:val="en-US" w:eastAsia="zh-CN"/>
        </w:rPr>
        <w:t>Abstract:In recent years, the number of college graduates in our country has been increasing year by year, which has also made the employment difficulty for college graduates increasingly greater. This study is based on a survey questionnaire of the employment situation of graduates from 8 universities in Wuhan, Hubei Province (including 2 double first-class universities, 5 ordinary undergraduate universities, and 1 junior college). Descriptive statistics, single-factor analysis, and binary Logistic regression analysis were used to analyze the factors that may affect the employment of college graduates. The study found that four factors, namely, internship experience, GPA, school level, and major category, have a significant impact on the employment of college graduates, among which internship experience and GPA have the greatest impact on the employment of college graduates. Finally, based on the research conclusions, several suggestions for improving the employment rate of college graduates are given.</w:t>
      </w:r>
    </w:p>
    <w:p w14:paraId="55086E13">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left"/>
        <w:textAlignment w:val="auto"/>
        <w:rPr>
          <w:rFonts w:hint="eastAsia" w:ascii="Times New Roman" w:hAnsi="Times New Roman" w:eastAsia="宋体" w:cs="Times New Roman"/>
          <w:b/>
          <w:bCs/>
          <w:sz w:val="24"/>
          <w:szCs w:val="20"/>
          <w:lang w:val="en-US" w:eastAsia="zh-CN"/>
        </w:rPr>
      </w:pPr>
      <w:r>
        <w:rPr>
          <w:rFonts w:ascii="Times New Roman" w:hAnsi="Times New Roman" w:eastAsia="宋体" w:cs="Times New Roman"/>
          <w:b/>
          <w:sz w:val="24"/>
          <w:szCs w:val="20"/>
        </w:rPr>
        <w:t>K</w:t>
      </w:r>
      <w:r>
        <w:rPr>
          <w:rFonts w:hint="eastAsia" w:ascii="Times New Roman" w:hAnsi="Times New Roman" w:eastAsia="宋体" w:cs="Times New Roman"/>
          <w:b/>
          <w:sz w:val="24"/>
          <w:szCs w:val="20"/>
        </w:rPr>
        <w:t>ey words:</w:t>
      </w:r>
      <w:r>
        <w:rPr>
          <w:rFonts w:hint="eastAsia" w:ascii="Times New Roman" w:hAnsi="Times New Roman" w:eastAsia="宋体" w:cs="Times New Roman"/>
          <w:b/>
          <w:bCs/>
          <w:color w:val="000000" w:themeColor="text1"/>
          <w:sz w:val="24"/>
          <w:szCs w:val="20"/>
          <w14:textFill>
            <w14:solidFill>
              <w14:schemeClr w14:val="tx1"/>
            </w14:solidFill>
          </w14:textFill>
        </w:rPr>
        <w:t xml:space="preserve"> </w:t>
      </w:r>
      <w:r>
        <w:rPr>
          <w:rFonts w:hint="eastAsia" w:ascii="Times New Roman" w:hAnsi="Times New Roman" w:eastAsia="宋体" w:cs="Times New Roman"/>
          <w:b/>
          <w:sz w:val="24"/>
          <w:szCs w:val="20"/>
          <w:lang w:val="en-US" w:eastAsia="zh-CN"/>
        </w:rPr>
        <w:t>College;Graduate;Employment;Influencing Factors;Descriptive Statistics;Single-Factor Analysis;Binary Logistic Regression Analysis</w:t>
      </w:r>
    </w:p>
    <w:p w14:paraId="00FA2329">
      <w:pPr>
        <w:keepNext w:val="0"/>
        <w:keepLines w:val="0"/>
        <w:pageBreakBefore w:val="0"/>
        <w:widowControl w:val="0"/>
        <w:kinsoku/>
        <w:wordWrap/>
        <w:overflowPunct/>
        <w:topLinePunct w:val="0"/>
        <w:autoSpaceDE/>
        <w:autoSpaceDN/>
        <w:bidi w:val="0"/>
        <w:adjustRightInd/>
        <w:snapToGrid/>
        <w:spacing w:line="360" w:lineRule="auto"/>
        <w:ind w:firstLine="602" w:firstLineChars="200"/>
        <w:jc w:val="left"/>
        <w:textAlignment w:val="auto"/>
        <w:outlineLvl w:val="9"/>
        <w:rPr>
          <w:rFonts w:hint="eastAsia" w:ascii="Times New Roman" w:hAnsi="Times New Roman" w:eastAsia="宋体" w:cs="宋体"/>
          <w:b/>
          <w:bCs/>
          <w:sz w:val="30"/>
          <w:szCs w:val="30"/>
        </w:rPr>
      </w:pPr>
    </w:p>
    <w:p w14:paraId="561A7BBE">
      <w:pPr>
        <w:spacing w:line="360" w:lineRule="auto"/>
        <w:jc w:val="left"/>
        <w:outlineLvl w:val="9"/>
        <w:rPr>
          <w:rFonts w:hint="eastAsia" w:ascii="Times New Roman" w:hAnsi="Times New Roman" w:eastAsia="宋体" w:cs="宋体"/>
          <w:b/>
          <w:bCs/>
          <w:sz w:val="30"/>
          <w:szCs w:val="30"/>
        </w:rPr>
      </w:pPr>
    </w:p>
    <w:p w14:paraId="51529658">
      <w:pPr>
        <w:spacing w:line="360" w:lineRule="auto"/>
        <w:jc w:val="left"/>
        <w:outlineLvl w:val="9"/>
        <w:rPr>
          <w:rFonts w:hint="eastAsia" w:ascii="Times New Roman" w:hAnsi="Times New Roman" w:eastAsia="宋体" w:cs="宋体"/>
          <w:b/>
          <w:bCs/>
          <w:sz w:val="30"/>
          <w:szCs w:val="30"/>
        </w:rPr>
      </w:pPr>
    </w:p>
    <w:p w14:paraId="22CC8438">
      <w:pPr>
        <w:spacing w:line="360" w:lineRule="auto"/>
        <w:jc w:val="left"/>
        <w:outlineLvl w:val="9"/>
        <w:rPr>
          <w:rFonts w:hint="eastAsia" w:ascii="Times New Roman" w:hAnsi="Times New Roman" w:eastAsia="宋体" w:cs="宋体"/>
          <w:b/>
          <w:bCs/>
          <w:sz w:val="30"/>
          <w:szCs w:val="30"/>
        </w:rPr>
      </w:pPr>
    </w:p>
    <w:p w14:paraId="25E144C3">
      <w:pPr>
        <w:spacing w:line="360" w:lineRule="auto"/>
        <w:jc w:val="left"/>
        <w:outlineLvl w:val="9"/>
        <w:rPr>
          <w:rFonts w:hint="eastAsia" w:ascii="Times New Roman" w:hAnsi="Times New Roman" w:eastAsia="宋体" w:cs="宋体"/>
          <w:b/>
          <w:bCs/>
          <w:sz w:val="30"/>
          <w:szCs w:val="30"/>
        </w:rPr>
      </w:pPr>
    </w:p>
    <w:p w14:paraId="48C10999">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Times New Roman" w:hAnsi="Times New Roman" w:eastAsia="宋体" w:cs="宋体"/>
          <w:b/>
          <w:bCs/>
          <w:sz w:val="30"/>
          <w:szCs w:val="30"/>
          <w:lang w:val="en-US" w:eastAsia="zh-CN"/>
        </w:rPr>
      </w:pPr>
      <w:bookmarkStart w:id="0" w:name="_Toc10906"/>
      <w:r>
        <w:rPr>
          <w:rFonts w:hint="eastAsia" w:ascii="Times New Roman" w:hAnsi="Times New Roman" w:eastAsia="宋体" w:cs="宋体"/>
          <w:b/>
          <w:bCs/>
          <w:sz w:val="30"/>
          <w:szCs w:val="30"/>
        </w:rPr>
        <w:t>一、</w:t>
      </w:r>
      <w:r>
        <w:rPr>
          <w:rFonts w:hint="eastAsia" w:ascii="Times New Roman" w:hAnsi="Times New Roman" w:eastAsia="宋体" w:cs="宋体"/>
          <w:b/>
          <w:bCs/>
          <w:sz w:val="30"/>
          <w:szCs w:val="30"/>
          <w:lang w:val="en-US" w:eastAsia="zh-CN"/>
        </w:rPr>
        <w:t>引言</w:t>
      </w:r>
      <w:bookmarkEnd w:id="0"/>
    </w:p>
    <w:p w14:paraId="201DA572">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 w:name="_Toc26836"/>
      <w:r>
        <w:rPr>
          <w:rFonts w:hint="eastAsia" w:ascii="Times New Roman" w:hAnsi="Times New Roman" w:eastAsia="宋体" w:cs="宋体"/>
          <w:b/>
          <w:bCs/>
          <w:sz w:val="28"/>
          <w:szCs w:val="28"/>
        </w:rPr>
        <w:t>1.1</w:t>
      </w:r>
      <w:r>
        <w:rPr>
          <w:rFonts w:hint="eastAsia" w:ascii="Times New Roman" w:hAnsi="Times New Roman" w:eastAsia="宋体" w:cs="宋体"/>
          <w:b/>
          <w:bCs/>
          <w:sz w:val="28"/>
          <w:szCs w:val="28"/>
          <w:lang w:val="en-US" w:eastAsia="zh-CN"/>
        </w:rPr>
        <w:t>研究背景</w:t>
      </w:r>
      <w:bookmarkEnd w:id="1"/>
    </w:p>
    <w:p w14:paraId="3F9598B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Times New Roman"/>
          <w:b w:val="0"/>
          <w:bCs/>
          <w:sz w:val="24"/>
          <w:szCs w:val="20"/>
          <w:lang w:val="en-US" w:eastAsia="zh-CN"/>
        </w:rPr>
        <w:t>最近几年</w:t>
      </w:r>
      <w:r>
        <w:rPr>
          <w:rFonts w:hint="eastAsia" w:ascii="Times New Roman" w:hAnsi="Times New Roman" w:eastAsia="宋体" w:cs="Times New Roman"/>
          <w:sz w:val="24"/>
          <w:szCs w:val="20"/>
        </w:rPr>
        <w:t>，我国高校毕业生群体一年超过一年</w:t>
      </w:r>
      <w:r>
        <w:rPr>
          <w:rFonts w:hint="eastAsia" w:ascii="Times New Roman" w:hAnsi="Times New Roman" w:eastAsia="宋体" w:cs="宋体"/>
          <w:b w:val="0"/>
          <w:bCs w:val="0"/>
          <w:sz w:val="24"/>
          <w:szCs w:val="24"/>
          <w:lang w:val="en-US" w:eastAsia="zh-CN"/>
        </w:rPr>
        <w:t>.根据国家统计局给出的数据，我们发现2023年全国高校毕业生人数达到了1158万人，较2022年增加了82万人，再创历史新高.这一数字和2013年的699万相比增长了65.7%，十年间年均增长5.2%.在高校毕业生数量不断增加的背景下，就业市场的供需矛盾日益明显，高校毕业生就业变得越来越困难.特别是在经济结构调整和产业升级的叠加影响下，就业形势变得更加严峻和复杂.</w:t>
      </w:r>
    </w:p>
    <w:p w14:paraId="0A31ADA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eastAsia" w:ascii="Times New Roman" w:hAnsi="Times New Roman" w:eastAsia="宋体" w:cs="宋体"/>
          <w:b w:val="0"/>
          <w:bCs w:val="0"/>
          <w:sz w:val="24"/>
          <w:szCs w:val="24"/>
          <w:lang w:val="en-US" w:eastAsia="zh-CN"/>
        </w:rPr>
        <w:t>就业是民生之本，是安国之策，关乎老百姓的切身利益，关乎国计民生</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_Ref22194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[1]</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高校毕业生作为优质的人力资源，其就业质量对国家创新驱动发展战略的实施效能有着直接的影响.根据人社部测算的数据我们发现，高校毕业生就业质量指数每提升1个百分点，就可以带动GDP增长0.3-0.5个百分点.现在，我国正处于产业转型升级的关键时期，每年约有800万高校毕业生是支撑先进制造业以及现代服务业发展的重要力量.衡量经济活力的核心指标变成了就业岗位的创造能力.根据国家发展改革委的专项研究，我们发现青年群体失业率每上升1个百分点，社会不稳定指数将增加0.78个基点.高校毕业生作为重点就业群体，其就业状况对个人和社会都会造成非常重大的影响.所以，在当今时代，如何科学分析影响高校毕业生就业的关键因素，并提出有针对性的对策，成为学术界和政策制定者们有待解决的问题.</w:t>
      </w:r>
    </w:p>
    <w:p w14:paraId="3E28BB2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2" w:name="_Toc26888"/>
      <w:r>
        <w:rPr>
          <w:rFonts w:hint="eastAsia" w:ascii="Times New Roman" w:hAnsi="Times New Roman" w:eastAsia="宋体" w:cs="宋体"/>
          <w:b/>
          <w:bCs/>
          <w:sz w:val="28"/>
          <w:szCs w:val="28"/>
          <w:lang w:val="en-US" w:eastAsia="zh-CN"/>
        </w:rPr>
        <w:t>1</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研究意义</w:t>
      </w:r>
      <w:bookmarkEnd w:id="2"/>
    </w:p>
    <w:p w14:paraId="76BDEBFB">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3" w:name="_Toc10350"/>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1驱动精准化政策制定</w:t>
      </w:r>
      <w:bookmarkEnd w:id="3"/>
    </w:p>
    <w:p w14:paraId="1A95BF97">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bCs/>
          <w:sz w:val="24"/>
          <w:szCs w:val="24"/>
          <w:lang w:val="en-US" w:eastAsia="zh-CN"/>
        </w:rPr>
      </w:pPr>
      <w:r>
        <w:rPr>
          <w:rFonts w:hint="eastAsia" w:ascii="Times New Roman" w:hAnsi="Times New Roman" w:eastAsia="宋体" w:cs="宋体"/>
          <w:b w:val="0"/>
          <w:bCs w:val="0"/>
          <w:sz w:val="24"/>
          <w:szCs w:val="24"/>
          <w:lang w:val="en-US" w:eastAsia="zh-CN"/>
        </w:rPr>
        <w:t>在制定政策时，统计学分析能够为精准施策提供重要的参考。政府部门可以利用因子分析，找出影响就业等问题的关键因素，进而合理调配资源。比如说，如果数据分析显示家庭社会关系网络对个人获取就业机会的作用，比个人自身能力影响更大，那就应该加强公共就业服务体系建设，让大家都能公平地获得工作机会。对高校来说，通过聚类分析能够了解就业困难学生的特点，然后制定有针对性的帮扶措施。比起单纯依靠过往经验制定政策，这种以数据分析为依据的决策方式，更科学有效，也更能解决实际问题。</w:t>
      </w:r>
    </w:p>
    <w:p w14:paraId="69F8E5B6">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color w:val="000000" w:themeColor="text1"/>
          <w:sz w:val="24"/>
          <w:szCs w:val="24"/>
          <w14:textFill>
            <w14:solidFill>
              <w14:schemeClr w14:val="tx1"/>
            </w14:solidFill>
          </w14:textFill>
        </w:rPr>
      </w:pPr>
      <w:bookmarkStart w:id="4" w:name="_Toc6181"/>
      <w:r>
        <w:rPr>
          <w:rFonts w:hint="default" w:ascii="Times New Roman" w:hAnsi="Times New Roman" w:cs="Times New Roman"/>
          <w:b/>
          <w:bCs/>
          <w:color w:val="000000" w:themeColor="text1"/>
          <w:sz w:val="24"/>
          <w:szCs w:val="24"/>
          <w14:textFill>
            <w14:solidFill>
              <w14:schemeClr w14:val="tx1"/>
            </w14:solidFill>
          </w14:textFill>
        </w:rPr>
        <w:t>1.2.</w:t>
      </w:r>
      <w:r>
        <w:rPr>
          <w:rFonts w:hint="eastAsia" w:ascii="Times New Roman" w:hAnsi="Times New Roman" w:cs="Times New Roman"/>
          <w:b/>
          <w:bCs/>
          <w:color w:val="000000" w:themeColor="text1"/>
          <w:sz w:val="24"/>
          <w:szCs w:val="24"/>
          <w:lang w:val="en-US" w:eastAsia="zh-CN"/>
          <w14:textFill>
            <w14:solidFill>
              <w14:schemeClr w14:val="tx1"/>
            </w14:solidFill>
          </w14:textFill>
        </w:rPr>
        <w:t>2</w:t>
      </w:r>
      <w:r>
        <w:rPr>
          <w:rFonts w:hint="eastAsia"/>
          <w:b/>
          <w:bCs/>
          <w:color w:val="000000" w:themeColor="text1"/>
          <w:sz w:val="24"/>
          <w:szCs w:val="24"/>
          <w14:textFill>
            <w14:solidFill>
              <w14:schemeClr w14:val="tx1"/>
            </w14:solidFill>
          </w14:textFill>
        </w:rPr>
        <w:t>促进人力资源优化配置</w:t>
      </w:r>
      <w:bookmarkEnd w:id="4"/>
    </w:p>
    <w:p w14:paraId="4A1D2B1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b/>
          <w:bCs/>
          <w:color w:val="000000" w:themeColor="text1"/>
          <w:sz w:val="24"/>
          <w:szCs w:val="24"/>
          <w14:textFill>
            <w14:solidFill>
              <w14:schemeClr w14:val="tx1"/>
            </w14:solidFill>
          </w14:textFill>
        </w:rPr>
      </w:pPr>
      <w:r>
        <w:rPr>
          <w:rFonts w:hint="eastAsia" w:ascii="Times New Roman" w:hAnsi="Times New Roman" w:eastAsia="宋体" w:cs="宋体"/>
          <w:b w:val="0"/>
          <w:bCs w:val="0"/>
          <w:sz w:val="24"/>
          <w:szCs w:val="24"/>
          <w:lang w:val="en-US" w:eastAsia="zh-CN"/>
        </w:rPr>
        <w:t>在经济转型与人口结构变化的双重压力下，高校毕业生就业研究具有显著的社会效益.通过构建就业预测模型，可提前预警特定专业（如文科类专业）的供需失衡风险，引导高校动态调整招生规模</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_Ref22938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[4]</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利用空间统计技术分析就业地域集聚特征，能为区域人才引进政策提供参考；借助因果推断方法评估“大学生村官”等专项政策的实施效果，可优化政策延续性决策.此外，研究成果还可转化为就业指导工具，例如开发基于逻辑回归的就业风险评估系统，帮助学生理性规划职业路径，降低“慢就业”“缓就业”现象带来的社会成本.</w:t>
      </w:r>
    </w:p>
    <w:p w14:paraId="6F7E489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Times New Roman" w:hAnsi="Times New Roman" w:eastAsia="宋体" w:cs="宋体"/>
          <w:b/>
          <w:bCs/>
          <w:sz w:val="24"/>
          <w:szCs w:val="24"/>
          <w:lang w:val="en-US" w:eastAsia="zh-CN"/>
        </w:rPr>
      </w:pPr>
      <w:bookmarkStart w:id="5" w:name="_Toc13691"/>
      <w:r>
        <w:rPr>
          <w:rFonts w:hint="eastAsia" w:ascii="Times New Roman" w:hAnsi="Times New Roman" w:eastAsia="宋体" w:cs="宋体"/>
          <w:b/>
          <w:bCs/>
          <w:sz w:val="24"/>
          <w:szCs w:val="24"/>
          <w:lang w:val="en-US" w:eastAsia="zh-CN"/>
        </w:rPr>
        <w:t>1</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2</w:t>
      </w:r>
      <w:r>
        <w:rPr>
          <w:rFonts w:hint="eastAsia" w:ascii="Times New Roman" w:hAnsi="Times New Roman" w:eastAsia="宋体" w:cs="宋体"/>
          <w:b/>
          <w:bCs/>
          <w:sz w:val="24"/>
          <w:szCs w:val="24"/>
        </w:rPr>
        <w:t>.</w:t>
      </w:r>
      <w:r>
        <w:rPr>
          <w:rFonts w:hint="eastAsia" w:ascii="Times New Roman" w:hAnsi="Times New Roman" w:eastAsia="宋体" w:cs="宋体"/>
          <w:b/>
          <w:bCs/>
          <w:sz w:val="24"/>
          <w:szCs w:val="24"/>
          <w:lang w:val="en-US" w:eastAsia="zh-CN"/>
        </w:rPr>
        <w:t>3为实现大学毕业生充分就业提供依据</w:t>
      </w:r>
      <w:bookmarkEnd w:id="5"/>
    </w:p>
    <w:p w14:paraId="710C51F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sz w:val="24"/>
          <w:szCs w:val="24"/>
          <w:lang w:val="en-US" w:eastAsia="zh-CN"/>
        </w:rPr>
        <w:t>高校毕业生充分就业既是个人实现职业价值的基础，也是社会人力资源优化配置的关键环节</w:t>
      </w:r>
      <w:r>
        <w:rPr>
          <w:rFonts w:hint="eastAsia" w:ascii="Times New Roman" w:hAnsi="Times New Roman" w:eastAsia="宋体" w:cs="宋体"/>
          <w:b w:val="0"/>
          <w:bCs w:val="0"/>
          <w:sz w:val="24"/>
          <w:szCs w:val="24"/>
          <w:vertAlign w:val="superscript"/>
          <w:lang w:val="en-US" w:eastAsia="zh-CN"/>
        </w:rPr>
        <w:fldChar w:fldCharType="begin"/>
      </w:r>
      <w:r>
        <w:rPr>
          <w:rFonts w:hint="eastAsia" w:ascii="Times New Roman" w:hAnsi="Times New Roman" w:eastAsia="宋体" w:cs="宋体"/>
          <w:b w:val="0"/>
          <w:bCs w:val="0"/>
          <w:sz w:val="24"/>
          <w:szCs w:val="24"/>
          <w:vertAlign w:val="superscript"/>
          <w:lang w:val="en-US" w:eastAsia="zh-CN"/>
        </w:rPr>
        <w:instrText xml:space="preserve"> REF _Ref23193 \r \h </w:instrText>
      </w:r>
      <w:r>
        <w:rPr>
          <w:rFonts w:hint="eastAsia" w:ascii="Times New Roman" w:hAnsi="Times New Roman" w:eastAsia="宋体" w:cs="宋体"/>
          <w:b w:val="0"/>
          <w:bCs w:val="0"/>
          <w:sz w:val="24"/>
          <w:szCs w:val="24"/>
          <w:vertAlign w:val="superscript"/>
          <w:lang w:val="en-US" w:eastAsia="zh-CN"/>
        </w:rPr>
        <w:fldChar w:fldCharType="separate"/>
      </w:r>
      <w:r>
        <w:rPr>
          <w:rFonts w:hint="eastAsia" w:ascii="Times New Roman" w:hAnsi="Times New Roman" w:eastAsia="宋体" w:cs="宋体"/>
          <w:b w:val="0"/>
          <w:bCs w:val="0"/>
          <w:sz w:val="24"/>
          <w:szCs w:val="24"/>
          <w:vertAlign w:val="superscript"/>
          <w:lang w:val="en-US" w:eastAsia="zh-CN"/>
        </w:rPr>
        <w:t>[5]</w:t>
      </w:r>
      <w:r>
        <w:rPr>
          <w:rFonts w:hint="eastAsia" w:ascii="Times New Roman" w:hAnsi="Times New Roman" w:eastAsia="宋体" w:cs="宋体"/>
          <w:b w:val="0"/>
          <w:bCs w:val="0"/>
          <w:sz w:val="24"/>
          <w:szCs w:val="24"/>
          <w:vertAlign w:val="superscript"/>
          <w:lang w:val="en-US" w:eastAsia="zh-CN"/>
        </w:rPr>
        <w:fldChar w:fldCharType="end"/>
      </w:r>
      <w:r>
        <w:rPr>
          <w:rFonts w:hint="eastAsia" w:ascii="Times New Roman" w:hAnsi="Times New Roman" w:eastAsia="宋体" w:cs="宋体"/>
          <w:b w:val="0"/>
          <w:bCs w:val="0"/>
          <w:sz w:val="24"/>
          <w:szCs w:val="24"/>
          <w:lang w:val="en-US" w:eastAsia="zh-CN"/>
        </w:rPr>
        <w:t>.本研究从统计学视角剖析就业影响因素，其核心价值在于通过数据驱动的科学分析，为毕业生突破就业困境、提升竞争力提供可操作的路径指引.研究通过量化评估个人能力、实习经历、专业技能等微观因素对就业质量的影响权重，帮助毕业生明确能力提升的优先</w:t>
      </w: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级，并提出一些有针对性的措施和策略.这种基于证据的自我优化策略，较之传统经验主义指导更具科学性.</w:t>
      </w:r>
    </w:p>
    <w:p w14:paraId="34207D6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Times New Roman" w:hAnsi="Times New Roman"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总之，对该课题的研究立足于统计学学科优势，通过方法创新与实证分析揭示高校毕业生就业的复杂作用机制，其成果兼具理论深度与实</w:t>
      </w:r>
      <w:r>
        <w:rPr>
          <w:rFonts w:hint="eastAsia" w:ascii="Times New Roman" w:hAnsi="Times New Roman" w:eastAsia="宋体" w:cs="宋体"/>
          <w:b w:val="0"/>
          <w:bCs w:val="0"/>
          <w:sz w:val="24"/>
          <w:szCs w:val="24"/>
          <w:lang w:val="en-US" w:eastAsia="zh-CN"/>
        </w:rPr>
        <w:t>践价值.在高等教育普及化与数字经济崛起的时代背景下，这种基于数据的科学分析不仅有助于破解就业结构性矛盾，更能为统计学方法在社会科学领域的应用提供范例，推动学科交叉融合发展.</w:t>
      </w:r>
    </w:p>
    <w:p w14:paraId="1FF03B4F">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宋体" w:hAnsi="宋体" w:eastAsia="宋体" w:cs="宋体"/>
          <w:i w:val="0"/>
          <w:iCs w:val="0"/>
          <w:caps w:val="0"/>
          <w:color w:val="000000"/>
          <w:spacing w:val="0"/>
          <w:kern w:val="0"/>
          <w:sz w:val="24"/>
          <w:szCs w:val="24"/>
          <w:shd w:val="clear" w:fill="FFFFFF"/>
          <w:lang w:val="en-US" w:eastAsia="zh-CN" w:bidi="ar"/>
        </w:rPr>
      </w:pPr>
      <w:bookmarkStart w:id="6" w:name="_Toc30079"/>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3文献综述</w:t>
      </w:r>
      <w:bookmarkEnd w:id="6"/>
    </w:p>
    <w:p w14:paraId="1E83F6D1">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ascii="宋体" w:hAnsi="宋体" w:eastAsia="宋体" w:cs="宋体"/>
          <w:b/>
          <w:bCs/>
          <w:i w:val="0"/>
          <w:iCs w:val="0"/>
          <w:caps w:val="0"/>
          <w:color w:val="000000"/>
          <w:spacing w:val="0"/>
          <w:kern w:val="0"/>
          <w:sz w:val="24"/>
          <w:szCs w:val="24"/>
          <w:shd w:val="clear" w:fill="FFFFFF"/>
          <w:lang w:val="en-US" w:eastAsia="zh-CN" w:bidi="ar"/>
        </w:rPr>
      </w:pPr>
      <w:bookmarkStart w:id="7" w:name="_Toc5392"/>
      <w:r>
        <w:rPr>
          <w:rFonts w:hint="default" w:ascii="Times New Roman" w:hAnsi="Times New Roman" w:eastAsia="宋体" w:cs="Times New Roman"/>
          <w:b/>
          <w:bCs/>
          <w:i w:val="0"/>
          <w:iCs w:val="0"/>
          <w:caps w:val="0"/>
          <w:color w:val="000000"/>
          <w:spacing w:val="0"/>
          <w:kern w:val="0"/>
          <w:sz w:val="24"/>
          <w:szCs w:val="24"/>
          <w:shd w:val="clear" w:fill="FFFFFF"/>
          <w:lang w:val="en-US" w:eastAsia="zh-CN" w:bidi="ar"/>
        </w:rPr>
        <w:t>1.3.1</w:t>
      </w:r>
      <w:r>
        <w:rPr>
          <w:rFonts w:hint="eastAsia" w:ascii="宋体" w:hAnsi="宋体" w:eastAsia="宋体" w:cs="宋体"/>
          <w:b/>
          <w:bCs/>
          <w:i w:val="0"/>
          <w:iCs w:val="0"/>
          <w:caps w:val="0"/>
          <w:color w:val="000000"/>
          <w:spacing w:val="0"/>
          <w:kern w:val="0"/>
          <w:sz w:val="24"/>
          <w:szCs w:val="24"/>
          <w:shd w:val="clear" w:fill="FFFFFF"/>
          <w:lang w:val="en-US" w:eastAsia="zh-CN" w:bidi="ar"/>
        </w:rPr>
        <w:t>国内相关研究状况</w:t>
      </w:r>
      <w:bookmarkEnd w:id="7"/>
    </w:p>
    <w:p w14:paraId="53F9253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近几年以来，我国高校大学生的就业难问题日益显著，所以，针对高校大学生就业问题的研究逐渐增多，并得到了一些有意义的成果</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BC2173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w:t>
      </w:r>
      <w:r>
        <w:rPr>
          <w:rFonts w:hint="eastAsia" w:ascii="宋体" w:hAnsi="宋体" w:eastAsia="宋体" w:cs="宋体"/>
          <w:i w:val="0"/>
          <w:iCs w:val="0"/>
          <w:caps w:val="0"/>
          <w:color w:val="000000"/>
          <w:spacing w:val="0"/>
          <w:kern w:val="0"/>
          <w:sz w:val="24"/>
          <w:szCs w:val="24"/>
          <w:shd w:val="clear" w:fill="FFFFFF"/>
          <w:lang w:val="en-US" w:eastAsia="zh-CN" w:bidi="ar"/>
        </w:rPr>
        <w:t>影响高校毕业生就业的因素分析</w:t>
      </w:r>
    </w:p>
    <w:p w14:paraId="4F968D6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黄娟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[2010]</w:t>
      </w:r>
      <w:r>
        <w:rPr>
          <w:rFonts w:hint="eastAsia" w:ascii="宋体" w:hAnsi="宋体" w:eastAsia="宋体" w:cs="宋体"/>
          <w:i w:val="0"/>
          <w:iCs w:val="0"/>
          <w:caps w:val="0"/>
          <w:color w:val="000000"/>
          <w:spacing w:val="0"/>
          <w:kern w:val="0"/>
          <w:sz w:val="24"/>
          <w:szCs w:val="24"/>
          <w:shd w:val="clear" w:fill="FFFFFF"/>
          <w:lang w:val="en-US" w:eastAsia="zh-CN" w:bidi="ar"/>
        </w:rPr>
        <w:t>以淮海工学院为研究对象，从大量关于高校毕业生就业影响因素的文献中归纳出个体、学校、家庭、社会四个方面的主要因素，并建立毕业生就业影响因素测评体系模型，得出家庭因素对就业的影响最大，其次是个体因素和学校因素，社会因素对就业的影响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王俊文</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[2015]</w:t>
      </w:r>
      <w:r>
        <w:rPr>
          <w:rFonts w:hint="eastAsia" w:ascii="宋体" w:hAnsi="宋体" w:eastAsia="宋体" w:cs="宋体"/>
          <w:i w:val="0"/>
          <w:iCs w:val="0"/>
          <w:caps w:val="0"/>
          <w:color w:val="000000"/>
          <w:spacing w:val="0"/>
          <w:kern w:val="0"/>
          <w:sz w:val="24"/>
          <w:szCs w:val="24"/>
          <w:shd w:val="clear" w:fill="FFFFFF"/>
          <w:lang w:val="en-US" w:eastAsia="zh-CN" w:bidi="ar"/>
        </w:rPr>
        <w:t>通过最优尺度回归分析、交叉表分析、因子分析、相关分析，并选取成都市高校毕业生就业状况抽样调查问卷为研究对象，得到了对高校毕业生影响最大的因素是保留工资，并且保留工资又受到性别、学习就业知识时间、毕业时间、文化程度、是否参加实习等因素的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党红、张蓬霞</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[2022]</w:t>
      </w:r>
      <w:r>
        <w:rPr>
          <w:rFonts w:hint="eastAsia" w:ascii="宋体" w:hAnsi="宋体" w:eastAsia="宋体" w:cs="宋体"/>
          <w:i w:val="0"/>
          <w:iCs w:val="0"/>
          <w:caps w:val="0"/>
          <w:color w:val="000000"/>
          <w:spacing w:val="0"/>
          <w:kern w:val="0"/>
          <w:sz w:val="24"/>
          <w:szCs w:val="24"/>
          <w:shd w:val="clear" w:fill="FFFFFF"/>
          <w:lang w:val="en-US" w:eastAsia="zh-CN" w:bidi="ar"/>
        </w:rPr>
        <w:t>将</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12</w:t>
      </w:r>
      <w:r>
        <w:rPr>
          <w:rFonts w:hint="eastAsia" w:ascii="宋体" w:hAnsi="宋体" w:eastAsia="宋体" w:cs="宋体"/>
          <w:i w:val="0"/>
          <w:iCs w:val="0"/>
          <w:caps w:val="0"/>
          <w:color w:val="000000"/>
          <w:spacing w:val="0"/>
          <w:kern w:val="0"/>
          <w:sz w:val="24"/>
          <w:szCs w:val="24"/>
          <w:shd w:val="clear" w:fill="FFFFFF"/>
          <w:lang w:val="en-US" w:eastAsia="zh-CN" w:bidi="ar"/>
        </w:rPr>
        <w:t>个就业影响因素降维为</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w:t>
      </w:r>
      <w:r>
        <w:rPr>
          <w:rFonts w:hint="eastAsia" w:ascii="宋体" w:hAnsi="宋体" w:eastAsia="宋体" w:cs="宋体"/>
          <w:i w:val="0"/>
          <w:iCs w:val="0"/>
          <w:caps w:val="0"/>
          <w:color w:val="000000"/>
          <w:spacing w:val="0"/>
          <w:kern w:val="0"/>
          <w:sz w:val="24"/>
          <w:szCs w:val="24"/>
          <w:shd w:val="clear" w:fill="FFFFFF"/>
          <w:lang w:val="en-US" w:eastAsia="zh-CN" w:bidi="ar"/>
        </w:rPr>
        <w:t>个公因子，分别取名为院校因素、企业因素、个人因素，利用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SPSS</w:t>
      </w:r>
      <w:r>
        <w:rPr>
          <w:rFonts w:hint="eastAsia" w:ascii="宋体" w:hAnsi="宋体" w:eastAsia="宋体" w:cs="宋体"/>
          <w:i w:val="0"/>
          <w:iCs w:val="0"/>
          <w:caps w:val="0"/>
          <w:color w:val="000000"/>
          <w:spacing w:val="0"/>
          <w:kern w:val="0"/>
          <w:sz w:val="24"/>
          <w:szCs w:val="24"/>
          <w:shd w:val="clear" w:fill="FFFFFF"/>
          <w:lang w:val="en-US" w:eastAsia="zh-CN" w:bidi="ar"/>
        </w:rPr>
        <w:t>软件对样本数据进行因子分析，得到各公因子权重，并最终得到各公因子对就业的影响程度，结论是个人因素对就业的影响程度最大，其次是企业因素，院校因素对就业的影响程度最小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5720D29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w:t>
      </w:r>
      <w:r>
        <w:rPr>
          <w:rFonts w:hint="eastAsia" w:ascii="宋体" w:hAnsi="宋体" w:eastAsia="宋体" w:cs="宋体"/>
          <w:i w:val="0"/>
          <w:iCs w:val="0"/>
          <w:caps w:val="0"/>
          <w:color w:val="000000"/>
          <w:spacing w:val="0"/>
          <w:kern w:val="0"/>
          <w:sz w:val="24"/>
          <w:szCs w:val="24"/>
          <w:shd w:val="clear" w:fill="FFFFFF"/>
          <w:lang w:val="en-US" w:eastAsia="zh-CN" w:bidi="ar"/>
        </w:rPr>
        <w:t>基于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回归模型的高校毕业生就业因素分析</w:t>
      </w:r>
    </w:p>
    <w:p w14:paraId="03415ED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bCs/>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朱乾锋、陈成琳</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以上海市高校大学生为研究对象，通过有序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回归模型分析各个因素对高校毕业生就业焦虑的影响程度</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显示自身因素中知识储备、学校辅导、能力欠缺、学校名气对高校毕业生的就业焦虑程度有影响，非自身因素中同龄竞争和就业形势对高校毕业生的就业焦虑程度有影响，并且非自身因素对高校毕业生的就业焦虑程度的影响比自身因素更明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侯佳良、万星火、王玲、金永超</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[2019]</w:t>
      </w:r>
      <w:r>
        <w:rPr>
          <w:rFonts w:hint="eastAsia" w:ascii="宋体" w:hAnsi="宋体" w:eastAsia="宋体" w:cs="宋体"/>
          <w:i w:val="0"/>
          <w:iCs w:val="0"/>
          <w:caps w:val="0"/>
          <w:color w:val="000000"/>
          <w:spacing w:val="0"/>
          <w:kern w:val="0"/>
          <w:sz w:val="24"/>
          <w:szCs w:val="24"/>
          <w:shd w:val="clear" w:fill="FFFFFF"/>
          <w:lang w:val="en-US" w:eastAsia="zh-CN" w:bidi="ar"/>
        </w:rPr>
        <w:t>通过调查问卷的数据，并利用多元统计和</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理论方法建立了针对高校理科类专业毕业生的就业影响因素分析的</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回归模型，研究得出个人能力、实践活动等多个方面因素与高校理科类专业毕业生就业问题具有显著关系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7CBC8FCC">
      <w:pPr>
        <w:keepNext w:val="0"/>
        <w:keepLines w:val="0"/>
        <w:pageBreakBefore w:val="0"/>
        <w:widowControl w:val="0"/>
        <w:kinsoku/>
        <w:wordWrap/>
        <w:overflowPunct/>
        <w:topLinePunct w:val="0"/>
        <w:autoSpaceDE/>
        <w:autoSpaceDN/>
        <w:bidi w:val="0"/>
        <w:adjustRightInd/>
        <w:snapToGrid/>
        <w:spacing w:line="360" w:lineRule="auto"/>
        <w:ind w:firstLine="723" w:firstLineChars="300"/>
        <w:textAlignment w:val="auto"/>
        <w:outlineLvl w:val="2"/>
        <w:rPr>
          <w:rFonts w:hint="eastAsia"/>
          <w:b/>
          <w:bCs/>
          <w:sz w:val="24"/>
          <w:szCs w:val="24"/>
        </w:rPr>
      </w:pPr>
      <w:bookmarkStart w:id="8" w:name="_Toc24691"/>
      <w:r>
        <w:rPr>
          <w:rFonts w:hint="default" w:ascii="Times New Roman" w:hAnsi="Times New Roman" w:cs="Times New Roman"/>
          <w:b/>
          <w:bCs/>
          <w:sz w:val="24"/>
          <w:szCs w:val="24"/>
        </w:rPr>
        <w:t>1.3.2</w:t>
      </w:r>
      <w:r>
        <w:rPr>
          <w:rFonts w:hint="eastAsia"/>
          <w:b/>
          <w:bCs/>
          <w:sz w:val="24"/>
          <w:szCs w:val="24"/>
        </w:rPr>
        <w:t>国外相关研究状况</w:t>
      </w:r>
      <w:bookmarkEnd w:id="8"/>
    </w:p>
    <w:p w14:paraId="6350850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国外学术界对高校毕业生就业问题的研究很早就开始了，形成了较为成熟的理论框架和实证分析体系.随着全球化背景下劳动力市场的复杂性增加，研究者从多学科视角（如经济学、社会学、统计学）探讨了就业影响因素，并逐步引入高级统计模型进行量化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9B5098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约翰，纳伦利</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（Nunley</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xml:space="preserve"> John）[2016]</w:t>
      </w:r>
      <w:r>
        <w:rPr>
          <w:rFonts w:hint="eastAsia" w:ascii="宋体" w:hAnsi="宋体" w:eastAsia="宋体" w:cs="宋体"/>
          <w:i w:val="0"/>
          <w:iCs w:val="0"/>
          <w:caps w:val="0"/>
          <w:color w:val="000000"/>
          <w:spacing w:val="0"/>
          <w:kern w:val="0"/>
          <w:sz w:val="24"/>
          <w:szCs w:val="24"/>
          <w:shd w:val="clear" w:fill="FFFFFF"/>
          <w:lang w:val="en-US" w:eastAsia="zh-CN" w:bidi="ar"/>
        </w:rPr>
        <w:t>通过美国大学毕业生追踪数据，并利用</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Cox</w:t>
      </w:r>
      <w:r>
        <w:rPr>
          <w:rFonts w:hint="eastAsia" w:ascii="宋体" w:hAnsi="宋体" w:eastAsia="宋体" w:cs="宋体"/>
          <w:i w:val="0"/>
          <w:iCs w:val="0"/>
          <w:caps w:val="0"/>
          <w:color w:val="000000"/>
          <w:spacing w:val="0"/>
          <w:kern w:val="0"/>
          <w:sz w:val="24"/>
          <w:szCs w:val="24"/>
          <w:shd w:val="clear" w:fill="FFFFFF"/>
          <w:lang w:val="en-US" w:eastAsia="zh-CN" w:bidi="ar"/>
        </w:rPr>
        <w:t>比例风险模型得到有实习经历的毕业生找到首份工作的风险比提高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1.5</w:t>
      </w:r>
      <w:r>
        <w:rPr>
          <w:rFonts w:hint="eastAsia" w:ascii="宋体" w:hAnsi="宋体" w:eastAsia="宋体" w:cs="宋体"/>
          <w:i w:val="0"/>
          <w:iCs w:val="0"/>
          <w:caps w:val="0"/>
          <w:color w:val="000000"/>
          <w:spacing w:val="0"/>
          <w:kern w:val="0"/>
          <w:sz w:val="24"/>
          <w:szCs w:val="24"/>
          <w:shd w:val="clear" w:fill="FFFFFF"/>
          <w:lang w:val="en-US" w:eastAsia="zh-CN" w:bidi="ar"/>
        </w:rPr>
        <w:t>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研究进一步通过路径分析发现，实习通过提升“软技能”（如沟通能力）间接影响就业，贡献率达</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34%.</w:t>
      </w:r>
      <w:r>
        <w:rPr>
          <w:rFonts w:hint="eastAsia" w:ascii="宋体" w:hAnsi="宋体" w:eastAsia="宋体" w:cs="宋体"/>
          <w:i w:val="0"/>
          <w:iCs w:val="0"/>
          <w:caps w:val="0"/>
          <w:color w:val="000000"/>
          <w:spacing w:val="0"/>
          <w:kern w:val="0"/>
          <w:sz w:val="24"/>
          <w:szCs w:val="24"/>
          <w:shd w:val="clear" w:fill="FFFFFF"/>
          <w:lang w:val="en-US" w:eastAsia="zh-CN" w:bidi="ar"/>
        </w:rPr>
        <w:t>康纳，罗伯特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（Conn</w:t>
      </w:r>
      <w:r>
        <w:rPr>
          <w:rFonts w:hint="eastAsia" w:ascii="宋体" w:hAnsi="宋体" w:eastAsia="宋体" w:cs="宋体"/>
          <w:i w:val="0"/>
          <w:iCs w:val="0"/>
          <w:caps w:val="0"/>
          <w:color w:val="000000"/>
          <w:spacing w:val="0"/>
          <w:kern w:val="0"/>
          <w:sz w:val="24"/>
          <w:szCs w:val="24"/>
          <w:shd w:val="clear" w:fill="FFFFFF"/>
          <w:lang w:val="en-US" w:eastAsia="zh-CN" w:bidi="ar"/>
        </w:rPr>
        <w:t xml:space="preserve">, </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Robert）[2004]</w:t>
      </w:r>
      <w:r>
        <w:rPr>
          <w:rFonts w:hint="eastAsia" w:ascii="宋体" w:hAnsi="宋体" w:eastAsia="宋体" w:cs="宋体"/>
          <w:i w:val="0"/>
          <w:iCs w:val="0"/>
          <w:caps w:val="0"/>
          <w:color w:val="000000"/>
          <w:spacing w:val="0"/>
          <w:kern w:val="0"/>
          <w:sz w:val="24"/>
          <w:szCs w:val="24"/>
          <w:shd w:val="clear" w:fill="FFFFFF"/>
          <w:lang w:val="en-US" w:eastAsia="zh-CN" w:bidi="ar"/>
        </w:rPr>
        <w:t>针对</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1992-1993</w:t>
      </w:r>
      <w:r>
        <w:rPr>
          <w:rFonts w:hint="eastAsia" w:ascii="宋体" w:hAnsi="宋体" w:eastAsia="宋体" w:cs="宋体"/>
          <w:i w:val="0"/>
          <w:iCs w:val="0"/>
          <w:caps w:val="0"/>
          <w:color w:val="000000"/>
          <w:spacing w:val="0"/>
          <w:kern w:val="0"/>
          <w:sz w:val="24"/>
          <w:szCs w:val="24"/>
          <w:shd w:val="clear" w:fill="FFFFFF"/>
          <w:lang w:val="en-US" w:eastAsia="zh-CN" w:bidi="ar"/>
        </w:rPr>
        <w:t>学年获得学士学位的全国代表性毕业生，利用多项逻辑回归分析研究非就业次数和持续时间与受访者个人特征、大学专业、GPA和工作经验之间是否存在关系，最终发现除了GPA（平均绩点）外，非就业与独立变量之间存在显著关系，其中非就业持续时间和次数与毕业前的工作次数之间存在强烈关系</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赵英夏(</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조영하</w:t>
      </w:r>
      <w:r>
        <w:rPr>
          <w:rFonts w:hint="eastAsia" w:ascii="宋体" w:hAnsi="宋体" w:eastAsia="宋体" w:cs="宋体"/>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[2005]</w:t>
      </w:r>
      <w:r>
        <w:rPr>
          <w:rFonts w:hint="eastAsia" w:ascii="宋体" w:hAnsi="宋体" w:eastAsia="宋体" w:cs="宋体"/>
          <w:i w:val="0"/>
          <w:iCs w:val="0"/>
          <w:caps w:val="0"/>
          <w:color w:val="000000"/>
          <w:spacing w:val="0"/>
          <w:kern w:val="0"/>
          <w:sz w:val="24"/>
          <w:szCs w:val="24"/>
          <w:shd w:val="clear" w:fill="FFFFFF"/>
          <w:lang w:val="en-US" w:eastAsia="zh-CN" w:bidi="ar"/>
        </w:rPr>
        <w:t>采用了逻辑回归分析，探讨从三个分类变量组（个人变量、学校变量和从学校到工作的过渡路径变量）中选择的哪些因素对专业与工作匹配就业有影响,研究得到学校支持、GPA、所选过渡路径、专业类型和学校类型是影响成功专业与工作匹配就业的最重要因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奥雷奥波洛斯</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（Oreopoulos）[2020]</w:t>
      </w:r>
      <w:r>
        <w:rPr>
          <w:rFonts w:hint="eastAsia" w:ascii="宋体" w:hAnsi="宋体" w:eastAsia="宋体" w:cs="宋体"/>
          <w:i w:val="0"/>
          <w:iCs w:val="0"/>
          <w:caps w:val="0"/>
          <w:color w:val="000000"/>
          <w:spacing w:val="0"/>
          <w:kern w:val="0"/>
          <w:sz w:val="24"/>
          <w:szCs w:val="24"/>
          <w:shd w:val="clear" w:fill="FFFFFF"/>
          <w:lang w:val="en-US" w:eastAsia="zh-CN" w:bidi="ar"/>
        </w:rPr>
        <w:t>采用断点回归</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（RDD）</w:t>
      </w:r>
      <w:r>
        <w:rPr>
          <w:rFonts w:hint="eastAsia" w:ascii="宋体" w:hAnsi="宋体" w:eastAsia="宋体" w:cs="宋体"/>
          <w:i w:val="0"/>
          <w:iCs w:val="0"/>
          <w:caps w:val="0"/>
          <w:color w:val="000000"/>
          <w:spacing w:val="0"/>
          <w:kern w:val="0"/>
          <w:sz w:val="24"/>
          <w:szCs w:val="24"/>
          <w:shd w:val="clear" w:fill="FFFFFF"/>
          <w:lang w:val="en-US" w:eastAsia="zh-CN" w:bidi="ar"/>
        </w:rPr>
        <w:t>发现，</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w:r>
        <w:rPr>
          <w:rFonts w:hint="eastAsia" w:ascii="宋体" w:hAnsi="宋体" w:eastAsia="宋体" w:cs="宋体"/>
          <w:i w:val="0"/>
          <w:iCs w:val="0"/>
          <w:caps w:val="0"/>
          <w:color w:val="000000"/>
          <w:spacing w:val="0"/>
          <w:kern w:val="0"/>
          <w:sz w:val="24"/>
          <w:szCs w:val="24"/>
          <w:shd w:val="clear" w:fill="FFFFFF"/>
          <w:lang w:val="en-US" w:eastAsia="zh-CN" w:bidi="ar"/>
        </w:rPr>
        <w:t>对就业的影响存在阈值效应：</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GPA</w:t>
      </w:r>
      <m:oMath>
        <m:r>
          <m:rPr>
            <m:sty m:val="p"/>
          </m:rPr>
          <w:rPr>
            <w:rFonts w:hint="default" w:ascii="Cambria Math" w:hAnsi="Cambria Math" w:cs="Times New Roman"/>
            <w:caps w:val="0"/>
            <w:color w:val="000000"/>
            <w:spacing w:val="0"/>
            <w:kern w:val="0"/>
            <w:sz w:val="24"/>
            <w:szCs w:val="24"/>
            <w:shd w:val="clear" w:fill="FFFFFF"/>
            <w:lang w:val="en-US" w:bidi="ar"/>
          </w:rPr>
          <m:t>≥</m:t>
        </m:r>
      </m:oMath>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时，每提高</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0.5</w:t>
      </w:r>
      <w:r>
        <w:rPr>
          <w:rFonts w:hint="eastAsia" w:ascii="宋体" w:hAnsi="宋体" w:eastAsia="宋体" w:cs="宋体"/>
          <w:i w:val="0"/>
          <w:iCs w:val="0"/>
          <w:caps w:val="0"/>
          <w:color w:val="000000"/>
          <w:spacing w:val="0"/>
          <w:kern w:val="0"/>
          <w:sz w:val="24"/>
          <w:szCs w:val="24"/>
          <w:shd w:val="clear" w:fill="FFFFFF"/>
          <w:lang w:val="en-US" w:eastAsia="zh-CN" w:bidi="ar"/>
        </w:rPr>
        <w:t>分，就业概率增加</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7%</w:t>
      </w:r>
      <w:r>
        <w:rPr>
          <w:rFonts w:hint="eastAsia" w:ascii="宋体" w:hAnsi="宋体" w:eastAsia="宋体" w:cs="宋体"/>
          <w:i w:val="0"/>
          <w:iCs w:val="0"/>
          <w:caps w:val="0"/>
          <w:color w:val="000000"/>
          <w:spacing w:val="0"/>
          <w:kern w:val="0"/>
          <w:sz w:val="24"/>
          <w:szCs w:val="24"/>
          <w:shd w:val="clear" w:fill="FFFFFF"/>
          <w:lang w:val="en-US" w:eastAsia="zh-CN" w:bidi="ar"/>
        </w:rPr>
        <w:t>；低于</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3.0</w:t>
      </w:r>
      <w:r>
        <w:rPr>
          <w:rFonts w:hint="eastAsia" w:ascii="宋体" w:hAnsi="宋体" w:eastAsia="宋体" w:cs="宋体"/>
          <w:i w:val="0"/>
          <w:iCs w:val="0"/>
          <w:caps w:val="0"/>
          <w:color w:val="000000"/>
          <w:spacing w:val="0"/>
          <w:kern w:val="0"/>
          <w:sz w:val="24"/>
          <w:szCs w:val="24"/>
          <w:shd w:val="clear" w:fill="FFFFFF"/>
          <w:lang w:val="en-US" w:eastAsia="zh-CN" w:bidi="ar"/>
        </w:rPr>
        <w:t>时则无显著影响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0353C982">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不足主要体现在调查问卷的数据来源渠道有一定的局限，只选取了湖北省武汉市部分高校的高校毕业生作为调查对象，所以后续实证分析所得到的结论也具有一定的局限性，不一定适合全国范围内的高校毕业生</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C06A84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eastAsia" w:ascii="宋体" w:hAnsi="宋体" w:eastAsia="宋体" w:cs="宋体"/>
          <w:i w:val="0"/>
          <w:iCs w:val="0"/>
          <w:caps w:val="0"/>
          <w:color w:val="000000"/>
          <w:spacing w:val="0"/>
          <w:kern w:val="0"/>
          <w:sz w:val="24"/>
          <w:szCs w:val="24"/>
          <w:shd w:val="clear" w:fill="FFFFFF"/>
          <w:lang w:val="en-US" w:eastAsia="zh-CN" w:bidi="ar"/>
        </w:rPr>
        <w:t>本研究的创新之处主要体现在混合使用描述性统计，单因素分析以及二元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回归分析这三种统计方法来对得到的数据进行分析</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eastAsia" w:ascii="宋体" w:hAnsi="宋体" w:eastAsia="宋体" w:cs="宋体"/>
          <w:i w:val="0"/>
          <w:iCs w:val="0"/>
          <w:caps w:val="0"/>
          <w:color w:val="000000"/>
          <w:spacing w:val="0"/>
          <w:kern w:val="0"/>
          <w:sz w:val="24"/>
          <w:szCs w:val="24"/>
          <w:shd w:val="clear" w:fill="FFFFFF"/>
          <w:lang w:val="en-US" w:eastAsia="zh-CN" w:bidi="ar"/>
        </w:rPr>
        <w:t>先用描述性统计和单因素分析选取对高校毕业生的就业问题具有显著影响的因素，再将这些因素进行二元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回归分析，并最终得到本研究的结论，这有效避免了对高校毕业生就业问题无显著影响的因素在进行二元</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Logistic</w:t>
      </w:r>
      <w:r>
        <w:rPr>
          <w:rFonts w:hint="eastAsia" w:ascii="宋体" w:hAnsi="宋体" w:eastAsia="宋体" w:cs="宋体"/>
          <w:i w:val="0"/>
          <w:iCs w:val="0"/>
          <w:caps w:val="0"/>
          <w:color w:val="000000"/>
          <w:spacing w:val="0"/>
          <w:kern w:val="0"/>
          <w:sz w:val="24"/>
          <w:szCs w:val="24"/>
          <w:shd w:val="clear" w:fill="FFFFFF"/>
          <w:lang w:val="en-US" w:eastAsia="zh-CN" w:bidi="ar"/>
        </w:rPr>
        <w:t>回归分析时对分析结果产生影响</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69D57FE1">
      <w:pPr>
        <w:keepNext w:val="0"/>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default" w:ascii="Times New Roman" w:hAnsi="Times New Roman" w:eastAsia="宋体" w:cs="宋体"/>
          <w:b/>
          <w:bCs/>
          <w:sz w:val="30"/>
          <w:szCs w:val="30"/>
          <w:lang w:val="en-US" w:eastAsia="zh-CN"/>
        </w:rPr>
      </w:pPr>
      <w:bookmarkStart w:id="9" w:name="_Toc25908"/>
      <w:r>
        <w:rPr>
          <w:rFonts w:hint="eastAsia" w:ascii="Times New Roman" w:hAnsi="Times New Roman" w:eastAsia="宋体" w:cs="宋体"/>
          <w:b/>
          <w:bCs/>
          <w:sz w:val="30"/>
          <w:szCs w:val="30"/>
          <w:lang w:val="en-US" w:eastAsia="zh-CN"/>
        </w:rPr>
        <w:t>二</w:t>
      </w:r>
      <w:r>
        <w:rPr>
          <w:rFonts w:hint="eastAsia" w:ascii="Times New Roman" w:hAnsi="Times New Roman" w:eastAsia="宋体" w:cs="宋体"/>
          <w:b/>
          <w:bCs/>
          <w:sz w:val="30"/>
          <w:szCs w:val="30"/>
        </w:rPr>
        <w:t>、</w:t>
      </w:r>
      <w:r>
        <w:rPr>
          <w:rFonts w:hint="eastAsia" w:ascii="Times New Roman" w:hAnsi="Times New Roman" w:eastAsia="宋体" w:cs="宋体"/>
          <w:b/>
          <w:bCs/>
          <w:sz w:val="30"/>
          <w:szCs w:val="30"/>
          <w:lang w:val="en-US" w:eastAsia="zh-CN"/>
        </w:rPr>
        <w:t>统计原理与方法</w:t>
      </w:r>
      <w:bookmarkEnd w:id="9"/>
    </w:p>
    <w:p w14:paraId="2F7477A9">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0" w:name="_Toc12963"/>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.1</w:t>
      </w:r>
      <w:bookmarkStart w:id="11" w:name="_Toc3138"/>
      <w:r>
        <w:rPr>
          <w:rFonts w:hint="eastAsia" w:ascii="Times New Roman" w:hAnsi="Times New Roman" w:eastAsia="宋体" w:cs="宋体"/>
          <w:b/>
          <w:bCs/>
          <w:sz w:val="28"/>
          <w:szCs w:val="28"/>
          <w:lang w:val="en-US" w:eastAsia="zh-CN"/>
        </w:rPr>
        <w:t>描述性统计</w:t>
      </w:r>
      <w:bookmarkEnd w:id="10"/>
    </w:p>
    <w:bookmarkEnd w:id="11"/>
    <w:p w14:paraId="0ABC2B01">
      <w:pPr>
        <w:widowControl w:val="0"/>
        <w:bidi w:val="0"/>
        <w:spacing w:line="360" w:lineRule="auto"/>
        <w:ind w:firstLine="480" w:firstLineChars="200"/>
        <w:jc w:val="left"/>
        <w:outlineLvl w:val="9"/>
        <w:rPr>
          <w:rFonts w:hint="eastAsia" w:ascii="Times New Roman" w:hAnsi="Times New Roman" w:eastAsia="宋体" w:cs="宋体"/>
          <w:sz w:val="24"/>
          <w:szCs w:val="32"/>
          <w:lang w:eastAsia="zh-CN"/>
        </w:rPr>
      </w:pPr>
      <w:r>
        <w:rPr>
          <w:rFonts w:hint="eastAsia" w:ascii="Times New Roman" w:hAnsi="Times New Roman" w:eastAsia="宋体" w:cs="宋体"/>
          <w:b w:val="0"/>
          <w:bCs w:val="0"/>
          <w:sz w:val="24"/>
          <w:szCs w:val="24"/>
          <w:lang w:val="en-US" w:eastAsia="zh-CN"/>
        </w:rPr>
        <w:t>描述调查问卷中不同因素的占比情况以及不同因素的就业率差异分析.描述性统计能将大量复杂的数据进行整理、归纳和概括，用直观形式呈现数据，降低了理解数据的难度，即使是非专业人员也能较好地理解数据所表达的信息.在数据分析的初期，描述性统计也更有助于探索数据的特征和规律，发现变量之间的潜在关系，为进一步的研究和分析提供方向和线索.</w:t>
      </w:r>
    </w:p>
    <w:p w14:paraId="4A451468">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2" w:name="_Toc17899"/>
      <w:r>
        <w:rPr>
          <w:rFonts w:hint="eastAsia" w:ascii="Times New Roman" w:hAnsi="Times New Roman" w:eastAsia="宋体" w:cs="宋体"/>
          <w:b/>
          <w:bCs/>
          <w:sz w:val="28"/>
          <w:szCs w:val="28"/>
          <w:lang w:val="en-US" w:eastAsia="zh-CN"/>
        </w:rPr>
        <w:t>2</w:t>
      </w:r>
      <w:r>
        <w:rPr>
          <w:rFonts w:hint="eastAsia" w:ascii="Times New Roman" w:hAnsi="Times New Roman" w:eastAsia="宋体" w:cs="宋体"/>
          <w:b/>
          <w:bCs/>
          <w:sz w:val="28"/>
          <w:szCs w:val="28"/>
        </w:rPr>
        <w:t>.</w:t>
      </w:r>
      <w:r>
        <w:rPr>
          <w:rFonts w:hint="eastAsia" w:ascii="Times New Roman" w:hAnsi="Times New Roman" w:eastAsia="宋体" w:cs="宋体"/>
          <w:b/>
          <w:bCs/>
          <w:sz w:val="28"/>
          <w:szCs w:val="28"/>
          <w:lang w:val="en-US" w:eastAsia="zh-CN"/>
        </w:rPr>
        <w:t>2单因素分析</w:t>
      </w:r>
      <w:bookmarkEnd w:id="12"/>
    </w:p>
    <w:p w14:paraId="6399EA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我们用卡方检验</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Theme="minorEastAsia" w:hAnsiTheme="minorEastAsia" w:eastAsiaTheme="minorEastAsia" w:cstheme="minorEastAsia"/>
          <w:i w:val="0"/>
          <w:iCs w:val="0"/>
          <w:caps w:val="0"/>
          <w:color w:val="000000" w:themeColor="text1"/>
          <w:spacing w:val="0"/>
          <w:sz w:val="24"/>
          <w:szCs w:val="24"/>
          <w:lang w:val="en-US" w:eastAsia="zh-CN"/>
          <w14:textFill>
            <w14:solidFill>
              <w14:schemeClr w14:val="tx1"/>
            </w14:solidFill>
          </w14:textFill>
        </w:rPr>
        <w:t>来比较分类变量</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（性别，是否有实习经历，学校层次，专业类别，家庭年收入，父母最高学历）组间的就业率差异.用</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检验来分析连续变量</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对就业率的影响</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487113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）用于检验两个分类变量之间的独立性，其检验统计量为</w:t>
      </w:r>
    </w:p>
    <w:p w14:paraId="6F2087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subHide m:val="1"/>
              <m:supHide m:val="1"/>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aryPr>
            <m: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e>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23E6B6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O</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列的实际观测频数</w:t>
      </w:r>
      <w:r>
        <w:rPr>
          <w:rFonts w:hint="default" w:ascii="Times New Roman" w:hAnsi="Times New Roman"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777207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行第</w:t>
      </w:r>
      <m:oMath>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oMath>
      <w:r>
        <w:rPr>
          <w:rFonts w:hint="eastAsia" w:hAnsi="Cambria Math" w:cs="宋体"/>
          <w:i w:val="0"/>
          <w:caps w:val="0"/>
          <w:color w:val="000000" w:themeColor="text1"/>
          <w:spacing w:val="0"/>
          <w:kern w:val="2"/>
          <w:sz w:val="24"/>
          <w:szCs w:val="24"/>
          <w:vertAlign w:val="baseline"/>
          <w:lang w:val="en-US" w:eastAsia="zh-CN" w:bidi="ar-SA"/>
          <w14:textFill>
            <w14:solidFill>
              <w14:schemeClr w14:val="tx1"/>
            </w14:solidFill>
          </w14:textFill>
        </w:rPr>
        <w:t>列的期望频数，计算公式为：</w:t>
      </w:r>
    </w:p>
    <w:p w14:paraId="2BD5D3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cs="宋体"/>
          <w:i w:val="0"/>
          <w:iCs w:val="0"/>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fPr>
            <m:num>
              <m:d>
                <m:d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行合计</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e>
              </m:d>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bPr>
                    <m:e>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列合计</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j</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d>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num>
            <m:den>
              <m:r>
                <m:rPr>
                  <m:sty m:val="p"/>
                </m:rPr>
                <w:rPr>
                  <w:rFonts w:hint="eastAsia"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总样本量</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iCs w:val="0"/>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86F6C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0CA1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406E40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其中</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r</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为行数，</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c</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为列数</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w:t>
      </w:r>
    </w:p>
    <w:p w14:paraId="5AFDEA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检验用于比较两组连续变量的均值差异（如就业组与未就业组的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差异），其检验统计量为：</w:t>
      </w:r>
    </w:p>
    <w:p w14:paraId="45056B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t=</m:t>
          </m:r>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rad>
                <m:radPr>
                  <m:degHide m:val="1"/>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radPr>
                <m:deg>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g>
                <m:e>
                  <m:f>
                    <m:f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ra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0A391A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：两组的样本均值（如就业组</w:t>
      </w:r>
      <w:r>
        <w:rPr>
          <w:rFonts w:hint="default" w:ascii="Times New Roman" w:hAnsi="Times New Roman" w:eastAsia="微软雅黑"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vs</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未</w:t>
      </w:r>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就业组</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Theme="majorEastAsia" w:hAnsiTheme="majorEastAsia" w:eastAsiaTheme="majorEastAsia" w:cstheme="majorEastAsia"/>
          <w:i w:val="0"/>
          <w:iCs/>
          <w:caps w:val="0"/>
          <w:color w:val="000000" w:themeColor="text1"/>
          <w:spacing w:val="0"/>
          <w:kern w:val="2"/>
          <w:sz w:val="24"/>
          <w:szCs w:val="24"/>
          <w:vertAlign w:val="baseline"/>
          <w:lang w:val="en-US" w:eastAsia="zh-CN" w:bidi="ar-SA"/>
          <w14:textFill>
            <w14:solidFill>
              <w14:schemeClr w14:val="tx1"/>
            </w14:solidFill>
          </w14:textFill>
        </w:rPr>
        <w:t>均值）</w:t>
      </w: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w:t>
      </w:r>
    </w:p>
    <w:p w14:paraId="7126DF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：两组的样本方差</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5943B8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w:t>
      </w:r>
      <m:oMath>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：两组的样本量</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25315F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检验的自由度</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（df）</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计算公式为：</w:t>
      </w:r>
    </w:p>
    <w:p w14:paraId="79D56E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df=</m:t>
          </m:r>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f>
                <m:f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fPr>
                <m:num>
                  <m:sSup>
                    <m:s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Pr>
                        <m:e>
                          <m:sSubSup>
                            <m:sSubSup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b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num>
                <m:den>
                  <m:sSub>
                    <m:sSubP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f>
                <m:f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fPr>
                <m:num>
                  <m:sSup>
                    <m:s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pPr>
                    <m:e>
                      <m:d>
                        <m:d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Pr>
                        <m:e>
                          <m:sSubSup>
                            <m:sSubSup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s</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b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宋体"/>
                                  <w:i/>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p>
                  </m:sSup>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num>
                <m:den>
                  <m:sSub>
                    <m:sSubP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caps w:val="0"/>
                      <w:color w:val="000000" w:themeColor="text1"/>
                      <w:spacing w:val="0"/>
                      <w:kern w:val="2"/>
                      <w:sz w:val="24"/>
                      <w:szCs w:val="24"/>
                      <w:vertAlign w:val="baseline"/>
                      <w:lang w:val="en-US" w:bidi="ar-SA"/>
                      <w14:textFill>
                        <w14:solidFill>
                          <w14:schemeClr w14:val="tx1"/>
                        </w14:solidFill>
                      </w14:textFill>
                    </w:rPr>
                  </m:ctrlPr>
                </m:den>
              </m:f>
              <m:ctrlPr>
                <w:rPr>
                  <w:rFonts w:hint="default" w:ascii="Cambria Math" w:hAnsi="Cambria Math" w:eastAsia="宋体" w:cs="宋体"/>
                  <w:i/>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3DF240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b w:val="0"/>
          <w:bCs w:val="0"/>
          <w:i w:val="0"/>
          <w:iCs w:val="0"/>
          <w:caps w:val="0"/>
          <w:color w:val="000000" w:themeColor="text1"/>
          <w:spacing w:val="0"/>
          <w:sz w:val="24"/>
          <w:szCs w:val="24"/>
          <w:shd w:val="clear" w:color="auto" w:fill="auto"/>
          <w:lang w:val="en-US" w:eastAsia="zh-CN"/>
          <w14:textFill>
            <w14:solidFill>
              <w14:schemeClr w14:val="tx1"/>
            </w14:solidFill>
          </w14:textFill>
        </w:rPr>
        <w:t>单</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因素分析不需要考虑多个因素之间的复杂交互作用，分析过程相对简单，易于理解和操作，对研究人员的专业知识和技能要求相对较低，在一些初步研究或对问题了解有限的情况下，能快速有效地获取关于单一因素的信息</w:t>
      </w:r>
      <w:r>
        <w:rPr>
          <w:rFonts w:hint="default" w:ascii="Times New Roman" w:hAnsi="Times New Roman" w:cs="Times New Roman"/>
          <w:b w:val="0"/>
          <w:bCs w:val="0"/>
          <w:i w:val="0"/>
          <w:iCs w:val="0"/>
          <w:caps w:val="0"/>
          <w:color w:val="000000" w:themeColor="text1"/>
          <w:spacing w:val="0"/>
          <w:sz w:val="24"/>
          <w:szCs w:val="24"/>
          <w:shd w:val="clear" w:color="auto" w:fill="auto"/>
          <w:lang w:val="en-US"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另外，单因素分析能够将复杂问题简化，使研究目标清晰明确，便于深入分析该因素与结果之间的关系，排除其他因素的干扰，从而更准确地把握该因素的作用机制</w:t>
      </w:r>
      <w:r>
        <w:rPr>
          <w:rFonts w:hint="default" w:ascii="Times New Roman" w:hAnsi="Times New Roman" w:cs="Times New Roman"/>
          <w:b w:val="0"/>
          <w:bCs w:val="0"/>
          <w:i w:val="0"/>
          <w:iCs w:val="0"/>
          <w:caps w:val="0"/>
          <w:color w:val="000000" w:themeColor="text1"/>
          <w:spacing w:val="0"/>
          <w:sz w:val="24"/>
          <w:szCs w:val="24"/>
          <w:shd w:val="clear" w:color="auto" w:fill="auto"/>
          <w:lang w:val="en-US" w:eastAsia="zh-CN"/>
          <w14:textFill>
            <w14:solidFill>
              <w14:schemeClr w14:val="tx1"/>
            </w14:solidFill>
          </w14:textFill>
        </w:rPr>
        <w:t>.</w:t>
      </w:r>
      <w:r>
        <w:rPr>
          <w:rFonts w:hint="eastAsia" w:asciiTheme="minorEastAsia" w:hAnsiTheme="minorEastAsia" w:eastAsiaTheme="minorEastAsia" w:cstheme="minorEastAsia"/>
          <w:b w:val="0"/>
          <w:bCs w:val="0"/>
          <w:i w:val="0"/>
          <w:iCs w:val="0"/>
          <w:caps w:val="0"/>
          <w:color w:val="000000" w:themeColor="text1"/>
          <w:spacing w:val="0"/>
          <w:sz w:val="24"/>
          <w:szCs w:val="24"/>
          <w:shd w:val="clear" w:color="auto" w:fill="auto"/>
          <w:lang w:val="en-US" w:eastAsia="zh-CN"/>
          <w14:textFill>
            <w14:solidFill>
              <w14:schemeClr w14:val="tx1"/>
            </w14:solidFill>
          </w14:textFill>
        </w:rPr>
        <w:t>利用单因素分析，我们可以逐步探究出哪些因素对高校毕业生的就业问题有着显著影响，哪</w:t>
      </w:r>
      <w:r>
        <w:rPr>
          <w:rFonts w:hint="eastAsia" w:asciiTheme="minorEastAsia" w:hAnsiTheme="minorEastAsia" w:eastAsiaTheme="minorEastAsia" w:cstheme="minorEastAsia"/>
          <w:b w:val="0"/>
          <w:bCs w:val="0"/>
          <w:i w:val="0"/>
          <w:iCs w:val="0"/>
          <w:caps w:val="0"/>
          <w:color w:val="000000" w:themeColor="text1"/>
          <w:spacing w:val="0"/>
          <w:sz w:val="24"/>
          <w:szCs w:val="24"/>
          <w:lang w:val="en-US" w:eastAsia="zh-CN"/>
          <w14:textFill>
            <w14:solidFill>
              <w14:schemeClr w14:val="tx1"/>
            </w14:solidFill>
          </w14:textFill>
        </w:rPr>
        <w:t>些因素对高校毕业生的就业问题基本没有影响，从而提取出这些具有显著影响的因素进行重点分析</w:t>
      </w:r>
      <w:r>
        <w:rPr>
          <w:rFonts w:hint="default" w:ascii="Times New Roman" w:hAnsi="Times New Roman" w:cs="Times New Roman"/>
          <w:b w:val="0"/>
          <w:bCs w:val="0"/>
          <w:i w:val="0"/>
          <w:iCs w:val="0"/>
          <w:caps w:val="0"/>
          <w:color w:val="000000" w:themeColor="text1"/>
          <w:spacing w:val="0"/>
          <w:sz w:val="24"/>
          <w:szCs w:val="24"/>
          <w:lang w:val="en-US" w:eastAsia="zh-CN"/>
          <w14:textFill>
            <w14:solidFill>
              <w14:schemeClr w14:val="tx1"/>
            </w14:solidFill>
          </w14:textFill>
        </w:rPr>
        <w:t>.</w:t>
      </w:r>
    </w:p>
    <w:p w14:paraId="6048ED56">
      <w:pPr>
        <w:keepNext w:val="0"/>
        <w:keepLines w:val="0"/>
        <w:pageBreakBefore w:val="0"/>
        <w:widowControl w:val="0"/>
        <w:kinsoku/>
        <w:wordWrap/>
        <w:overflowPunct/>
        <w:topLinePunct w:val="0"/>
        <w:autoSpaceDE/>
        <w:autoSpaceDN/>
        <w:bidi w:val="0"/>
        <w:adjustRightInd/>
        <w:snapToGrid/>
        <w:ind w:firstLine="562" w:firstLineChars="200"/>
        <w:textAlignment w:val="auto"/>
        <w:outlineLvl w:val="1"/>
        <w:rPr>
          <w:rFonts w:hint="eastAsia"/>
          <w:b/>
          <w:bCs/>
          <w:sz w:val="28"/>
          <w:szCs w:val="28"/>
        </w:rPr>
      </w:pPr>
      <w:bookmarkStart w:id="13" w:name="_Toc11592"/>
      <w:r>
        <w:rPr>
          <w:rFonts w:hint="default" w:ascii="Times New Roman" w:hAnsi="Times New Roman" w:cs="Times New Roman"/>
          <w:b/>
          <w:bCs/>
          <w:sz w:val="28"/>
          <w:szCs w:val="28"/>
        </w:rPr>
        <w:t>2.3</w:t>
      </w:r>
      <w:r>
        <w:rPr>
          <w:rFonts w:hint="eastAsia" w:ascii="Times New Roman" w:hAnsi="Times New Roman" w:cs="Times New Roman"/>
          <w:b/>
          <w:bCs/>
          <w:sz w:val="28"/>
          <w:szCs w:val="28"/>
          <w:lang w:val="en-US" w:eastAsia="zh-CN"/>
        </w:rPr>
        <w:t>二元</w:t>
      </w:r>
      <w:r>
        <w:rPr>
          <w:rFonts w:hint="default" w:ascii="Times New Roman" w:hAnsi="Times New Roman" w:cs="Times New Roman"/>
          <w:b/>
          <w:bCs/>
          <w:sz w:val="28"/>
          <w:szCs w:val="28"/>
        </w:rPr>
        <w:t>Logistic</w:t>
      </w:r>
      <w:r>
        <w:rPr>
          <w:rFonts w:hint="eastAsia"/>
          <w:b/>
          <w:bCs/>
          <w:sz w:val="28"/>
          <w:szCs w:val="28"/>
        </w:rPr>
        <w:t>回归分析</w:t>
      </w:r>
      <w:bookmarkEnd w:id="13"/>
    </w:p>
    <w:p w14:paraId="222A94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由于高校毕业生是否在毕业后</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3</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个月内签订全职合同这一变量与二项分布的性质和特征要求一致，所以我们选择最适合这种情况的应用模型之一的二元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构建二元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模型，公式为：</w:t>
      </w:r>
    </w:p>
    <w:p w14:paraId="308BC3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center"/>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val="0"/>
                  <w:iCs w:val="0"/>
                  <w:caps w:val="0"/>
                  <w:color w:val="000000" w:themeColor="text1"/>
                  <w:spacing w:val="0"/>
                  <w:kern w:val="2"/>
                  <w:sz w:val="24"/>
                  <w:szCs w:val="24"/>
                  <w:vertAlign w:val="baseline"/>
                  <w:lang w:val="en-US" w:eastAsia="zh-CN" w:bidi="ar-SA"/>
                  <w14:textFill>
                    <w14:solidFill>
                      <w14:schemeClr w14:val="tx1"/>
                    </w14:solidFill>
                  </w14:textFill>
                </w:rPr>
              </m:ctrlPr>
            </m:e>
          </m:d>
          <m:r>
            <m:rPr>
              <m:sty m:val="p"/>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0</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sSub>
            <m:sSubP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eastAsia="微软雅黑" w:cs="Cambria Math"/>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+ϵ</m:t>
          </m:r>
        </m:oMath>
      </m:oMathPara>
    </w:p>
    <w:p w14:paraId="00731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oMath>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：因变量为</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的概率（如就业概率）</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C89EF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我们用极大似然估计法</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（MLE)</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来计算</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模型的回归系数，具体步骤如下：</w:t>
      </w:r>
    </w:p>
    <w:p w14:paraId="553D404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构建似然函数</w:t>
      </w:r>
    </w:p>
    <w:p w14:paraId="4A1A5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sSubSup>
                <m:sSub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Sup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bSup>
              <m:sSup>
                <m:sSup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pPr>
                <m:e>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sSup>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008E27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Cambria Math"/>
            <w:caps w:val="0"/>
            <w:color w:val="000000" w:themeColor="text1"/>
            <w:spacing w:val="0"/>
            <w:kern w:val="2"/>
            <w:sz w:val="24"/>
            <w:szCs w:val="24"/>
            <w:vertAlign w:val="baseline"/>
            <w:lang w:val="en-US" w:bidi="ar-SA"/>
            <w14:textFill>
              <w14:solidFill>
                <w14:schemeClr w14:val="tx1"/>
              </w14:solidFill>
            </w14:textFill>
          </w:rPr>
          <m:t>∈</m:t>
        </m:r>
        <m:d>
          <m:dPr>
            <m:begChr m:val="{"/>
            <m:endChr m:val="}"/>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0</m:t>
            </m:r>
            <m:r>
              <m:rPr/>
              <w:rPr>
                <w:rFonts w:hint="eastAsia"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cs="Cambria Math"/>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Cambria Math"/>
                <w:i/>
                <w:iCs/>
                <w:caps w:val="0"/>
                <w:color w:val="000000" w:themeColor="text1"/>
                <w:spacing w:val="0"/>
                <w:kern w:val="2"/>
                <w:sz w:val="24"/>
                <w:szCs w:val="24"/>
                <w:vertAlign w:val="baseline"/>
                <w:lang w:val="en-US" w:bidi="ar-SA"/>
                <w14:textFill>
                  <w14:solidFill>
                    <w14:schemeClr w14:val="tx1"/>
                  </w14:solidFill>
                </w14:textFill>
              </w:rPr>
            </m:ctrlPr>
          </m:e>
        </m:d>
      </m:oMath>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个样本的实际结果；</w:t>
      </w:r>
    </w:p>
    <w:p w14:paraId="5C0DA0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oMath>
      <w:r>
        <w:rPr>
          <w:rFonts w:hint="eastAsia"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t>：模型预测</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第</w:t>
      </w:r>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oMath>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个样本为</w:t>
      </w:r>
      <w:r>
        <w:rPr>
          <w:rFonts w:hint="default" w:ascii="Times New Roman" w:hAnsi="Times New Roman" w:eastAsia="宋体" w:cs="Times New Roman"/>
          <w:i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hAnsi="Cambria Math" w:eastAsia="宋体" w:cs="宋体"/>
          <w:i w:val="0"/>
          <w:caps w:val="0"/>
          <w:color w:val="000000" w:themeColor="text1"/>
          <w:spacing w:val="0"/>
          <w:kern w:val="2"/>
          <w:sz w:val="24"/>
          <w:szCs w:val="24"/>
          <w:vertAlign w:val="baseline"/>
          <w:lang w:val="en-US" w:eastAsia="zh-CN" w:bidi="ar-SA"/>
          <w14:textFill>
            <w14:solidFill>
              <w14:schemeClr w14:val="tx1"/>
            </w14:solidFill>
          </w14:textFill>
        </w:rPr>
        <w:t>的概率，计算公式为：</w:t>
      </w:r>
    </w:p>
    <w:p w14:paraId="308248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center"/>
        <w:textAlignment w:val="auto"/>
        <w:rPr>
          <w:rFonts w:hint="default" w:hAnsi="Cambria Math"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m:t>
          </m:r>
          <m:f>
            <m:fP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p>
                <m:sSup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e</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p>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0</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X</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ik</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p>
              </m:sSup>
              <m:ctrlPr>
                <w:rPr>
                  <w:rFonts w:hint="default" w:ascii="Cambria Math" w:hAnsi="Cambria Math" w:cs="宋体"/>
                  <w:i/>
                  <w:iCs/>
                  <w:caps w:val="0"/>
                  <w:color w:val="000000" w:themeColor="text1"/>
                  <w:spacing w:val="0"/>
                  <w:kern w:val="2"/>
                  <w:sz w:val="24"/>
                  <w:szCs w:val="24"/>
                  <w:vertAlign w:val="baseline"/>
                  <w:lang w:val="en-US" w:eastAsia="zh-CN" w:bidi="ar-SA"/>
                  <w14:textFill>
                    <w14:solidFill>
                      <w14:schemeClr w14:val="tx1"/>
                    </w14:solidFill>
                  </w14:textFill>
                </w:rPr>
              </m:ctrlPr>
            </m:den>
          </m:f>
        </m:oMath>
      </m:oMathPara>
    </w:p>
    <w:p w14:paraId="11C2C75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对数似然函数：</w:t>
      </w:r>
    </w:p>
    <w:p w14:paraId="725C9B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m:oMathPara>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m:t>
          </m:r>
          <m:nary>
            <m:naryPr>
              <m:chr m:val="∑"/>
              <m:limLoc m:val="undOv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naryPr>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i=1</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up>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p>
            <m:e>
              <m:d>
                <m:dPr>
                  <m:begChr m:val="["/>
                  <m:endChr m:val="]"/>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func>
                    <m:funcPr>
                      <m:ctrlPr>
                        <w:rPr>
                          <w:rFonts w:hint="default" w:ascii="Cambria Math" w:hAnsi="Cambria Math" w:eastAsia="宋体" w:cs="宋体"/>
                          <w:iCs/>
                          <w:caps w:val="0"/>
                          <w:color w:val="000000" w:themeColor="text1"/>
                          <w:spacing w:val="0"/>
                          <w:kern w:val="2"/>
                          <w:sz w:val="24"/>
                          <w:szCs w:val="24"/>
                          <w:vertAlign w:val="baseline"/>
                          <w:lang w:val="en-US" w:eastAsia="zh-CN"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fName>
                    <m:e>
                      <m:sSub>
                        <m:sSub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sub>
                      </m:sSub>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func>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y</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func>
                    <m:funcPr>
                      <m:ctrlPr>
                        <w:rPr>
                          <w:rFonts w:ascii="Cambria Math" w:hAnsi="Cambria Math" w:cs="宋体"/>
                          <w:iCs/>
                          <w:caps w:val="0"/>
                          <w:color w:val="000000" w:themeColor="text1"/>
                          <w:spacing w:val="0"/>
                          <w:kern w:val="2"/>
                          <w:sz w:val="24"/>
                          <w:szCs w:val="24"/>
                          <w:vertAlign w:val="baseline"/>
                          <w:lang w:val="en-US" w:bidi="ar-SA"/>
                          <w14:textFill>
                            <w14:solidFill>
                              <w14:schemeClr w14:val="tx1"/>
                            </w14:solidFill>
                          </w14:textFill>
                        </w:rPr>
                      </m:ctrlPr>
                    </m:funcPr>
                    <m:fName>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ln</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fName>
                    <m:e>
                      <m:d>
                        <m:d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d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m:t>
                          </m:r>
                          <m:sSub>
                            <m:sSubP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P</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i</m:t>
                              </m:r>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sub>
                          </m:sSub>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d>
                      <m:ctrlPr>
                        <w:rPr>
                          <w:rFonts w:ascii="Cambria Math" w:hAnsi="Cambria Math" w:cs="宋体"/>
                          <w:i/>
                          <w:iCs/>
                          <w:caps w:val="0"/>
                          <w:color w:val="000000" w:themeColor="text1"/>
                          <w:spacing w:val="0"/>
                          <w:kern w:val="2"/>
                          <w:sz w:val="24"/>
                          <w:szCs w:val="24"/>
                          <w:vertAlign w:val="baseline"/>
                          <w:lang w:val="en-US" w:bidi="ar-SA"/>
                          <w14:textFill>
                            <w14:solidFill>
                              <w14:schemeClr w14:val="tx1"/>
                            </w14:solidFill>
                          </w14:textFill>
                        </w:rPr>
                      </m:ctrlPr>
                    </m:e>
                  </m:func>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nary>
        </m:oMath>
      </m:oMathPara>
    </w:p>
    <w:p w14:paraId="77E04AE2">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sz w:val="24"/>
          <w:szCs w:val="24"/>
          <w:shd w:val="clear" w:fill="FFFFFF"/>
          <w14:textFill>
            <w14:solidFill>
              <w14:schemeClr w14:val="tx1"/>
            </w14:solidFill>
          </w14:textFill>
        </w:rPr>
        <w:t>通过迭代算法（如牛顿-拉夫森法）求解以下方程组，找到使</w:t>
      </w:r>
      <m:oMath>
        <m:r>
          <m:rPr>
            <m:sty m:val="p"/>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eastAsia"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宋体"/>
                <w:i/>
                <w:iCs/>
                <w:caps w:val="0"/>
                <w:color w:val="000000" w:themeColor="text1"/>
                <w:spacing w:val="0"/>
                <w:kern w:val="2"/>
                <w:sz w:val="24"/>
                <w:szCs w:val="24"/>
                <w:vertAlign w:val="baseline"/>
                <w:lang w:val="en-US" w:eastAsia="zh-CN" w:bidi="ar-SA"/>
                <w14:textFill>
                  <w14:solidFill>
                    <w14:schemeClr w14:val="tx1"/>
                  </w14:solidFill>
                </w14:textFill>
              </w:rPr>
            </m:ctrlPr>
          </m:e>
        </m:d>
      </m:oMath>
      <w:r>
        <w:rPr>
          <w:rFonts w:hint="default" w:ascii="Segoe UI" w:hAnsi="Segoe UI" w:eastAsia="Segoe UI" w:cs="Segoe UI"/>
          <w:i w:val="0"/>
          <w:iCs w:val="0"/>
          <w:caps w:val="0"/>
          <w:color w:val="000000" w:themeColor="text1"/>
          <w:spacing w:val="0"/>
          <w:sz w:val="24"/>
          <w:szCs w:val="24"/>
          <w:shd w:val="clear" w:fill="FFFFFF"/>
          <w14:textFill>
            <w14:solidFill>
              <w14:schemeClr w14:val="tx1"/>
            </w14:solidFill>
          </w14:textFill>
        </w:rPr>
        <w:t>最大的系数</w:t>
      </w:r>
      <m:oMath>
        <m:acc>
          <m:accP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accPr>
          <m:e>
            <m:r>
              <m:rPr/>
              <w:rPr>
                <w:rFonts w:ascii="Cambria Math" w:hAnsi="Cambria Math" w:cs="Segoe UI"/>
                <w:caps w:val="0"/>
                <w:color w:val="000000" w:themeColor="text1"/>
                <w:spacing w:val="0"/>
                <w:sz w:val="24"/>
                <w:szCs w:val="24"/>
                <w:shd w:val="clear" w:fill="FFFFFF"/>
                <w14:textFill>
                  <w14:solidFill>
                    <w14:schemeClr w14:val="tx1"/>
                  </w14:solidFill>
                </w14:textFill>
              </w:rPr>
              <m:t>β</m:t>
            </m:r>
            <m:ctrlPr>
              <w:rPr>
                <w:rFonts w:ascii="Cambria Math" w:hAnsi="Cambria Math" w:cs="Segoe UI"/>
                <w:i/>
                <w:iCs w:val="0"/>
                <w:caps w:val="0"/>
                <w:color w:val="000000" w:themeColor="text1"/>
                <w:spacing w:val="0"/>
                <w:sz w:val="24"/>
                <w:szCs w:val="24"/>
                <w:shd w:val="clear" w:fill="FFFFFF"/>
                <w14:textFill>
                  <w14:solidFill>
                    <w14:schemeClr w14:val="tx1"/>
                  </w14:solidFill>
                </w14:textFill>
              </w:rPr>
            </m:ctrlPr>
          </m:e>
        </m:acc>
      </m:oMath>
      <w:r>
        <w:rPr>
          <w:rFonts w:hint="eastAsia" w:hAnsi="Cambria Math" w:cs="Segoe UI"/>
          <w:i w:val="0"/>
          <w:iCs w:val="0"/>
          <w:caps w:val="0"/>
          <w:color w:val="000000" w:themeColor="text1"/>
          <w:spacing w:val="0"/>
          <w:sz w:val="24"/>
          <w:szCs w:val="24"/>
          <w:shd w:val="clear" w:fill="FFFFFF"/>
          <w:lang w:eastAsia="zh-CN"/>
          <w14:textFill>
            <w14:solidFill>
              <w14:schemeClr w14:val="tx1"/>
            </w14:solidFill>
          </w14:textFill>
        </w:rPr>
        <w:t>：</w:t>
      </w:r>
    </w:p>
    <w:p w14:paraId="231E3E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pPr>
      <m:oMathPara>
        <m:oMath>
          <m:f>
            <m:f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fPr>
            <m:num>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m:sty m:val="p"/>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r>
                <m:rPr>
                  <m:sty m:val="p"/>
                </m:rPr>
                <w:rPr>
                  <w:rFonts w:hint="default" w:ascii="Cambria Math" w:hAnsi="Cambria Math" w:eastAsia="微软雅黑" w:cs="Times New Roman"/>
                  <w:caps w:val="0"/>
                  <w:color w:val="000000" w:themeColor="text1"/>
                  <w:spacing w:val="0"/>
                  <w:kern w:val="2"/>
                  <w:sz w:val="24"/>
                  <w:szCs w:val="24"/>
                  <w:vertAlign w:val="baseline"/>
                  <w:lang w:val="en-US" w:eastAsia="zh-CN" w:bidi="ar-SA"/>
                  <w14:textFill>
                    <w14:solidFill>
                      <w14:schemeClr w14:val="tx1"/>
                    </w14:solidFill>
                  </w14:textFill>
                </w:rPr>
                <m:t>n</m:t>
              </m:r>
              <m:r>
                <m:rPr/>
                <w:rPr>
                  <w:rFonts w:hint="default" w:ascii="Cambria Math" w:hAnsi="Cambria Math" w:eastAsia="宋体" w:cs="Times New Roman"/>
                  <w:caps w:val="0"/>
                  <w:color w:val="000000" w:themeColor="text1"/>
                  <w:spacing w:val="0"/>
                  <w:kern w:val="2"/>
                  <w:sz w:val="24"/>
                  <w:szCs w:val="24"/>
                  <w:vertAlign w:val="baseline"/>
                  <w:lang w:val="en-US" w:eastAsia="zh-CN" w:bidi="ar-SA"/>
                  <w14:textFill>
                    <w14:solidFill>
                      <w14:schemeClr w14:val="tx1"/>
                    </w14:solidFill>
                  </w14:textFill>
                </w:rPr>
                <m:t>L</m:t>
              </m:r>
              <m:d>
                <m:dP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eastAsia="宋体"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num>
            <m:den>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sSub>
                <m:sSubP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Sub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β</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e>
                <m:sub>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m:t>
                  </m:r>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sub>
              </m:sSub>
              <m:ctrlPr>
                <w:rPr>
                  <w:rFonts w:hint="default" w:ascii="Cambria Math" w:hAnsi="Cambria Math" w:cs="Times New Roman"/>
                  <w:i/>
                  <w:iCs/>
                  <w:caps w:val="0"/>
                  <w:color w:val="000000" w:themeColor="text1"/>
                  <w:spacing w:val="0"/>
                  <w:kern w:val="2"/>
                  <w:sz w:val="24"/>
                  <w:szCs w:val="24"/>
                  <w:vertAlign w:val="baseline"/>
                  <w:lang w:val="en-US" w:bidi="ar-SA"/>
                  <w14:textFill>
                    <w14:solidFill>
                      <w14:schemeClr w14:val="tx1"/>
                    </w14:solidFill>
                  </w14:textFill>
                </w:rPr>
              </m:ctrlPr>
            </m:den>
          </m:f>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=0</m:t>
          </m:r>
          <m:d>
            <m:dP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dPr>
            <m:e>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j=0,1,2,</m:t>
              </m:r>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,k</m:t>
              </m:r>
              <m:ctrlPr>
                <w:rPr>
                  <w:rFonts w:hint="default" w:ascii="Cambria Math" w:hAnsi="Cambria Math" w:cs="Times New Roman"/>
                  <w:i/>
                  <w:iCs/>
                  <w:caps w:val="0"/>
                  <w:color w:val="000000" w:themeColor="text1"/>
                  <w:spacing w:val="0"/>
                  <w:kern w:val="2"/>
                  <w:sz w:val="24"/>
                  <w:szCs w:val="24"/>
                  <w:vertAlign w:val="baseline"/>
                  <w:lang w:val="en-US" w:eastAsia="zh-CN" w:bidi="ar-SA"/>
                  <w14:textFill>
                    <w14:solidFill>
                      <w14:schemeClr w14:val="tx1"/>
                    </w14:solidFill>
                  </w14:textFill>
                </w:rPr>
              </m:ctrlPr>
            </m:e>
          </m:d>
        </m:oMath>
      </m:oMathPara>
    </w:p>
    <w:p w14:paraId="0818ED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b/>
          <w:bCs/>
          <w:sz w:val="28"/>
          <w:szCs w:val="28"/>
        </w:rPr>
      </w:pPr>
      <w:r>
        <w:rPr>
          <w:rFonts w:hint="eastAsia"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回归模型通过对回归系数的分析，可以直观地了解每个自变量对因变量的影响方向和程度</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_Ref25290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[12]</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另外，二元</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Logistic</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 xml:space="preserve">回归模型通过统计检验（如 </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 xml:space="preserve">Wald </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检验等）还可以判断每个自变量对因变量的影响是否显著，从而筛选出对因变量有重要影响的因素，排除无关或影响较小的因素，这有助于简化模型，提高模型的准确性和解释力</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p>
    <w:p w14:paraId="0FC15777">
      <w:pPr>
        <w:numPr>
          <w:ilvl w:val="0"/>
          <w:numId w:val="2"/>
        </w:numPr>
        <w:spacing w:line="360" w:lineRule="auto"/>
        <w:jc w:val="left"/>
        <w:outlineLvl w:val="0"/>
        <w:rPr>
          <w:rFonts w:hint="eastAsia" w:ascii="Times New Roman" w:hAnsi="Times New Roman" w:eastAsia="宋体" w:cs="宋体"/>
          <w:b/>
          <w:bCs/>
          <w:color w:val="000000" w:themeColor="text1"/>
          <w:sz w:val="30"/>
          <w:szCs w:val="30"/>
          <w:lang w:val="en-US" w:eastAsia="zh-CN"/>
          <w14:textFill>
            <w14:solidFill>
              <w14:schemeClr w14:val="tx1"/>
            </w14:solidFill>
          </w14:textFill>
        </w:rPr>
      </w:pPr>
      <w:bookmarkStart w:id="14" w:name="_Toc6086"/>
      <w:r>
        <w:rPr>
          <w:rFonts w:hint="eastAsia" w:ascii="宋体" w:hAnsi="宋体" w:eastAsia="宋体" w:cs="宋体"/>
          <w:b/>
          <w:bCs/>
          <w:i w:val="0"/>
          <w:iCs w:val="0"/>
          <w:caps w:val="0"/>
          <w:color w:val="000000" w:themeColor="text1"/>
          <w:spacing w:val="0"/>
          <w:kern w:val="2"/>
          <w:sz w:val="30"/>
          <w:szCs w:val="30"/>
          <w:vertAlign w:val="baseline"/>
          <w:lang w:val="en-US" w:eastAsia="zh-CN" w:bidi="ar-SA"/>
          <w14:textFill>
            <w14:solidFill>
              <w14:schemeClr w14:val="tx1"/>
            </w14:solidFill>
          </w14:textFill>
        </w:rPr>
        <w:t>指标体系建构</w:t>
      </w:r>
      <w:bookmarkEnd w:id="14"/>
    </w:p>
    <w:p w14:paraId="0C81E19B">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default" w:ascii="Times New Roman" w:hAnsi="Times New Roman" w:eastAsia="宋体" w:cs="宋体"/>
          <w:b/>
          <w:bCs/>
          <w:sz w:val="28"/>
          <w:szCs w:val="28"/>
          <w:lang w:val="en-US" w:eastAsia="zh-CN"/>
        </w:rPr>
      </w:pPr>
      <w:bookmarkStart w:id="15" w:name="_Toc10747"/>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.1</w:t>
      </w:r>
      <w:r>
        <w:rPr>
          <w:rFonts w:hint="eastAsia" w:ascii="Times New Roman" w:hAnsi="Times New Roman" w:eastAsia="宋体" w:cs="宋体"/>
          <w:b/>
          <w:bCs/>
          <w:sz w:val="28"/>
          <w:szCs w:val="28"/>
          <w:lang w:val="en-US" w:eastAsia="zh-CN"/>
        </w:rPr>
        <w:t>数据来源</w:t>
      </w:r>
      <w:bookmarkEnd w:id="15"/>
    </w:p>
    <w:p w14:paraId="19F89987">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6" w:name="_Toc9217"/>
      <w:r>
        <w:rPr>
          <w:rFonts w:hint="eastAsia" w:ascii="Times New Roman" w:hAnsi="Times New Roman" w:eastAsia="宋体" w:cs="宋体"/>
          <w:b/>
          <w:bCs/>
          <w:sz w:val="24"/>
          <w:szCs w:val="24"/>
        </w:rPr>
        <w:t>3.1.1</w:t>
      </w:r>
      <w:r>
        <w:rPr>
          <w:rFonts w:hint="eastAsia" w:ascii="Times New Roman" w:hAnsi="Times New Roman" w:eastAsia="宋体" w:cs="宋体"/>
          <w:b/>
          <w:bCs/>
          <w:sz w:val="24"/>
          <w:szCs w:val="24"/>
          <w:lang w:val="en-US" w:eastAsia="zh-CN"/>
        </w:rPr>
        <w:t>样本范围</w:t>
      </w:r>
      <w:bookmarkEnd w:id="16"/>
    </w:p>
    <w:p w14:paraId="4E79AD0A">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rPr>
        <w:t>本研究</w:t>
      </w:r>
      <w:r>
        <w:rPr>
          <w:rFonts w:hint="eastAsia" w:ascii="宋体" w:hAnsi="宋体" w:eastAsia="宋体" w:cs="宋体"/>
          <w:b w:val="0"/>
          <w:bCs w:val="0"/>
          <w:sz w:val="24"/>
          <w:szCs w:val="24"/>
          <w:lang w:val="en-US" w:eastAsia="zh-CN"/>
        </w:rPr>
        <w:t>的</w:t>
      </w:r>
      <w:r>
        <w:rPr>
          <w:rFonts w:hint="eastAsia" w:ascii="宋体" w:hAnsi="宋体" w:eastAsia="宋体" w:cs="宋体"/>
          <w:b w:val="0"/>
          <w:bCs w:val="0"/>
          <w:sz w:val="24"/>
          <w:szCs w:val="24"/>
        </w:rPr>
        <w:t>问卷调查样本来自湖北省武汉市</w:t>
      </w:r>
      <w:r>
        <w:rPr>
          <w:rFonts w:hint="default" w:ascii="Times New Roman" w:hAnsi="Times New Roman" w:eastAsia="宋体" w:cs="Times New Roman"/>
          <w:b w:val="0"/>
          <w:bCs w:val="0"/>
          <w:sz w:val="24"/>
          <w:szCs w:val="24"/>
        </w:rPr>
        <w:t>8</w:t>
      </w:r>
      <w:r>
        <w:rPr>
          <w:rFonts w:hint="eastAsia" w:ascii="宋体" w:hAnsi="宋体" w:eastAsia="宋体" w:cs="宋体"/>
          <w:b w:val="0"/>
          <w:bCs w:val="0"/>
          <w:sz w:val="24"/>
          <w:szCs w:val="24"/>
        </w:rPr>
        <w:t>所高校（覆盖双一流</w:t>
      </w:r>
      <w:r>
        <w:rPr>
          <w:rFonts w:hint="default" w:ascii="Times New Roman" w:hAnsi="Times New Roman" w:eastAsia="宋体" w:cs="Times New Roman"/>
          <w:b w:val="0"/>
          <w:bCs w:val="0"/>
          <w:sz w:val="24"/>
          <w:szCs w:val="24"/>
        </w:rPr>
        <w:t>2</w:t>
      </w:r>
      <w:r>
        <w:rPr>
          <w:rFonts w:hint="eastAsia" w:ascii="宋体" w:hAnsi="宋体" w:eastAsia="宋体" w:cs="宋体"/>
          <w:b w:val="0"/>
          <w:bCs w:val="0"/>
          <w:sz w:val="24"/>
          <w:szCs w:val="24"/>
        </w:rPr>
        <w:t>所、普通本科</w:t>
      </w:r>
      <w:r>
        <w:rPr>
          <w:rFonts w:hint="default" w:ascii="Times New Roman" w:hAnsi="Times New Roman" w:eastAsia="宋体" w:cs="Times New Roman"/>
          <w:b w:val="0"/>
          <w:bCs w:val="0"/>
          <w:sz w:val="24"/>
          <w:szCs w:val="24"/>
        </w:rPr>
        <w:t>5</w:t>
      </w:r>
      <w:r>
        <w:rPr>
          <w:rFonts w:hint="eastAsia" w:ascii="宋体" w:hAnsi="宋体" w:eastAsia="宋体" w:cs="宋体"/>
          <w:b w:val="0"/>
          <w:bCs w:val="0"/>
          <w:sz w:val="24"/>
          <w:szCs w:val="24"/>
        </w:rPr>
        <w:t>所、专科</w:t>
      </w:r>
      <w:r>
        <w:rPr>
          <w:rFonts w:hint="default" w:ascii="Times New Roman" w:hAnsi="Times New Roman" w:eastAsia="宋体" w:cs="Times New Roman"/>
          <w:b w:val="0"/>
          <w:bCs w:val="0"/>
          <w:sz w:val="24"/>
          <w:szCs w:val="24"/>
        </w:rPr>
        <w:t>1</w:t>
      </w:r>
      <w:r>
        <w:rPr>
          <w:rFonts w:hint="eastAsia" w:ascii="宋体" w:hAnsi="宋体" w:eastAsia="宋体" w:cs="宋体"/>
          <w:b w:val="0"/>
          <w:bCs w:val="0"/>
          <w:sz w:val="24"/>
          <w:szCs w:val="24"/>
        </w:rPr>
        <w:t>所），兼顾学科门类（理工科、人文社科、经管类）与办学层次差异</w:t>
      </w:r>
      <w:r>
        <w:rPr>
          <w:rFonts w:hint="default" w:ascii="Times New Roman" w:hAnsi="Times New Roman" w:eastAsia="宋体" w:cs="Times New Roman"/>
          <w:b w:val="0"/>
          <w:bCs w:val="0"/>
          <w:sz w:val="24"/>
          <w:szCs w:val="24"/>
          <w:lang w:eastAsia="zh-CN"/>
        </w:rPr>
        <w:t>.</w:t>
      </w:r>
    </w:p>
    <w:p w14:paraId="179B104C">
      <w:pPr>
        <w:keepNext w:val="0"/>
        <w:keepLines w:val="0"/>
        <w:pageBreakBefore w:val="0"/>
        <w:widowControl w:val="0"/>
        <w:kinsoku/>
        <w:wordWrap/>
        <w:overflowPunct/>
        <w:topLinePunct w:val="0"/>
        <w:autoSpaceDE/>
        <w:autoSpaceDN/>
        <w:bidi w:val="0"/>
        <w:adjustRightInd/>
        <w:snapToGrid/>
        <w:spacing w:line="360" w:lineRule="auto"/>
        <w:ind w:firstLine="723" w:firstLineChars="300"/>
        <w:jc w:val="left"/>
        <w:textAlignment w:val="auto"/>
        <w:outlineLvl w:val="2"/>
        <w:rPr>
          <w:rFonts w:hint="default" w:ascii="Times New Roman" w:hAnsi="Times New Roman" w:eastAsia="宋体" w:cs="宋体"/>
          <w:b/>
          <w:bCs/>
          <w:sz w:val="24"/>
          <w:szCs w:val="24"/>
          <w:lang w:val="en-US" w:eastAsia="zh-CN"/>
        </w:rPr>
      </w:pPr>
      <w:bookmarkStart w:id="17" w:name="_Toc29418"/>
      <w:r>
        <w:rPr>
          <w:rFonts w:hint="eastAsia" w:ascii="Times New Roman" w:hAnsi="Times New Roman" w:eastAsia="宋体" w:cs="宋体"/>
          <w:b/>
          <w:bCs/>
          <w:sz w:val="24"/>
          <w:szCs w:val="24"/>
        </w:rPr>
        <w:t>3.1.</w:t>
      </w:r>
      <w:r>
        <w:rPr>
          <w:rFonts w:hint="eastAsia" w:ascii="Times New Roman" w:hAnsi="Times New Roman" w:eastAsia="宋体" w:cs="宋体"/>
          <w:b/>
          <w:bCs/>
          <w:sz w:val="24"/>
          <w:szCs w:val="24"/>
          <w:lang w:val="en-US" w:eastAsia="zh-CN"/>
        </w:rPr>
        <w:t>2问卷收集</w:t>
      </w:r>
      <w:bookmarkEnd w:id="17"/>
    </w:p>
    <w:p w14:paraId="30FD8903">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bCs w:val="0"/>
          <w:sz w:val="24"/>
          <w:szCs w:val="24"/>
          <w:lang w:val="en-US" w:eastAsia="zh-CN"/>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我们一共得到了调查问卷150份，除去无作用的调查问卷（填写时间小于30秒、逻辑矛盾）后，有效样本103份，应答率68.7%</w:t>
      </w:r>
      <w:r>
        <w:rPr>
          <w:rFonts w:hint="eastAsia" w:ascii="Times New Roman" w:hAnsi="Times New Roman" w:eastAsia="宋体" w:cs="宋体"/>
          <w:b w:val="0"/>
          <w:bCs w:val="0"/>
          <w:sz w:val="24"/>
          <w:szCs w:val="24"/>
          <w:lang w:val="en-US" w:eastAsia="zh-CN"/>
        </w:rPr>
        <w:t>.</w:t>
      </w:r>
    </w:p>
    <w:p w14:paraId="4D5677D1">
      <w:pPr>
        <w:keepNext w:val="0"/>
        <w:keepLines w:val="0"/>
        <w:pageBreakBefore w:val="0"/>
        <w:widowControl w:val="0"/>
        <w:kinsoku/>
        <w:wordWrap/>
        <w:overflowPunct/>
        <w:topLinePunct w:val="0"/>
        <w:autoSpaceDE/>
        <w:autoSpaceDN/>
        <w:bidi w:val="0"/>
        <w:adjustRightInd/>
        <w:snapToGrid/>
        <w:spacing w:line="360" w:lineRule="auto"/>
        <w:ind w:firstLine="562" w:firstLineChars="200"/>
        <w:jc w:val="left"/>
        <w:textAlignment w:val="auto"/>
        <w:outlineLvl w:val="1"/>
        <w:rPr>
          <w:rFonts w:hint="eastAsia" w:ascii="Times New Roman" w:hAnsi="Times New Roman" w:eastAsia="宋体" w:cs="宋体"/>
          <w:b/>
          <w:bCs/>
          <w:sz w:val="28"/>
          <w:szCs w:val="28"/>
          <w:lang w:val="en-US" w:eastAsia="zh-CN"/>
        </w:rPr>
      </w:pPr>
      <w:bookmarkStart w:id="18" w:name="_Toc8814"/>
      <w:r>
        <w:rPr>
          <w:rFonts w:hint="eastAsia" w:ascii="Times New Roman" w:hAnsi="Times New Roman" w:eastAsia="宋体" w:cs="宋体"/>
          <w:b/>
          <w:bCs/>
          <w:sz w:val="28"/>
          <w:szCs w:val="28"/>
          <w:lang w:val="en-US" w:eastAsia="zh-CN"/>
        </w:rPr>
        <w:t>3</w:t>
      </w:r>
      <w:r>
        <w:rPr>
          <w:rFonts w:hint="eastAsia" w:ascii="Times New Roman" w:hAnsi="Times New Roman" w:eastAsia="宋体" w:cs="宋体"/>
          <w:b/>
          <w:bCs/>
          <w:sz w:val="28"/>
          <w:szCs w:val="28"/>
        </w:rPr>
        <w:t>.2</w:t>
      </w:r>
      <w:r>
        <w:rPr>
          <w:rFonts w:hint="eastAsia" w:ascii="Times New Roman" w:hAnsi="Times New Roman" w:eastAsia="宋体" w:cs="宋体"/>
          <w:b/>
          <w:bCs/>
          <w:sz w:val="28"/>
          <w:szCs w:val="28"/>
          <w:lang w:val="en-US" w:eastAsia="zh-CN"/>
        </w:rPr>
        <w:t>变量定义与测量</w:t>
      </w:r>
      <w:bookmarkEnd w:id="18"/>
    </w:p>
    <w:p w14:paraId="66EC84D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本研究主要从高校毕业生个体的个人因素、学校因素、家庭因素三个方面来对高校毕业生的就业因素来进行分析</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begin"/>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instrText xml:space="preserve"> REF _Ref23445 \r \h </w:instrTex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separate"/>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vertAlign w:val="superscript"/>
          <w:lang w:val="en-US" w:eastAsia="zh-CN"/>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为了反映上述所说的三个方面因素，我们选择下面的</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个指标来进行统计分析</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这</w:t>
      </w:r>
      <w:r>
        <w:rPr>
          <w:rFonts w:hint="default" w:ascii="Times New Roman" w:hAnsi="Times New Roman" w:eastAsia="宋体" w:cs="Times New Roman"/>
          <w:i w:val="0"/>
          <w:iCs w:val="0"/>
          <w:caps w:val="0"/>
          <w:color w:val="000000" w:themeColor="text1"/>
          <w:spacing w:val="0"/>
          <w:sz w:val="24"/>
          <w:szCs w:val="24"/>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lang w:val="en-US" w:eastAsia="zh-CN"/>
          <w14:textFill>
            <w14:solidFill>
              <w14:schemeClr w14:val="tx1"/>
            </w14:solidFill>
          </w14:textFill>
        </w:rPr>
        <w:t>个指标包括</w:t>
      </w:r>
      <m:oMath>
        <m:sSub>
          <m:sSubPr>
            <m:ctrlPr>
              <w:rPr>
                <w:rFonts w:ascii="Cambria Math" w:hAnsi="Cambria Math" w:cs="宋体"/>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性别，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GPA</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（平均绩点），</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是否有实习经历，</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学校层次，</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专业类别，</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家庭年收入，</w:t>
      </w:r>
      <m:oMath>
        <m:sSub>
          <m:sSubP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父母最高学历.之所以选择这</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7</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个指标，一方面是通过对相关领域文献的广泛阅读和综合分析，了解前人在研究高校毕业生就业影响因素方面已经取得的成果和共识，另一方面是根据目前的就业环境以及部分岗位的招聘要求，确定这些指标确实会对高校毕业生的就业产生影响.这7个指标</w:t>
      </w:r>
      <w:bookmarkStart w:id="42" w:name="_GoBack"/>
      <w:bookmarkEnd w:id="42"/>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具体的测量方式和赋值说明如表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所示：</w:t>
      </w:r>
    </w:p>
    <w:p w14:paraId="04257ECC">
      <w:pPr>
        <w:numPr>
          <w:ilvl w:val="0"/>
          <w:numId w:val="0"/>
        </w:numPr>
        <w:spacing w:line="360" w:lineRule="auto"/>
        <w:ind w:leftChars="0"/>
        <w:jc w:val="center"/>
        <w:rPr>
          <w:rFonts w:hint="default"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i w:val="0"/>
          <w:iCs w:val="0"/>
          <w:caps w:val="0"/>
          <w:color w:val="000000" w:themeColor="text1"/>
          <w:spacing w:val="0"/>
          <w:sz w:val="24"/>
          <w:szCs w:val="24"/>
          <w:vertAlign w:val="baseline"/>
          <w:lang w:val="en-US" w:eastAsia="zh-CN"/>
          <w14:textFill>
            <w14:solidFill>
              <w14:schemeClr w14:val="tx1"/>
            </w14:solidFill>
          </w14:textFill>
        </w:rPr>
        <w:t xml:space="preserve"> 变量的测量方式和赋值说明</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5"/>
        <w:gridCol w:w="1970"/>
        <w:gridCol w:w="3125"/>
        <w:gridCol w:w="2500"/>
      </w:tblGrid>
      <w:tr w14:paraId="0A455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85" w:type="dxa"/>
            <w:tcBorders>
              <w:top w:val="single" w:color="000000" w:sz="12" w:space="0"/>
              <w:left w:val="nil"/>
              <w:bottom w:val="single" w:color="000000" w:sz="4" w:space="0"/>
              <w:right w:val="nil"/>
              <w:tl2br w:val="nil"/>
            </w:tcBorders>
            <w:shd w:val="clear" w:color="auto" w:fill="FFFFFF"/>
            <w:vAlign w:val="center"/>
          </w:tcPr>
          <w:p w14:paraId="00AD41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变量类型</w:t>
            </w:r>
          </w:p>
        </w:tc>
        <w:tc>
          <w:tcPr>
            <w:tcW w:w="1970" w:type="dxa"/>
            <w:tcBorders>
              <w:top w:val="single" w:color="000000" w:sz="12" w:space="0"/>
              <w:left w:val="nil"/>
              <w:bottom w:val="single" w:color="000000" w:sz="4" w:space="0"/>
              <w:right w:val="nil"/>
            </w:tcBorders>
            <w:shd w:val="clear" w:color="auto" w:fill="FFFFFF"/>
            <w:vAlign w:val="center"/>
          </w:tcPr>
          <w:p w14:paraId="033472B8">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变量名</w:t>
            </w:r>
          </w:p>
        </w:tc>
        <w:tc>
          <w:tcPr>
            <w:tcW w:w="3125" w:type="dxa"/>
            <w:tcBorders>
              <w:top w:val="single" w:color="000000" w:sz="12" w:space="0"/>
              <w:left w:val="nil"/>
              <w:bottom w:val="single" w:color="000000" w:sz="4" w:space="0"/>
              <w:right w:val="nil"/>
            </w:tcBorders>
            <w:shd w:val="clear" w:color="auto" w:fill="FFFFFF"/>
            <w:vAlign w:val="center"/>
          </w:tcPr>
          <w:p w14:paraId="0654FD3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测量方式</w:t>
            </w:r>
          </w:p>
        </w:tc>
        <w:tc>
          <w:tcPr>
            <w:tcW w:w="2500" w:type="dxa"/>
            <w:tcBorders>
              <w:top w:val="single" w:color="000000" w:sz="12" w:space="0"/>
              <w:left w:val="nil"/>
              <w:bottom w:val="single" w:color="000000" w:sz="4" w:space="0"/>
              <w:right w:val="nil"/>
            </w:tcBorders>
            <w:shd w:val="clear" w:color="auto" w:fill="FFFFFF"/>
            <w:vAlign w:val="center"/>
          </w:tcPr>
          <w:p w14:paraId="530ECCE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赋值/单位</w:t>
            </w:r>
          </w:p>
        </w:tc>
      </w:tr>
      <w:tr w14:paraId="5416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1185" w:type="dxa"/>
            <w:tcBorders>
              <w:top w:val="single" w:color="000000" w:sz="4" w:space="0"/>
              <w:left w:val="nil"/>
              <w:bottom w:val="nil"/>
              <w:right w:val="nil"/>
            </w:tcBorders>
            <w:shd w:val="clear" w:color="auto" w:fill="FFFFFF"/>
            <w:vAlign w:val="center"/>
          </w:tcPr>
          <w:p w14:paraId="12EC756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因变量</w:t>
            </w:r>
          </w:p>
        </w:tc>
        <w:tc>
          <w:tcPr>
            <w:tcW w:w="1970" w:type="dxa"/>
            <w:tcBorders>
              <w:top w:val="single" w:color="000000" w:sz="4" w:space="0"/>
              <w:left w:val="nil"/>
              <w:bottom w:val="nil"/>
              <w:right w:val="nil"/>
            </w:tcBorders>
            <w:shd w:val="clear" w:color="auto" w:fill="FFFFFF"/>
            <w:vAlign w:val="center"/>
          </w:tcPr>
          <w:p w14:paraId="149866A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就业状态</w:t>
            </w:r>
          </w:p>
        </w:tc>
        <w:tc>
          <w:tcPr>
            <w:tcW w:w="3125" w:type="dxa"/>
            <w:tcBorders>
              <w:top w:val="single" w:color="000000" w:sz="4" w:space="0"/>
              <w:left w:val="nil"/>
              <w:bottom w:val="nil"/>
              <w:right w:val="nil"/>
            </w:tcBorders>
            <w:shd w:val="clear" w:color="auto" w:fill="FFFFFF"/>
            <w:vAlign w:val="center"/>
          </w:tcPr>
          <w:p w14:paraId="5F1DD760">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毕业后</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个月内签订全职合同</w:t>
            </w:r>
          </w:p>
        </w:tc>
        <w:tc>
          <w:tcPr>
            <w:tcW w:w="2500" w:type="dxa"/>
            <w:tcBorders>
              <w:top w:val="single" w:color="000000" w:sz="4" w:space="0"/>
              <w:left w:val="nil"/>
              <w:bottom w:val="nil"/>
              <w:right w:val="nil"/>
            </w:tcBorders>
            <w:shd w:val="clear" w:color="auto" w:fill="FFFFFF"/>
            <w:vAlign w:val="center"/>
          </w:tcPr>
          <w:p w14:paraId="41FADC0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已就业，</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未就业</w:t>
            </w:r>
          </w:p>
        </w:tc>
      </w:tr>
      <w:tr w14:paraId="7F8B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185" w:type="dxa"/>
            <w:tcBorders>
              <w:top w:val="nil"/>
              <w:left w:val="nil"/>
              <w:bottom w:val="nil"/>
              <w:right w:val="nil"/>
            </w:tcBorders>
            <w:shd w:val="clear" w:color="auto" w:fill="FFFFFF"/>
            <w:vAlign w:val="center"/>
          </w:tcPr>
          <w:p w14:paraId="2329452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自变量</w:t>
            </w:r>
          </w:p>
        </w:tc>
        <w:tc>
          <w:tcPr>
            <w:tcW w:w="1970" w:type="dxa"/>
            <w:tcBorders>
              <w:top w:val="nil"/>
              <w:left w:val="nil"/>
              <w:bottom w:val="nil"/>
              <w:right w:val="nil"/>
            </w:tcBorders>
            <w:shd w:val="clear" w:color="auto" w:fill="FFFFFF"/>
            <w:vAlign w:val="center"/>
          </w:tcPr>
          <w:p w14:paraId="54A44AA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3125" w:type="dxa"/>
            <w:tcBorders>
              <w:top w:val="nil"/>
              <w:left w:val="nil"/>
              <w:bottom w:val="nil"/>
              <w:right w:val="nil"/>
            </w:tcBorders>
            <w:shd w:val="clear" w:color="auto" w:fill="FFFFFF"/>
            <w:vAlign w:val="center"/>
          </w:tcPr>
          <w:p w14:paraId="01E0BC3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2500" w:type="dxa"/>
            <w:tcBorders>
              <w:top w:val="nil"/>
              <w:left w:val="nil"/>
              <w:bottom w:val="nil"/>
              <w:right w:val="nil"/>
            </w:tcBorders>
            <w:shd w:val="clear" w:color="auto" w:fill="FFFFFF"/>
            <w:vAlign w:val="center"/>
          </w:tcPr>
          <w:p w14:paraId="11D49D9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r>
      <w:tr w14:paraId="64882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85" w:type="dxa"/>
            <w:vMerge w:val="restart"/>
            <w:tcBorders>
              <w:top w:val="nil"/>
              <w:left w:val="nil"/>
              <w:bottom w:val="nil"/>
              <w:right w:val="nil"/>
            </w:tcBorders>
            <w:shd w:val="clear" w:color="auto" w:fill="FFFFFF"/>
            <w:vAlign w:val="center"/>
          </w:tcPr>
          <w:p w14:paraId="794867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个人因素</w:t>
            </w:r>
          </w:p>
        </w:tc>
        <w:tc>
          <w:tcPr>
            <w:tcW w:w="1970" w:type="dxa"/>
            <w:tcBorders>
              <w:top w:val="nil"/>
              <w:left w:val="nil"/>
              <w:bottom w:val="nil"/>
              <w:right w:val="nil"/>
            </w:tcBorders>
            <w:shd w:val="clear" w:color="auto" w:fill="FFFFFF"/>
            <w:vAlign w:val="center"/>
          </w:tcPr>
          <w:p w14:paraId="3A19BA4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e>
                <m:sub>
                  <m:r>
                    <m:rPr/>
                    <w:rPr>
                      <w:rFonts w:hint="default" w:ascii="Cambria Math" w:hAnsi="Cambria Math" w:cs="宋体"/>
                      <w:caps w:val="0"/>
                      <w:color w:val="000000" w:themeColor="text1"/>
                      <w:spacing w:val="0"/>
                      <w:sz w:val="24"/>
                      <w:szCs w:val="24"/>
                      <w:lang w:val="en-US" w:eastAsia="zh-CN"/>
                      <w14:textFill>
                        <w14:solidFill>
                          <w14:schemeClr w14:val="tx1"/>
                        </w14:solidFill>
                      </w14:textFill>
                    </w:rPr>
                    <m:t>1</m:t>
                  </m:r>
                  <m:ctrlPr>
                    <w:rPr>
                      <w:rFonts w:ascii="Cambria Math" w:hAnsi="Cambria Math" w:cs="宋体"/>
                      <w:b w:val="0"/>
                      <w:i/>
                      <w:iCs w:val="0"/>
                      <w:caps w:val="0"/>
                      <w:color w:val="000000" w:themeColor="text1"/>
                      <w:spacing w:val="0"/>
                      <w:sz w:val="24"/>
                      <w:szCs w:val="24"/>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性别</w:t>
            </w:r>
          </w:p>
        </w:tc>
        <w:tc>
          <w:tcPr>
            <w:tcW w:w="3125" w:type="dxa"/>
            <w:tcBorders>
              <w:top w:val="nil"/>
              <w:left w:val="nil"/>
              <w:bottom w:val="nil"/>
              <w:right w:val="nil"/>
            </w:tcBorders>
            <w:shd w:val="clear" w:color="auto" w:fill="FFFFFF"/>
            <w:vAlign w:val="center"/>
          </w:tcPr>
          <w:p w14:paraId="3EED9E8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学生自填</w:t>
            </w:r>
          </w:p>
        </w:tc>
        <w:tc>
          <w:tcPr>
            <w:tcW w:w="2500" w:type="dxa"/>
            <w:tcBorders>
              <w:top w:val="nil"/>
              <w:left w:val="nil"/>
              <w:bottom w:val="nil"/>
              <w:right w:val="nil"/>
            </w:tcBorders>
            <w:shd w:val="clear" w:color="auto" w:fill="FFFFFF"/>
            <w:vAlign w:val="center"/>
          </w:tcPr>
          <w:p w14:paraId="22EB7E2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男，</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女</w:t>
            </w:r>
          </w:p>
        </w:tc>
      </w:tr>
      <w:tr w14:paraId="2C05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trPr>
        <w:tc>
          <w:tcPr>
            <w:tcW w:w="1185" w:type="dxa"/>
            <w:vMerge w:val="continue"/>
            <w:tcBorders>
              <w:top w:val="nil"/>
              <w:left w:val="nil"/>
              <w:bottom w:val="nil"/>
              <w:right w:val="nil"/>
            </w:tcBorders>
            <w:shd w:val="clear" w:color="auto" w:fill="FFFFFF"/>
            <w:vAlign w:val="center"/>
          </w:tcPr>
          <w:p w14:paraId="658031E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4A183069">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2</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GPA</w:t>
            </w:r>
          </w:p>
        </w:tc>
        <w:tc>
          <w:tcPr>
            <w:tcW w:w="3125" w:type="dxa"/>
            <w:tcBorders>
              <w:top w:val="nil"/>
              <w:left w:val="nil"/>
              <w:bottom w:val="nil"/>
              <w:right w:val="nil"/>
            </w:tcBorders>
            <w:shd w:val="clear" w:color="auto" w:fill="FFFFFF"/>
            <w:vAlign w:val="center"/>
          </w:tcPr>
          <w:p w14:paraId="5B1E1C6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教务系统提供四年平均学分绩</w:t>
            </w:r>
          </w:p>
        </w:tc>
        <w:tc>
          <w:tcPr>
            <w:tcW w:w="2500" w:type="dxa"/>
            <w:tcBorders>
              <w:top w:val="nil"/>
              <w:left w:val="nil"/>
              <w:bottom w:val="nil"/>
              <w:right w:val="nil"/>
            </w:tcBorders>
            <w:shd w:val="clear" w:color="auto" w:fill="FFFFFF"/>
            <w:vAlign w:val="center"/>
          </w:tcPr>
          <w:p w14:paraId="48F1316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连续变量</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（0.0-5.0）</w:t>
            </w:r>
          </w:p>
        </w:tc>
      </w:tr>
      <w:tr w14:paraId="7346A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4" w:hRule="atLeast"/>
        </w:trPr>
        <w:tc>
          <w:tcPr>
            <w:tcW w:w="1185" w:type="dxa"/>
            <w:vMerge w:val="continue"/>
            <w:tcBorders>
              <w:top w:val="nil"/>
              <w:left w:val="nil"/>
              <w:bottom w:val="nil"/>
              <w:right w:val="nil"/>
            </w:tcBorders>
            <w:shd w:val="clear" w:color="auto" w:fill="FFFFFF"/>
            <w:vAlign w:val="center"/>
          </w:tcPr>
          <w:p w14:paraId="242AFB4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1492A02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3</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实习经历</w:t>
            </w:r>
          </w:p>
        </w:tc>
        <w:tc>
          <w:tcPr>
            <w:tcW w:w="3125" w:type="dxa"/>
            <w:tcBorders>
              <w:top w:val="nil"/>
              <w:left w:val="nil"/>
              <w:bottom w:val="nil"/>
              <w:right w:val="nil"/>
            </w:tcBorders>
            <w:shd w:val="clear" w:color="auto" w:fill="FFFFFF"/>
            <w:vAlign w:val="center"/>
          </w:tcPr>
          <w:p w14:paraId="6994D542">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累计实习时长</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m:t>
              </m:r>
            </m:oMath>
            <w:r>
              <w:rPr>
                <w:rFonts w:hint="default" w:ascii="Times New Roman" w:hAnsi="Times New Roman"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个月且与专业相关</w:t>
            </w:r>
          </w:p>
        </w:tc>
        <w:tc>
          <w:tcPr>
            <w:tcW w:w="2500" w:type="dxa"/>
            <w:tcBorders>
              <w:top w:val="nil"/>
              <w:left w:val="nil"/>
              <w:bottom w:val="nil"/>
              <w:right w:val="nil"/>
            </w:tcBorders>
            <w:shd w:val="clear" w:color="auto" w:fill="FFFFFF"/>
            <w:vAlign w:val="center"/>
          </w:tcPr>
          <w:p w14:paraId="6458BF5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有，</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无</w:t>
            </w:r>
          </w:p>
        </w:tc>
      </w:tr>
      <w:tr w14:paraId="7C84C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trPr>
        <w:tc>
          <w:tcPr>
            <w:tcW w:w="1185" w:type="dxa"/>
            <w:vMerge w:val="restart"/>
            <w:tcBorders>
              <w:top w:val="nil"/>
              <w:left w:val="nil"/>
              <w:bottom w:val="nil"/>
              <w:right w:val="nil"/>
            </w:tcBorders>
            <w:shd w:val="clear" w:color="auto" w:fill="FFFFFF"/>
            <w:vAlign w:val="center"/>
          </w:tcPr>
          <w:p w14:paraId="739296F7">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学校因素</w:t>
            </w:r>
          </w:p>
        </w:tc>
        <w:tc>
          <w:tcPr>
            <w:tcW w:w="1970" w:type="dxa"/>
            <w:tcBorders>
              <w:top w:val="nil"/>
              <w:left w:val="nil"/>
              <w:bottom w:val="nil"/>
              <w:right w:val="nil"/>
            </w:tcBorders>
            <w:shd w:val="clear" w:color="auto" w:fill="FFFFFF"/>
            <w:vAlign w:val="center"/>
          </w:tcPr>
          <w:p w14:paraId="1999D95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4</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学校层次</w:t>
            </w:r>
          </w:p>
        </w:tc>
        <w:tc>
          <w:tcPr>
            <w:tcW w:w="3125" w:type="dxa"/>
            <w:tcBorders>
              <w:top w:val="nil"/>
              <w:left w:val="nil"/>
              <w:bottom w:val="nil"/>
              <w:right w:val="nil"/>
            </w:tcBorders>
            <w:shd w:val="clear" w:color="auto" w:fill="FFFFFF"/>
            <w:vAlign w:val="center"/>
          </w:tcPr>
          <w:p w14:paraId="5CE0298F">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教育部分类</w:t>
            </w:r>
          </w:p>
        </w:tc>
        <w:tc>
          <w:tcPr>
            <w:tcW w:w="2500" w:type="dxa"/>
            <w:tcBorders>
              <w:top w:val="nil"/>
              <w:left w:val="nil"/>
              <w:bottom w:val="nil"/>
              <w:right w:val="nil"/>
            </w:tcBorders>
            <w:shd w:val="clear" w:color="auto" w:fill="FFFFFF"/>
            <w:vAlign w:val="center"/>
          </w:tcPr>
          <w:p w14:paraId="19C91AD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双一流，</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普通本科，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专科</w:t>
            </w:r>
          </w:p>
        </w:tc>
      </w:tr>
      <w:tr w14:paraId="48207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1185" w:type="dxa"/>
            <w:vMerge w:val="continue"/>
            <w:tcBorders>
              <w:top w:val="nil"/>
              <w:left w:val="nil"/>
              <w:bottom w:val="nil"/>
              <w:right w:val="nil"/>
            </w:tcBorders>
            <w:shd w:val="clear" w:color="auto" w:fill="FFFFFF"/>
            <w:vAlign w:val="center"/>
          </w:tcPr>
          <w:p w14:paraId="6B2D5FD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nil"/>
              <w:right w:val="nil"/>
            </w:tcBorders>
            <w:shd w:val="clear" w:color="auto" w:fill="FFFFFF"/>
            <w:vAlign w:val="center"/>
          </w:tcPr>
          <w:p w14:paraId="7FC5624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5</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专业类别</w:t>
            </w:r>
          </w:p>
        </w:tc>
        <w:tc>
          <w:tcPr>
            <w:tcW w:w="3125" w:type="dxa"/>
            <w:tcBorders>
              <w:top w:val="nil"/>
              <w:left w:val="nil"/>
              <w:bottom w:val="nil"/>
              <w:right w:val="nil"/>
            </w:tcBorders>
            <w:shd w:val="clear" w:color="auto" w:fill="FFFFFF"/>
            <w:vAlign w:val="center"/>
          </w:tcPr>
          <w:p w14:paraId="1F1939F4">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学科分类</w:t>
            </w:r>
          </w:p>
        </w:tc>
        <w:tc>
          <w:tcPr>
            <w:tcW w:w="2500" w:type="dxa"/>
            <w:tcBorders>
              <w:top w:val="nil"/>
              <w:left w:val="nil"/>
              <w:bottom w:val="nil"/>
              <w:right w:val="nil"/>
            </w:tcBorders>
            <w:shd w:val="clear" w:color="auto" w:fill="FFFFFF"/>
            <w:vAlign w:val="center"/>
          </w:tcPr>
          <w:p w14:paraId="656E4901">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理科，</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文科</w:t>
            </w:r>
          </w:p>
        </w:tc>
      </w:tr>
      <w:tr w14:paraId="38A6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4" w:hRule="atLeast"/>
        </w:trPr>
        <w:tc>
          <w:tcPr>
            <w:tcW w:w="1185" w:type="dxa"/>
            <w:vMerge w:val="restart"/>
            <w:tcBorders>
              <w:top w:val="nil"/>
              <w:left w:val="nil"/>
              <w:bottom w:val="nil"/>
              <w:right w:val="nil"/>
            </w:tcBorders>
            <w:shd w:val="clear" w:color="auto" w:fill="FFFFFF"/>
            <w:vAlign w:val="center"/>
          </w:tcPr>
          <w:p w14:paraId="2009631C">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家庭因素</w:t>
            </w:r>
          </w:p>
        </w:tc>
        <w:tc>
          <w:tcPr>
            <w:tcW w:w="1970" w:type="dxa"/>
            <w:tcBorders>
              <w:top w:val="nil"/>
              <w:left w:val="nil"/>
              <w:bottom w:val="nil"/>
              <w:right w:val="nil"/>
            </w:tcBorders>
            <w:shd w:val="clear" w:color="auto" w:fill="FFFFFF"/>
            <w:vAlign w:val="center"/>
          </w:tcPr>
          <w:p w14:paraId="0F57FCEE">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6</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家庭年收入</w:t>
            </w:r>
          </w:p>
        </w:tc>
        <w:tc>
          <w:tcPr>
            <w:tcW w:w="3125" w:type="dxa"/>
            <w:tcBorders>
              <w:top w:val="nil"/>
              <w:left w:val="nil"/>
              <w:bottom w:val="nil"/>
              <w:right w:val="nil"/>
            </w:tcBorders>
            <w:shd w:val="clear" w:color="auto" w:fill="FFFFFF"/>
            <w:vAlign w:val="center"/>
          </w:tcPr>
          <w:p w14:paraId="219A0A83">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学生自报家庭年收入区间</w:t>
            </w:r>
          </w:p>
        </w:tc>
        <w:tc>
          <w:tcPr>
            <w:tcW w:w="2500" w:type="dxa"/>
            <w:tcBorders>
              <w:top w:val="nil"/>
              <w:left w:val="nil"/>
              <w:bottom w:val="nil"/>
              <w:right w:val="nil"/>
            </w:tcBorders>
            <w:shd w:val="clear" w:color="auto" w:fill="FFFFFF"/>
            <w:vAlign w:val="center"/>
          </w:tcPr>
          <w:p w14:paraId="1C1043A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5</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2=5-10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m:oMath>
              <m:r>
                <m:rPr>
                  <m:sty m:val="p"/>
                </m:rPr>
                <w:rPr>
                  <w:rFonts w:hint="default" w:ascii="Cambria Math" w:hAnsi="Cambria Math" w:cs="Times New Roman"/>
                  <w:caps w:val="0"/>
                  <w:color w:val="000000" w:themeColor="text1"/>
                  <w:spacing w:val="0"/>
                  <w:sz w:val="24"/>
                  <w:szCs w:val="24"/>
                  <w:vertAlign w:val="baseline"/>
                  <w:lang w:val="en-US"/>
                  <w14:textFill>
                    <w14:solidFill>
                      <w14:schemeClr w14:val="tx1"/>
                    </w14:solidFill>
                  </w14:textFill>
                </w:rPr>
                <m:t>&gt;</m:t>
              </m:r>
            </m:oMath>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10</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万</w:t>
            </w:r>
          </w:p>
        </w:tc>
      </w:tr>
      <w:tr w14:paraId="0BB4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4" w:hRule="atLeast"/>
        </w:trPr>
        <w:tc>
          <w:tcPr>
            <w:tcW w:w="1185" w:type="dxa"/>
            <w:vMerge w:val="continue"/>
            <w:tcBorders>
              <w:top w:val="nil"/>
              <w:left w:val="nil"/>
              <w:bottom w:val="single" w:color="000000" w:sz="12" w:space="0"/>
              <w:right w:val="nil"/>
            </w:tcBorders>
            <w:shd w:val="clear" w:color="auto" w:fill="FFFFFF"/>
            <w:vAlign w:val="center"/>
          </w:tcPr>
          <w:p w14:paraId="7D85F1BD">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p>
        </w:tc>
        <w:tc>
          <w:tcPr>
            <w:tcW w:w="1970" w:type="dxa"/>
            <w:tcBorders>
              <w:top w:val="nil"/>
              <w:left w:val="nil"/>
              <w:bottom w:val="single" w:color="000000" w:sz="12" w:space="0"/>
              <w:right w:val="nil"/>
            </w:tcBorders>
            <w:shd w:val="clear" w:color="auto" w:fill="FFFFFF"/>
            <w:vAlign w:val="center"/>
          </w:tcPr>
          <w:p w14:paraId="33A6244B">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m:oMath>
              <m:sSub>
                <m:sSubP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SubPr>
                <m:e>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x</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e>
                <m:sub>
                  <m:r>
                    <m:rPr/>
                    <w:rPr>
                      <w:rFonts w:hint="default" w:ascii="Cambria Math" w:hAnsi="Cambria Math" w:cs="宋体"/>
                      <w:caps w:val="0"/>
                      <w:color w:val="000000" w:themeColor="text1"/>
                      <w:spacing w:val="0"/>
                      <w:sz w:val="24"/>
                      <w:szCs w:val="24"/>
                      <w:vertAlign w:val="baseline"/>
                      <w:lang w:val="en-US" w:eastAsia="zh-CN"/>
                      <w14:textFill>
                        <w14:solidFill>
                          <w14:schemeClr w14:val="tx1"/>
                        </w14:solidFill>
                      </w14:textFill>
                    </w:rPr>
                    <m:t>7</m:t>
                  </m:r>
                  <m:ctrlPr>
                    <w:rPr>
                      <w:rFonts w:ascii="Cambria Math" w:hAnsi="Cambria Math" w:cs="宋体"/>
                      <w:b w:val="0"/>
                      <w:i/>
                      <w:iCs w:val="0"/>
                      <w:caps w:val="0"/>
                      <w:color w:val="000000" w:themeColor="text1"/>
                      <w:spacing w:val="0"/>
                      <w:sz w:val="24"/>
                      <w:szCs w:val="24"/>
                      <w:vertAlign w:val="baseline"/>
                      <w:lang w:val="en-US"/>
                      <w14:textFill>
                        <w14:solidFill>
                          <w14:schemeClr w14:val="tx1"/>
                        </w14:solidFill>
                      </w14:textFill>
                    </w:rPr>
                  </m:ctrlPr>
                </m:sub>
              </m:sSub>
            </m:oMath>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父母最高学历</w:t>
            </w:r>
          </w:p>
        </w:tc>
        <w:tc>
          <w:tcPr>
            <w:tcW w:w="3125" w:type="dxa"/>
            <w:tcBorders>
              <w:top w:val="nil"/>
              <w:left w:val="nil"/>
              <w:bottom w:val="single" w:color="000000" w:sz="12" w:space="0"/>
              <w:right w:val="nil"/>
            </w:tcBorders>
            <w:shd w:val="clear" w:color="auto" w:fill="FFFFFF"/>
            <w:vAlign w:val="center"/>
          </w:tcPr>
          <w:p w14:paraId="00D388AA">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父母一方最高学历</w:t>
            </w:r>
          </w:p>
        </w:tc>
        <w:tc>
          <w:tcPr>
            <w:tcW w:w="2500" w:type="dxa"/>
            <w:tcBorders>
              <w:top w:val="nil"/>
              <w:left w:val="nil"/>
              <w:bottom w:val="single" w:color="000000" w:sz="12" w:space="0"/>
              <w:right w:val="nil"/>
            </w:tcBorders>
            <w:shd w:val="clear" w:color="auto" w:fill="FFFFFF"/>
            <w:vAlign w:val="center"/>
          </w:tcPr>
          <w:p w14:paraId="6B870D05">
            <w:pPr>
              <w:numPr>
                <w:ilvl w:val="0"/>
                <w:numId w:val="0"/>
              </w:numPr>
              <w:spacing w:line="360" w:lineRule="auto"/>
              <w:jc w:val="center"/>
              <w:rPr>
                <w:rFonts w:hint="default"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1=</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本科及以下，</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2=</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高中，</w:t>
            </w:r>
            <w:r>
              <w:rPr>
                <w:rFonts w:hint="default" w:ascii="Times New Roman" w:hAnsi="Times New Roman" w:eastAsia="宋体" w:cs="Times New Roman"/>
                <w:b w:val="0"/>
                <w:i w:val="0"/>
                <w:iCs w:val="0"/>
                <w:caps w:val="0"/>
                <w:color w:val="000000" w:themeColor="text1"/>
                <w:spacing w:val="0"/>
                <w:sz w:val="24"/>
                <w:szCs w:val="24"/>
                <w:vertAlign w:val="baseline"/>
                <w:lang w:val="en-US" w:eastAsia="zh-CN"/>
                <w14:textFill>
                  <w14:solidFill>
                    <w14:schemeClr w14:val="tx1"/>
                  </w14:solidFill>
                </w14:textFill>
              </w:rPr>
              <w:t>3=</w:t>
            </w:r>
            <w:r>
              <w:rPr>
                <w:rFonts w:hint="eastAsia" w:ascii="宋体" w:hAnsi="宋体" w:eastAsia="宋体" w:cs="宋体"/>
                <w:b w:val="0"/>
                <w:i w:val="0"/>
                <w:iCs w:val="0"/>
                <w:caps w:val="0"/>
                <w:color w:val="000000" w:themeColor="text1"/>
                <w:spacing w:val="0"/>
                <w:sz w:val="24"/>
                <w:szCs w:val="24"/>
                <w:vertAlign w:val="baseline"/>
                <w:lang w:val="en-US" w:eastAsia="zh-CN"/>
                <w14:textFill>
                  <w14:solidFill>
                    <w14:schemeClr w14:val="tx1"/>
                  </w14:solidFill>
                </w14:textFill>
              </w:rPr>
              <w:t>本科及以上</w:t>
            </w:r>
          </w:p>
        </w:tc>
      </w:tr>
    </w:tbl>
    <w:p w14:paraId="310779F5">
      <w:pPr>
        <w:numPr>
          <w:ilvl w:val="0"/>
          <w:numId w:val="2"/>
        </w:numPr>
        <w:spacing w:line="360" w:lineRule="auto"/>
        <w:ind w:left="0" w:leftChars="0" w:firstLine="0" w:firstLineChars="0"/>
        <w:jc w:val="left"/>
        <w:outlineLvl w:val="0"/>
        <w:rPr>
          <w:rFonts w:hint="default" w:ascii="Times New Roman" w:hAnsi="Times New Roman" w:eastAsia="宋体" w:cs="宋体"/>
          <w:b/>
          <w:bCs/>
          <w:sz w:val="30"/>
          <w:szCs w:val="30"/>
          <w:lang w:val="en-US" w:eastAsia="zh-CN"/>
        </w:rPr>
      </w:pPr>
      <w:bookmarkStart w:id="19" w:name="_Toc1429"/>
      <w:r>
        <w:rPr>
          <w:rFonts w:hint="eastAsia" w:ascii="Times New Roman" w:hAnsi="Times New Roman" w:eastAsia="宋体" w:cs="宋体"/>
          <w:b/>
          <w:bCs/>
          <w:sz w:val="30"/>
          <w:szCs w:val="30"/>
          <w:lang w:val="en-US" w:eastAsia="zh-CN"/>
        </w:rPr>
        <w:t>实证分析</w:t>
      </w:r>
      <w:bookmarkEnd w:id="19"/>
    </w:p>
    <w:p w14:paraId="51211B34">
      <w:pPr>
        <w:numPr>
          <w:ilvl w:val="0"/>
          <w:numId w:val="0"/>
        </w:numPr>
        <w:spacing w:line="360" w:lineRule="auto"/>
        <w:ind w:left="0" w:leftChars="0" w:firstLine="600" w:firstLineChars="0"/>
        <w:jc w:val="left"/>
        <w:outlineLvl w:val="1"/>
        <w:rPr>
          <w:rFonts w:hint="eastAsia" w:ascii="Times New Roman" w:hAnsi="Times New Roman" w:eastAsia="宋体" w:cs="宋体"/>
          <w:b w:val="0"/>
          <w:bCs w:val="0"/>
          <w:sz w:val="24"/>
          <w:szCs w:val="24"/>
          <w:lang w:val="en-US" w:eastAsia="zh-CN"/>
        </w:rPr>
      </w:pPr>
      <w:bookmarkStart w:id="20" w:name="_Toc29622"/>
      <w:r>
        <w:rPr>
          <w:rFonts w:hint="eastAsia" w:ascii="Times New Roman" w:hAnsi="Times New Roman" w:eastAsia="宋体" w:cs="宋体"/>
          <w:b/>
          <w:bCs/>
          <w:sz w:val="28"/>
          <w:szCs w:val="28"/>
          <w:lang w:val="en-US" w:eastAsia="zh-CN"/>
        </w:rPr>
        <w:t>4.1描述性统计结果</w:t>
      </w:r>
      <w:bookmarkEnd w:id="20"/>
    </w:p>
    <w:p w14:paraId="40B4C800">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eastAsia"/>
          <w:b/>
          <w:bCs/>
          <w:sz w:val="24"/>
          <w:szCs w:val="24"/>
        </w:rPr>
      </w:pPr>
      <w:bookmarkStart w:id="21" w:name="_Toc23683"/>
      <w:r>
        <w:rPr>
          <w:rFonts w:hint="default" w:ascii="Times New Roman" w:hAnsi="Times New Roman" w:cs="Times New Roman"/>
          <w:b/>
          <w:bCs/>
          <w:sz w:val="24"/>
          <w:szCs w:val="24"/>
        </w:rPr>
        <w:t>4.1.1</w:t>
      </w:r>
      <w:r>
        <w:rPr>
          <w:rFonts w:hint="eastAsia"/>
          <w:b/>
          <w:bCs/>
          <w:sz w:val="24"/>
          <w:szCs w:val="24"/>
        </w:rPr>
        <w:t>样本特征分布</w:t>
      </w:r>
      <w:bookmarkEnd w:id="21"/>
    </w:p>
    <w:p w14:paraId="1E4701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通过对</w:t>
      </w:r>
      <w:r>
        <w:rPr>
          <w:rFonts w:hint="eastAsia" w:ascii="Times New Roman" w:hAnsi="Times New Roman" w:eastAsia="宋体" w:cs="宋体"/>
          <w:b w:val="0"/>
          <w:bCs w:val="0"/>
          <w:sz w:val="24"/>
          <w:szCs w:val="24"/>
          <w:lang w:val="en-US" w:eastAsia="zh-CN"/>
        </w:rPr>
        <w:t>得</w:t>
      </w:r>
      <w:r>
        <w:rPr>
          <w:rFonts w:hint="default" w:ascii="Times New Roman" w:hAnsi="Times New Roman" w:eastAsia="宋体" w:cs="宋体"/>
          <w:b w:val="0"/>
          <w:bCs w:val="0"/>
          <w:sz w:val="24"/>
          <w:szCs w:val="24"/>
          <w:lang w:val="en-US" w:eastAsia="zh-CN"/>
        </w:rPr>
        <w:t>到的调查问卷进行</w:t>
      </w:r>
      <w:r>
        <w:rPr>
          <w:rFonts w:hint="eastAsia" w:ascii="Times New Roman" w:hAnsi="Times New Roman" w:eastAsia="宋体" w:cs="宋体"/>
          <w:b w:val="0"/>
          <w:bCs w:val="0"/>
          <w:sz w:val="24"/>
          <w:szCs w:val="24"/>
          <w:lang w:val="en-US" w:eastAsia="zh-CN"/>
        </w:rPr>
        <w:t>简单的研究</w:t>
      </w:r>
      <w:r>
        <w:rPr>
          <w:rFonts w:hint="default" w:ascii="Times New Roman" w:hAnsi="Times New Roman" w:eastAsia="宋体" w:cs="宋体"/>
          <w:b w:val="0"/>
          <w:bCs w:val="0"/>
          <w:sz w:val="24"/>
          <w:szCs w:val="24"/>
          <w:lang w:val="en-US" w:eastAsia="zh-CN"/>
        </w:rPr>
        <w:t>，我们发现：</w:t>
      </w:r>
    </w:p>
    <w:p w14:paraId="77FDBBA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性别：男性有47人，占比45.63%，女性有56人，占比54.37%；</w:t>
      </w:r>
    </w:p>
    <w:p w14:paraId="5C1B3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GPA：大部分学生的GPA分布在3.0-4.5之间，平均GPA为3.78；</w:t>
      </w:r>
    </w:p>
    <w:p w14:paraId="3509FB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实习经历：80人有两个月以上的实习经历，占比为77.67%，说明大部分的高校毕业生都是有实习经历的</w:t>
      </w:r>
      <w:r>
        <w:rPr>
          <w:rFonts w:hint="eastAsia" w:ascii="Times New Roman" w:hAnsi="Times New Roman" w:eastAsia="宋体" w:cs="宋体"/>
          <w:b w:val="0"/>
          <w:bCs w:val="0"/>
          <w:sz w:val="24"/>
          <w:szCs w:val="24"/>
          <w:lang w:val="en-US" w:eastAsia="zh-CN"/>
        </w:rPr>
        <w:t>；</w:t>
      </w:r>
    </w:p>
    <w:p w14:paraId="1B0CA7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学校层次：专科生11人，占比10.6%，普通本科67人，占比65%，双一流25人，占比24.3%；</w:t>
      </w:r>
    </w:p>
    <w:p w14:paraId="1ABD58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专业类别：理科专业41人，占比39.81%，文科专业62人，占比60.19%；</w:t>
      </w:r>
    </w:p>
    <w:p w14:paraId="2416F7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家庭年收入：家庭年收入低于5万的占比21.36%，在5万-10万的占比54.43%，大于10万的占比26.21%；</w:t>
      </w:r>
    </w:p>
    <w:p w14:paraId="4BD5FE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val="0"/>
          <w:bCs w:val="0"/>
          <w:sz w:val="24"/>
          <w:szCs w:val="24"/>
          <w:lang w:val="en-US" w:eastAsia="zh-CN"/>
        </w:rPr>
      </w:pPr>
      <w:r>
        <w:rPr>
          <w:rFonts w:hint="default" w:ascii="Times New Roman" w:hAnsi="Times New Roman" w:eastAsia="宋体" w:cs="宋体"/>
          <w:b w:val="0"/>
          <w:bCs w:val="0"/>
          <w:sz w:val="24"/>
          <w:szCs w:val="24"/>
          <w:lang w:val="en-US" w:eastAsia="zh-CN"/>
        </w:rPr>
        <w:t>父母最高学历：父母最高学历在高中及高中以下的人数共有81，占到了调查人数的80%；</w:t>
      </w:r>
    </w:p>
    <w:p w14:paraId="747CBD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eastAsia"/>
          <w:b/>
          <w:bCs/>
          <w:sz w:val="24"/>
          <w:szCs w:val="24"/>
        </w:rPr>
      </w:pPr>
      <w:r>
        <w:rPr>
          <w:rFonts w:hint="default" w:ascii="Times New Roman" w:hAnsi="Times New Roman" w:eastAsia="宋体" w:cs="宋体"/>
          <w:b w:val="0"/>
          <w:bCs w:val="0"/>
          <w:sz w:val="24"/>
          <w:szCs w:val="24"/>
          <w:lang w:val="en-US" w:eastAsia="zh-CN"/>
        </w:rPr>
        <w:t>是否找到工作：在问卷结果中，有45人在毕业3个月内找到了工作，占比为43.69%，没找到工作的人数略高于找到工作的人数，这说明高校毕业生的就业形势是有些严峻的</w:t>
      </w:r>
      <w:r>
        <w:rPr>
          <w:rFonts w:hint="eastAsia" w:ascii="Times New Roman" w:hAnsi="Times New Roman" w:eastAsia="宋体" w:cs="宋体"/>
          <w:b w:val="0"/>
          <w:bCs w:val="0"/>
          <w:sz w:val="24"/>
          <w:szCs w:val="24"/>
          <w:lang w:val="en-US" w:eastAsia="zh-CN"/>
        </w:rPr>
        <w:t>.</w:t>
      </w:r>
    </w:p>
    <w:p w14:paraId="5F9FEF4D">
      <w:pPr>
        <w:keepNext w:val="0"/>
        <w:keepLines w:val="0"/>
        <w:pageBreakBefore w:val="0"/>
        <w:widowControl w:val="0"/>
        <w:kinsoku/>
        <w:wordWrap/>
        <w:overflowPunct/>
        <w:topLinePunct w:val="0"/>
        <w:autoSpaceDE/>
        <w:autoSpaceDN/>
        <w:bidi w:val="0"/>
        <w:adjustRightInd/>
        <w:snapToGrid/>
        <w:ind w:firstLine="723" w:firstLineChars="300"/>
        <w:textAlignment w:val="auto"/>
        <w:outlineLvl w:val="2"/>
        <w:rPr>
          <w:rFonts w:hint="default" w:ascii="Times New Roman" w:hAnsi="Times New Roman" w:eastAsia="宋体" w:cs="宋体"/>
          <w:b/>
          <w:bCs/>
          <w:sz w:val="24"/>
          <w:szCs w:val="24"/>
          <w:lang w:val="en-US" w:eastAsia="zh-CN"/>
        </w:rPr>
      </w:pPr>
      <w:bookmarkStart w:id="22" w:name="_Toc23231"/>
      <w:r>
        <w:rPr>
          <w:rFonts w:hint="eastAsia" w:ascii="Times New Roman" w:hAnsi="Times New Roman" w:eastAsia="宋体" w:cs="宋体"/>
          <w:b/>
          <w:bCs/>
          <w:sz w:val="24"/>
          <w:szCs w:val="24"/>
          <w:lang w:val="en-US" w:eastAsia="zh-CN"/>
        </w:rPr>
        <w:t>4.</w:t>
      </w:r>
      <w:r>
        <w:rPr>
          <w:rFonts w:hint="default" w:ascii="Times New Roman" w:hAnsi="Times New Roman" w:eastAsia="宋体" w:cs="宋体"/>
          <w:b/>
          <w:bCs/>
          <w:sz w:val="24"/>
          <w:szCs w:val="24"/>
          <w:lang w:val="en-US" w:eastAsia="zh-CN"/>
        </w:rPr>
        <w:t>1.2就业率差异分析</w:t>
      </w:r>
      <w:bookmarkEnd w:id="22"/>
    </w:p>
    <w:p w14:paraId="372829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outlineLvl w:val="9"/>
        <w:rPr>
          <w:rFonts w:hint="default" w:ascii="Times New Roman" w:hAnsi="Times New Roman" w:eastAsia="宋体" w:cs="宋体"/>
          <w:b/>
          <w:bCs/>
          <w:sz w:val="24"/>
          <w:szCs w:val="24"/>
          <w:lang w:val="en-US" w:eastAsia="zh-CN"/>
        </w:rPr>
      </w:pPr>
      <w:r>
        <w:rPr>
          <w:rFonts w:hint="default" w:ascii="Times New Roman" w:hAnsi="Times New Roman" w:eastAsia="宋体" w:cs="宋体"/>
          <w:b w:val="0"/>
          <w:bCs w:val="0"/>
          <w:sz w:val="24"/>
          <w:szCs w:val="24"/>
          <w:lang w:val="en-US" w:eastAsia="zh-CN"/>
        </w:rPr>
        <w:t>样本的总体就业率为43.69%，从性别维度来看：男性就业率为45.6%，女性就业率为48.2%，说明性别对高校毕业生的就业问题影响不大；从专业类别维度来看：专业为理科的学生就业率为52.1%，专业为文科的学生就业率为37.6%，所以专业类别对高校毕业生的就业有一定的影响，理科学生就业率高于文科学生就业率；从父母最高学历维度来看：父母最高学历为本科及以上的学生就业率最高（54.5%），父母最高学历为高中的学生就业率最低（36.6），父母最高学历为初中及以下的学生就业率居中（45.0%），说明父母最高学历对高校毕业生的就业问题有一定的影响，但影响不大</w:t>
      </w:r>
      <w:r>
        <w:rPr>
          <w:rFonts w:hint="eastAsia" w:ascii="Times New Roman" w:hAnsi="Times New Roman" w:eastAsia="宋体" w:cs="宋体"/>
          <w:b w:val="0"/>
          <w:bCs w:val="0"/>
          <w:sz w:val="24"/>
          <w:szCs w:val="24"/>
          <w:lang w:val="en-US" w:eastAsia="zh-CN"/>
        </w:rPr>
        <w:t>.</w:t>
      </w:r>
    </w:p>
    <w:p w14:paraId="7560AE78">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3" w:name="_Toc32657"/>
      <w:r>
        <w:rPr>
          <w:rFonts w:hint="eastAsia" w:ascii="Times New Roman" w:hAnsi="Times New Roman" w:eastAsia="宋体" w:cs="宋体"/>
          <w:b/>
          <w:bCs/>
          <w:sz w:val="28"/>
          <w:szCs w:val="28"/>
          <w:lang w:val="en-US" w:eastAsia="zh-CN"/>
        </w:rPr>
        <w:t>4.2单因素分析结果</w:t>
      </w:r>
      <w:bookmarkEnd w:id="23"/>
    </w:p>
    <w:p w14:paraId="2BB0E91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为了对高校毕业生就业影响因素进行进一步的分析，我们利用卡方检验（</w:t>
      </w:r>
      <m:oMath>
        <m:sSup>
          <m:sSupP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χ</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宋体"/>
                <w:caps w:val="0"/>
                <w:color w:val="000000" w:themeColor="text1"/>
                <w:spacing w:val="0"/>
                <w:kern w:val="2"/>
                <w:sz w:val="24"/>
                <w:szCs w:val="24"/>
                <w:vertAlign w:val="baseline"/>
                <w:lang w:val="en-US" w:eastAsia="zh-CN" w:bidi="ar-SA"/>
                <w14:textFill>
                  <w14:solidFill>
                    <w14:schemeClr w14:val="tx1"/>
                  </w14:solidFill>
                </w14:textFill>
              </w:rPr>
              <m:t>2</m:t>
            </m:r>
            <m:ctrlPr>
              <w:rPr>
                <w:rFonts w:ascii="Cambria Math" w:hAnsi="Cambria Math" w:cs="宋体"/>
                <w:i/>
                <w:iCs w:val="0"/>
                <w:caps w:val="0"/>
                <w:color w:val="000000" w:themeColor="text1"/>
                <w:spacing w:val="0"/>
                <w:kern w:val="2"/>
                <w:sz w:val="24"/>
                <w:szCs w:val="24"/>
                <w:vertAlign w:val="baseline"/>
                <w:lang w:val="en-US" w:bidi="ar-SA"/>
                <w14:textFill>
                  <w14:solidFill>
                    <w14:schemeClr w14:val="tx1"/>
                  </w14:solidFill>
                </w14:textFill>
              </w:rPr>
            </m:ctrlPr>
          </m:sup>
        </m:sSup>
      </m:oMath>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）来对高校毕业生是否有实习经历，学校层次，家庭年收入这些关键因素进行单因素分析，利用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检验来对高校毕业生的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进行单因素分析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054EB714">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A96EDF5">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2</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是否有实习经历的分析结果</w:t>
      </w:r>
    </w:p>
    <w:tbl>
      <w:tblPr>
        <w:tblStyle w:val="9"/>
        <w:tblW w:w="0" w:type="auto"/>
        <w:tblInd w:w="111"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0"/>
        <w:gridCol w:w="1440"/>
        <w:gridCol w:w="1820"/>
        <w:gridCol w:w="1460"/>
        <w:gridCol w:w="1350"/>
        <w:gridCol w:w="1230"/>
      </w:tblGrid>
      <w:tr w14:paraId="06F485E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2" w:hRule="atLeast"/>
        </w:trPr>
        <w:tc>
          <w:tcPr>
            <w:tcW w:w="1480" w:type="dxa"/>
            <w:tcBorders>
              <w:bottom w:val="single" w:color="auto" w:sz="6" w:space="0"/>
            </w:tcBorders>
            <w:vAlign w:val="center"/>
          </w:tcPr>
          <w:p w14:paraId="4C056F9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bottom w:val="single" w:color="auto" w:sz="6" w:space="0"/>
            </w:tcBorders>
            <w:vAlign w:val="center"/>
          </w:tcPr>
          <w:p w14:paraId="25ADBC27">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bottom w:val="single" w:color="auto" w:sz="6" w:space="0"/>
            </w:tcBorders>
            <w:vAlign w:val="center"/>
          </w:tcPr>
          <w:p w14:paraId="380B960C">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bottom w:val="single" w:color="auto" w:sz="6" w:space="0"/>
            </w:tcBorders>
            <w:vAlign w:val="center"/>
          </w:tcPr>
          <w:p w14:paraId="3499206F">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bottom w:val="single" w:color="auto" w:sz="6" w:space="0"/>
            </w:tcBorders>
            <w:vAlign w:val="center"/>
          </w:tcPr>
          <w:p w14:paraId="5B3384BD">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bottom w:val="single" w:color="auto" w:sz="6" w:space="0"/>
            </w:tcBorders>
            <w:vAlign w:val="center"/>
          </w:tcPr>
          <w:p w14:paraId="3AD65D25">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27DF3A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trPr>
        <w:tc>
          <w:tcPr>
            <w:tcW w:w="1480" w:type="dxa"/>
            <w:tcBorders>
              <w:top w:val="single" w:color="auto" w:sz="6" w:space="0"/>
            </w:tcBorders>
            <w:vAlign w:val="center"/>
          </w:tcPr>
          <w:p w14:paraId="20AC23CE">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有实习经历</w:t>
            </w:r>
          </w:p>
        </w:tc>
        <w:tc>
          <w:tcPr>
            <w:tcW w:w="1440" w:type="dxa"/>
            <w:tcBorders>
              <w:top w:val="single" w:color="auto" w:sz="6" w:space="0"/>
            </w:tcBorders>
            <w:vAlign w:val="center"/>
          </w:tcPr>
          <w:p w14:paraId="3FAF9A4C">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52.5%</w:t>
            </w:r>
          </w:p>
        </w:tc>
        <w:tc>
          <w:tcPr>
            <w:tcW w:w="1820" w:type="dxa"/>
            <w:tcBorders>
              <w:top w:val="single" w:color="auto" w:sz="6" w:space="0"/>
            </w:tcBorders>
            <w:vAlign w:val="center"/>
          </w:tcPr>
          <w:p w14:paraId="50B88B7D">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47.5%</w:t>
            </w:r>
          </w:p>
        </w:tc>
        <w:tc>
          <w:tcPr>
            <w:tcW w:w="1460" w:type="dxa"/>
            <w:vMerge w:val="restart"/>
            <w:tcBorders>
              <w:top w:val="single" w:color="auto" w:sz="6" w:space="0"/>
            </w:tcBorders>
            <w:vAlign w:val="center"/>
          </w:tcPr>
          <w:p w14:paraId="2AFAC0C8">
            <w:pPr>
              <w:numPr>
                <w:ilvl w:val="0"/>
                <w:numId w:val="0"/>
              </w:numPr>
              <w:spacing w:line="360" w:lineRule="auto"/>
              <w:jc w:val="center"/>
              <w:rPr>
                <w:rFonts w:hint="default" w:ascii="Times New Roman" w:hAnsi="Times New Roman" w:cs="Times New Roman" w:eastAsiaTheme="minorEastAsia"/>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8.909</w:t>
            </w:r>
          </w:p>
        </w:tc>
        <w:tc>
          <w:tcPr>
            <w:tcW w:w="1350" w:type="dxa"/>
            <w:vMerge w:val="restart"/>
            <w:tcBorders>
              <w:top w:val="single" w:color="auto" w:sz="6" w:space="0"/>
            </w:tcBorders>
            <w:vAlign w:val="center"/>
          </w:tcPr>
          <w:p w14:paraId="4DDF31FA">
            <w:pPr>
              <w:numPr>
                <w:ilvl w:val="0"/>
                <w:numId w:val="0"/>
              </w:numPr>
              <w:spacing w:line="360" w:lineRule="auto"/>
              <w:jc w:val="center"/>
              <w:rPr>
                <w:rFonts w:hint="default" w:ascii="Cambria Math" w:hAnsi="Cambria Math"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i w:val="0"/>
                <w:iCs/>
                <w:caps w:val="0"/>
                <w:color w:val="000000" w:themeColor="text1"/>
                <w:spacing w:val="0"/>
                <w:kern w:val="2"/>
                <w:sz w:val="24"/>
                <w:szCs w:val="24"/>
                <w:vertAlign w:val="baseline"/>
                <w:lang w:val="en-US" w:eastAsia="zh-CN" w:bidi="ar-SA"/>
                <w14:textFill>
                  <w14:solidFill>
                    <w14:schemeClr w14:val="tx1"/>
                  </w14:solidFill>
                </w14:textFill>
              </w:rPr>
              <w:t>1</w:t>
            </w:r>
          </w:p>
        </w:tc>
        <w:tc>
          <w:tcPr>
            <w:tcW w:w="1230" w:type="dxa"/>
            <w:vMerge w:val="restart"/>
            <w:tcBorders>
              <w:top w:val="single" w:color="auto" w:sz="6" w:space="0"/>
            </w:tcBorders>
            <w:vAlign w:val="center"/>
          </w:tcPr>
          <w:p w14:paraId="62C19767">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433107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2" w:hRule="atLeast"/>
        </w:trPr>
        <w:tc>
          <w:tcPr>
            <w:tcW w:w="1480" w:type="dxa"/>
            <w:vAlign w:val="center"/>
          </w:tcPr>
          <w:p w14:paraId="1B0CCBC9">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无实习经历</w:t>
            </w:r>
          </w:p>
        </w:tc>
        <w:tc>
          <w:tcPr>
            <w:tcW w:w="1440" w:type="dxa"/>
            <w:vAlign w:val="center"/>
          </w:tcPr>
          <w:p w14:paraId="26390BAB">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17.4%</w:t>
            </w:r>
          </w:p>
        </w:tc>
        <w:tc>
          <w:tcPr>
            <w:tcW w:w="1820" w:type="dxa"/>
            <w:vAlign w:val="center"/>
          </w:tcPr>
          <w:p w14:paraId="411228A5">
            <w:pPr>
              <w:numPr>
                <w:ilvl w:val="0"/>
                <w:numId w:val="0"/>
              </w:numPr>
              <w:spacing w:line="360" w:lineRule="auto"/>
              <w:jc w:val="cente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82.6%</w:t>
            </w:r>
          </w:p>
        </w:tc>
        <w:tc>
          <w:tcPr>
            <w:tcW w:w="1460" w:type="dxa"/>
            <w:vMerge w:val="continue"/>
            <w:vAlign w:val="center"/>
          </w:tcPr>
          <w:p w14:paraId="54A5ED9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vAlign w:val="center"/>
          </w:tcPr>
          <w:p w14:paraId="6797A2AA">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vAlign w:val="center"/>
          </w:tcPr>
          <w:p w14:paraId="2E96759B">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9AA9FBA">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7362E404">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3</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学校层次的分析结果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20"/>
        <w:gridCol w:w="1460"/>
        <w:gridCol w:w="1350"/>
        <w:gridCol w:w="1220"/>
      </w:tblGrid>
      <w:tr w14:paraId="24AEA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958351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5D03327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20" w:type="dxa"/>
            <w:tcBorders>
              <w:top w:val="single" w:color="000000" w:sz="12" w:space="0"/>
              <w:left w:val="nil"/>
              <w:bottom w:val="single" w:color="000000" w:sz="4" w:space="0"/>
              <w:right w:val="nil"/>
            </w:tcBorders>
            <w:shd w:val="clear" w:color="auto" w:fill="FFFFFF"/>
            <w:vAlign w:val="center"/>
          </w:tcPr>
          <w:p w14:paraId="2BDE75B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60" w:type="dxa"/>
            <w:tcBorders>
              <w:top w:val="single" w:color="000000" w:sz="12" w:space="0"/>
              <w:left w:val="nil"/>
              <w:bottom w:val="single" w:color="000000" w:sz="4" w:space="0"/>
              <w:right w:val="nil"/>
            </w:tcBorders>
            <w:shd w:val="clear" w:color="auto" w:fill="FFFFFF"/>
            <w:vAlign w:val="center"/>
          </w:tcPr>
          <w:p w14:paraId="317288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01B9AAA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20" w:type="dxa"/>
            <w:tcBorders>
              <w:top w:val="single" w:color="000000" w:sz="12" w:space="0"/>
              <w:left w:val="nil"/>
              <w:bottom w:val="single" w:color="000000" w:sz="4" w:space="0"/>
              <w:right w:val="nil"/>
            </w:tcBorders>
            <w:shd w:val="clear" w:color="auto" w:fill="FFFFFF"/>
            <w:vAlign w:val="center"/>
          </w:tcPr>
          <w:p w14:paraId="39F3013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725A5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nil"/>
              <w:right w:val="nil"/>
            </w:tcBorders>
            <w:shd w:val="clear" w:color="auto" w:fill="FFFFFF"/>
            <w:vAlign w:val="center"/>
          </w:tcPr>
          <w:p w14:paraId="48EC8D6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专科</w:t>
            </w:r>
          </w:p>
        </w:tc>
        <w:tc>
          <w:tcPr>
            <w:tcW w:w="1440" w:type="dxa"/>
            <w:tcBorders>
              <w:top w:val="single" w:color="000000" w:sz="4" w:space="0"/>
              <w:left w:val="nil"/>
              <w:bottom w:val="nil"/>
              <w:right w:val="nil"/>
            </w:tcBorders>
            <w:shd w:val="clear" w:color="auto" w:fill="FFFFFF"/>
            <w:vAlign w:val="center"/>
          </w:tcPr>
          <w:p w14:paraId="4F1552B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20.0%</w:t>
            </w:r>
          </w:p>
        </w:tc>
        <w:tc>
          <w:tcPr>
            <w:tcW w:w="1820" w:type="dxa"/>
            <w:tcBorders>
              <w:top w:val="single" w:color="000000" w:sz="4" w:space="0"/>
              <w:left w:val="nil"/>
              <w:bottom w:val="nil"/>
              <w:right w:val="nil"/>
            </w:tcBorders>
            <w:shd w:val="clear" w:color="auto" w:fill="FFFFFF"/>
            <w:vAlign w:val="center"/>
          </w:tcPr>
          <w:p w14:paraId="79E0F9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80.0%</w:t>
            </w:r>
          </w:p>
        </w:tc>
        <w:tc>
          <w:tcPr>
            <w:tcW w:w="1460" w:type="dxa"/>
            <w:vMerge w:val="restart"/>
            <w:tcBorders>
              <w:top w:val="single" w:color="000000" w:sz="4" w:space="0"/>
              <w:left w:val="nil"/>
              <w:bottom w:val="nil"/>
              <w:right w:val="nil"/>
            </w:tcBorders>
            <w:shd w:val="clear" w:color="auto" w:fill="FFFFFF"/>
            <w:vAlign w:val="center"/>
          </w:tcPr>
          <w:p w14:paraId="0687F120">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10.145</w:t>
            </w:r>
          </w:p>
        </w:tc>
        <w:tc>
          <w:tcPr>
            <w:tcW w:w="1350" w:type="dxa"/>
            <w:vMerge w:val="restart"/>
            <w:tcBorders>
              <w:top w:val="single" w:color="000000" w:sz="4" w:space="0"/>
              <w:left w:val="nil"/>
              <w:bottom w:val="nil"/>
              <w:right w:val="nil"/>
            </w:tcBorders>
            <w:shd w:val="clear" w:color="auto" w:fill="FFFFFF"/>
            <w:vAlign w:val="center"/>
          </w:tcPr>
          <w:p w14:paraId="028FB015">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20" w:type="dxa"/>
            <w:vMerge w:val="restart"/>
            <w:tcBorders>
              <w:top w:val="single" w:color="000000" w:sz="4" w:space="0"/>
              <w:left w:val="nil"/>
              <w:bottom w:val="nil"/>
              <w:right w:val="nil"/>
            </w:tcBorders>
            <w:shd w:val="clear" w:color="auto" w:fill="FFFFFF"/>
            <w:vAlign w:val="center"/>
          </w:tcPr>
          <w:p w14:paraId="1EE6D34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0.006</w:t>
            </w:r>
          </w:p>
        </w:tc>
      </w:tr>
      <w:tr w14:paraId="5B059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480" w:type="dxa"/>
            <w:tcBorders>
              <w:top w:val="nil"/>
              <w:left w:val="nil"/>
              <w:bottom w:val="nil"/>
              <w:right w:val="nil"/>
            </w:tcBorders>
            <w:shd w:val="clear" w:color="auto" w:fill="FFFFFF"/>
            <w:vAlign w:val="center"/>
          </w:tcPr>
          <w:p w14:paraId="0E3C4A7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普通本科</w:t>
            </w:r>
          </w:p>
        </w:tc>
        <w:tc>
          <w:tcPr>
            <w:tcW w:w="1440" w:type="dxa"/>
            <w:tcBorders>
              <w:top w:val="nil"/>
              <w:left w:val="nil"/>
              <w:bottom w:val="nil"/>
              <w:right w:val="nil"/>
            </w:tcBorders>
            <w:shd w:val="clear" w:color="auto" w:fill="FFFFFF"/>
            <w:vAlign w:val="center"/>
          </w:tcPr>
          <w:p w14:paraId="0D83BAC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36.2%</w:t>
            </w:r>
          </w:p>
        </w:tc>
        <w:tc>
          <w:tcPr>
            <w:tcW w:w="1820" w:type="dxa"/>
            <w:tcBorders>
              <w:top w:val="nil"/>
              <w:left w:val="nil"/>
              <w:bottom w:val="nil"/>
              <w:right w:val="nil"/>
            </w:tcBorders>
            <w:shd w:val="clear" w:color="auto" w:fill="FFFFFF"/>
            <w:vAlign w:val="center"/>
          </w:tcPr>
          <w:p w14:paraId="5C59525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63.8%</w:t>
            </w:r>
          </w:p>
        </w:tc>
        <w:tc>
          <w:tcPr>
            <w:tcW w:w="1460" w:type="dxa"/>
            <w:vMerge w:val="continue"/>
            <w:tcBorders>
              <w:top w:val="nil"/>
              <w:left w:val="nil"/>
              <w:bottom w:val="nil"/>
              <w:right w:val="nil"/>
            </w:tcBorders>
            <w:shd w:val="clear" w:color="auto" w:fill="FFFFFF"/>
            <w:vAlign w:val="center"/>
          </w:tcPr>
          <w:p w14:paraId="5E5A6D0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570DCDDF">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nil"/>
              <w:right w:val="nil"/>
            </w:tcBorders>
            <w:shd w:val="clear" w:color="auto" w:fill="FFFFFF"/>
            <w:vAlign w:val="center"/>
          </w:tcPr>
          <w:p w14:paraId="3C36D014">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325D0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nil"/>
              <w:left w:val="nil"/>
              <w:bottom w:val="single" w:color="000000" w:sz="12" w:space="0"/>
              <w:right w:val="nil"/>
            </w:tcBorders>
            <w:shd w:val="clear" w:color="auto" w:fill="FFFFFF"/>
            <w:vAlign w:val="center"/>
          </w:tcPr>
          <w:p w14:paraId="6562419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双一流</w:t>
            </w:r>
          </w:p>
        </w:tc>
        <w:tc>
          <w:tcPr>
            <w:tcW w:w="1440" w:type="dxa"/>
            <w:tcBorders>
              <w:top w:val="nil"/>
              <w:left w:val="nil"/>
              <w:bottom w:val="single" w:color="000000" w:sz="12" w:space="0"/>
              <w:right w:val="nil"/>
            </w:tcBorders>
            <w:shd w:val="clear" w:color="auto" w:fill="FFFFFF"/>
            <w:vAlign w:val="center"/>
          </w:tcPr>
          <w:p w14:paraId="35BC77F7">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69.0%</w:t>
            </w:r>
          </w:p>
        </w:tc>
        <w:tc>
          <w:tcPr>
            <w:tcW w:w="1820" w:type="dxa"/>
            <w:tcBorders>
              <w:top w:val="nil"/>
              <w:left w:val="nil"/>
              <w:bottom w:val="single" w:color="000000" w:sz="12" w:space="0"/>
              <w:right w:val="nil"/>
            </w:tcBorders>
            <w:shd w:val="clear" w:color="auto" w:fill="FFFFFF"/>
            <w:vAlign w:val="center"/>
          </w:tcPr>
          <w:p w14:paraId="4830723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31.0%</w:t>
            </w:r>
          </w:p>
        </w:tc>
        <w:tc>
          <w:tcPr>
            <w:tcW w:w="1460" w:type="dxa"/>
            <w:vMerge w:val="continue"/>
            <w:tcBorders>
              <w:top w:val="nil"/>
              <w:left w:val="nil"/>
              <w:bottom w:val="single" w:color="000000" w:sz="12" w:space="0"/>
              <w:right w:val="nil"/>
            </w:tcBorders>
            <w:shd w:val="clear" w:color="auto" w:fill="FFFFFF"/>
            <w:vAlign w:val="center"/>
          </w:tcPr>
          <w:p w14:paraId="4C3AFA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5450C78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20" w:type="dxa"/>
            <w:vMerge w:val="continue"/>
            <w:tcBorders>
              <w:top w:val="nil"/>
              <w:left w:val="nil"/>
              <w:bottom w:val="single" w:color="000000" w:sz="12" w:space="0"/>
              <w:right w:val="nil"/>
            </w:tcBorders>
            <w:shd w:val="clear" w:color="auto" w:fill="FFFFFF"/>
            <w:vAlign w:val="center"/>
          </w:tcPr>
          <w:p w14:paraId="01FA602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30048588">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p>
    <w:p w14:paraId="236C103F">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家庭年收入的分析结果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40"/>
        <w:gridCol w:w="1810"/>
        <w:gridCol w:w="1470"/>
        <w:gridCol w:w="1350"/>
        <w:gridCol w:w="1230"/>
      </w:tblGrid>
      <w:tr w14:paraId="544B5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7C75FAA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40" w:type="dxa"/>
            <w:tcBorders>
              <w:top w:val="single" w:color="000000" w:sz="12" w:space="0"/>
              <w:left w:val="nil"/>
              <w:bottom w:val="single" w:color="000000" w:sz="4" w:space="0"/>
              <w:right w:val="nil"/>
            </w:tcBorders>
            <w:shd w:val="clear" w:color="auto" w:fill="FFFFFF"/>
            <w:vAlign w:val="center"/>
          </w:tcPr>
          <w:p w14:paraId="7C787C5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就业组比例</w:t>
            </w:r>
          </w:p>
        </w:tc>
        <w:tc>
          <w:tcPr>
            <w:tcW w:w="1810" w:type="dxa"/>
            <w:tcBorders>
              <w:top w:val="single" w:color="000000" w:sz="12" w:space="0"/>
              <w:left w:val="nil"/>
              <w:bottom w:val="single" w:color="000000" w:sz="4" w:space="0"/>
              <w:right w:val="nil"/>
            </w:tcBorders>
            <w:shd w:val="clear" w:color="auto" w:fill="FFFFFF"/>
            <w:vAlign w:val="center"/>
          </w:tcPr>
          <w:p w14:paraId="2004E00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未就业组比例</w:t>
            </w:r>
          </w:p>
        </w:tc>
        <w:tc>
          <w:tcPr>
            <w:tcW w:w="1470" w:type="dxa"/>
            <w:tcBorders>
              <w:top w:val="single" w:color="000000" w:sz="12" w:space="0"/>
              <w:left w:val="nil"/>
              <w:bottom w:val="single" w:color="000000" w:sz="4" w:space="0"/>
              <w:right w:val="nil"/>
            </w:tcBorders>
            <w:shd w:val="clear" w:color="auto" w:fill="FFFFFF"/>
            <w:vAlign w:val="center"/>
          </w:tcPr>
          <w:p w14:paraId="2F76C8A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58FDF3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2D81733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F939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nil"/>
              <w:right w:val="nil"/>
            </w:tcBorders>
            <w:shd w:val="clear" w:color="auto" w:fill="FFFFFF"/>
            <w:vAlign w:val="center"/>
          </w:tcPr>
          <w:p w14:paraId="32D2E17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小于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single" w:color="000000" w:sz="4" w:space="0"/>
              <w:left w:val="nil"/>
              <w:bottom w:val="nil"/>
              <w:right w:val="nil"/>
            </w:tcBorders>
            <w:shd w:val="clear" w:color="auto" w:fill="FFFFFF"/>
            <w:vAlign w:val="center"/>
          </w:tcPr>
          <w:p w14:paraId="38CA8BE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40.9%</w:t>
            </w:r>
          </w:p>
        </w:tc>
        <w:tc>
          <w:tcPr>
            <w:tcW w:w="1810" w:type="dxa"/>
            <w:tcBorders>
              <w:top w:val="single" w:color="000000" w:sz="4" w:space="0"/>
              <w:left w:val="nil"/>
              <w:bottom w:val="nil"/>
              <w:right w:val="nil"/>
            </w:tcBorders>
            <w:shd w:val="clear" w:color="auto" w:fill="FFFFFF"/>
            <w:vAlign w:val="center"/>
          </w:tcPr>
          <w:p w14:paraId="0153BB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59.1%</w:t>
            </w:r>
          </w:p>
        </w:tc>
        <w:tc>
          <w:tcPr>
            <w:tcW w:w="1470" w:type="dxa"/>
            <w:vMerge w:val="restart"/>
            <w:tcBorders>
              <w:top w:val="single" w:color="000000" w:sz="4" w:space="0"/>
              <w:left w:val="nil"/>
              <w:bottom w:val="nil"/>
              <w:right w:val="nil"/>
            </w:tcBorders>
            <w:shd w:val="clear" w:color="auto" w:fill="FFFFFF"/>
            <w:vAlign w:val="center"/>
          </w:tcPr>
          <w:p w14:paraId="16EFFBD8">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p>
                <m:sSupP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SupPr>
                <m:e>
                  <m:r>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χ</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e>
                <m: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cs="Times New Roman"/>
                      <w:b w:val="0"/>
                      <w:i/>
                      <w:iCs w:val="0"/>
                      <w:caps w:val="0"/>
                      <w:color w:val="000000" w:themeColor="text1"/>
                      <w:spacing w:val="0"/>
                      <w:kern w:val="2"/>
                      <w:sz w:val="24"/>
                      <w:szCs w:val="24"/>
                      <w:vertAlign w:val="baseline"/>
                      <w:lang w:val="en-US" w:bidi="ar-SA"/>
                      <w14:textFill>
                        <w14:solidFill>
                          <w14:schemeClr w14:val="tx1"/>
                        </w14:solidFill>
                      </w14:textFill>
                    </w:rPr>
                  </m:ctrlPr>
                </m:sup>
              </m:sSup>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m:t>
              </m:r>
            </m:oMath>
            <w:r>
              <w:rPr>
                <w:rFonts w:hint="default" w:ascii="Times New Roman" w:hAnsi="Times New Roman" w:cs="Times New Roman" w:eastAsiaTheme="majorEastAsia"/>
                <w:b w:val="0"/>
                <w:i w:val="0"/>
                <w:caps w:val="0"/>
                <w:color w:val="000000" w:themeColor="text1"/>
                <w:spacing w:val="0"/>
                <w:kern w:val="2"/>
                <w:sz w:val="24"/>
                <w:szCs w:val="24"/>
                <w:vertAlign w:val="baseline"/>
                <w:lang w:val="en-US" w:eastAsia="zh-CN" w:bidi="ar-SA"/>
                <w14:textFill>
                  <w14:solidFill>
                    <w14:schemeClr w14:val="tx1"/>
                  </w14:solidFill>
                </w14:textFill>
              </w:rPr>
              <w:t>3.183</w:t>
            </w:r>
          </w:p>
        </w:tc>
        <w:tc>
          <w:tcPr>
            <w:tcW w:w="1350" w:type="dxa"/>
            <w:vMerge w:val="restart"/>
            <w:tcBorders>
              <w:top w:val="single" w:color="000000" w:sz="4" w:space="0"/>
              <w:left w:val="nil"/>
              <w:bottom w:val="nil"/>
              <w:right w:val="nil"/>
            </w:tcBorders>
            <w:shd w:val="clear" w:color="auto" w:fill="FFFFFF"/>
            <w:vAlign w:val="center"/>
          </w:tcPr>
          <w:p w14:paraId="7E6B2F5D">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cs="Times New Roman" w:eastAsiaTheme="majorEastAsia"/>
                <w:b w:val="0"/>
                <w:i w:val="0"/>
                <w:iCs/>
                <w:caps w:val="0"/>
                <w:color w:val="000000" w:themeColor="text1"/>
                <w:spacing w:val="0"/>
                <w:kern w:val="2"/>
                <w:sz w:val="24"/>
                <w:szCs w:val="24"/>
                <w:vertAlign w:val="baseline"/>
                <w:lang w:val="en-US" w:eastAsia="zh-CN" w:bidi="ar-SA"/>
                <w14:textFill>
                  <w14:solidFill>
                    <w14:schemeClr w14:val="tx1"/>
                  </w14:solidFill>
                </w14:textFill>
              </w:rPr>
              <w:t>2</w:t>
            </w:r>
          </w:p>
        </w:tc>
        <w:tc>
          <w:tcPr>
            <w:tcW w:w="1230" w:type="dxa"/>
            <w:vMerge w:val="restart"/>
            <w:tcBorders>
              <w:top w:val="single" w:color="000000" w:sz="4" w:space="0"/>
              <w:left w:val="nil"/>
              <w:bottom w:val="nil"/>
              <w:right w:val="nil"/>
            </w:tcBorders>
            <w:shd w:val="clear" w:color="auto" w:fill="FFFFFF"/>
            <w:vAlign w:val="center"/>
          </w:tcPr>
          <w:p w14:paraId="5FA54FB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0.204</w:t>
            </w:r>
          </w:p>
        </w:tc>
      </w:tr>
      <w:tr w14:paraId="01DE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1480" w:type="dxa"/>
            <w:tcBorders>
              <w:top w:val="nil"/>
              <w:left w:val="nil"/>
              <w:bottom w:val="nil"/>
              <w:right w:val="nil"/>
            </w:tcBorders>
            <w:shd w:val="clear" w:color="auto" w:fill="FFFFFF"/>
            <w:vAlign w:val="center"/>
          </w:tcPr>
          <w:p w14:paraId="007C6F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nil"/>
              <w:right w:val="nil"/>
            </w:tcBorders>
            <w:shd w:val="clear" w:color="auto" w:fill="FFFFFF"/>
            <w:vAlign w:val="center"/>
          </w:tcPr>
          <w:p w14:paraId="736F7E2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38.9%</w:t>
            </w:r>
          </w:p>
        </w:tc>
        <w:tc>
          <w:tcPr>
            <w:tcW w:w="1810" w:type="dxa"/>
            <w:tcBorders>
              <w:top w:val="nil"/>
              <w:left w:val="nil"/>
              <w:bottom w:val="nil"/>
              <w:right w:val="nil"/>
            </w:tcBorders>
            <w:shd w:val="clear" w:color="auto" w:fill="FFFFFF"/>
            <w:vAlign w:val="center"/>
          </w:tcPr>
          <w:p w14:paraId="516F6FF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61.1%</w:t>
            </w:r>
          </w:p>
        </w:tc>
        <w:tc>
          <w:tcPr>
            <w:tcW w:w="1470" w:type="dxa"/>
            <w:vMerge w:val="continue"/>
            <w:tcBorders>
              <w:top w:val="nil"/>
              <w:left w:val="nil"/>
              <w:bottom w:val="nil"/>
              <w:right w:val="nil"/>
            </w:tcBorders>
            <w:shd w:val="clear" w:color="auto" w:fill="FFFFFF"/>
            <w:vAlign w:val="center"/>
          </w:tcPr>
          <w:p w14:paraId="2580905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nil"/>
              <w:right w:val="nil"/>
            </w:tcBorders>
            <w:shd w:val="clear" w:color="auto" w:fill="FFFFFF"/>
            <w:vAlign w:val="center"/>
          </w:tcPr>
          <w:p w14:paraId="1413F19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nil"/>
              <w:right w:val="nil"/>
            </w:tcBorders>
            <w:shd w:val="clear" w:color="auto" w:fill="FFFFFF"/>
            <w:vAlign w:val="center"/>
          </w:tcPr>
          <w:p w14:paraId="495EA48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r w14:paraId="5A351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nil"/>
              <w:left w:val="nil"/>
              <w:bottom w:val="single" w:color="000000" w:sz="12" w:space="0"/>
              <w:right w:val="nil"/>
            </w:tcBorders>
            <w:shd w:val="clear" w:color="auto" w:fill="FFFFFF"/>
            <w:vAlign w:val="center"/>
          </w:tcPr>
          <w:p w14:paraId="2A2E62C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大于</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万</w:t>
            </w:r>
          </w:p>
        </w:tc>
        <w:tc>
          <w:tcPr>
            <w:tcW w:w="1440" w:type="dxa"/>
            <w:tcBorders>
              <w:top w:val="nil"/>
              <w:left w:val="nil"/>
              <w:bottom w:val="single" w:color="000000" w:sz="12" w:space="0"/>
              <w:right w:val="nil"/>
            </w:tcBorders>
            <w:shd w:val="clear" w:color="auto" w:fill="FFFFFF"/>
            <w:vAlign w:val="center"/>
          </w:tcPr>
          <w:p w14:paraId="2A7CEFE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59.3%</w:t>
            </w:r>
          </w:p>
        </w:tc>
        <w:tc>
          <w:tcPr>
            <w:tcW w:w="1810" w:type="dxa"/>
            <w:tcBorders>
              <w:top w:val="nil"/>
              <w:left w:val="nil"/>
              <w:bottom w:val="single" w:color="000000" w:sz="12" w:space="0"/>
              <w:right w:val="nil"/>
            </w:tcBorders>
            <w:shd w:val="clear" w:color="auto" w:fill="FFFFFF"/>
            <w:vAlign w:val="center"/>
          </w:tcPr>
          <w:p w14:paraId="00881E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40.7%</w:t>
            </w:r>
          </w:p>
        </w:tc>
        <w:tc>
          <w:tcPr>
            <w:tcW w:w="1470" w:type="dxa"/>
            <w:vMerge w:val="continue"/>
            <w:tcBorders>
              <w:top w:val="nil"/>
              <w:left w:val="nil"/>
              <w:bottom w:val="single" w:color="000000" w:sz="12" w:space="0"/>
              <w:right w:val="nil"/>
            </w:tcBorders>
            <w:shd w:val="clear" w:color="auto" w:fill="FFFFFF"/>
            <w:vAlign w:val="center"/>
          </w:tcPr>
          <w:p w14:paraId="1EBFDD1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350" w:type="dxa"/>
            <w:vMerge w:val="continue"/>
            <w:tcBorders>
              <w:top w:val="nil"/>
              <w:left w:val="nil"/>
              <w:bottom w:val="single" w:color="000000" w:sz="12" w:space="0"/>
              <w:right w:val="nil"/>
            </w:tcBorders>
            <w:shd w:val="clear" w:color="auto" w:fill="FFFFFF"/>
            <w:vAlign w:val="center"/>
          </w:tcPr>
          <w:p w14:paraId="7E23CC9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230" w:type="dxa"/>
            <w:vMerge w:val="continue"/>
            <w:tcBorders>
              <w:top w:val="nil"/>
              <w:left w:val="nil"/>
              <w:bottom w:val="single" w:color="000000" w:sz="12" w:space="0"/>
              <w:right w:val="nil"/>
            </w:tcBorders>
            <w:shd w:val="clear" w:color="auto" w:fill="FFFFFF"/>
            <w:vAlign w:val="center"/>
          </w:tcPr>
          <w:p w14:paraId="259E90F2">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r>
    </w:tbl>
    <w:p w14:paraId="44D361C8">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我们知道，当卡方检验的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值小于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0.05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时，说明两个变量之间存在显著差异</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begin"/>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instrText xml:space="preserve"> REF _Ref14588 \r \h </w:instrTex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separate"/>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t>[11]</w:t>
      </w:r>
      <w:r>
        <w:rPr>
          <w:rFonts w:hint="eastAsia" w:ascii="宋体" w:hAnsi="宋体" w:eastAsia="宋体" w:cs="宋体"/>
          <w:i w:val="0"/>
          <w:iCs w:val="0"/>
          <w:caps w:val="0"/>
          <w:color w:val="000000" w:themeColor="text1"/>
          <w:spacing w:val="0"/>
          <w:kern w:val="2"/>
          <w:sz w:val="24"/>
          <w:szCs w:val="24"/>
          <w:vertAlign w:val="superscript"/>
          <w:lang w:val="en-US" w:eastAsia="zh-CN" w:bidi="ar-SA"/>
          <w14:textFill>
            <w14:solidFill>
              <w14:schemeClr w14:val="tx1"/>
            </w14:solidFill>
          </w14:textFill>
        </w:rPr>
        <w:fldChar w:fldCharType="end"/>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以，通过上面得到的分析结果，我们发现是否有实习经历，学校层次这两个因素对高校毕业生的就业问题存在显著影响，且有实习经历的高校毕业生的就业率明显高于无实习经历的高校毕业生，毕业于双一流大学的高校毕业生的就业率明显高于毕业于普通本科和专科的高校毕业生的就业率</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家庭年收入这个因素对高校毕业生的就业问题不存在显著影响</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353E97FA">
      <w:pPr>
        <w:numPr>
          <w:ilvl w:val="0"/>
          <w:numId w:val="0"/>
        </w:numPr>
        <w:spacing w:line="360" w:lineRule="auto"/>
        <w:ind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232BA6">
      <w:pPr>
        <w:numPr>
          <w:ilvl w:val="0"/>
          <w:numId w:val="0"/>
        </w:numPr>
        <w:spacing w:line="360" w:lineRule="auto"/>
        <w:jc w:val="cente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5 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的分析结果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1450"/>
        <w:gridCol w:w="1800"/>
        <w:gridCol w:w="1470"/>
        <w:gridCol w:w="1350"/>
        <w:gridCol w:w="1230"/>
      </w:tblGrid>
      <w:tr w14:paraId="29B7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480" w:type="dxa"/>
            <w:tcBorders>
              <w:top w:val="single" w:color="000000" w:sz="12" w:space="0"/>
              <w:left w:val="nil"/>
              <w:bottom w:val="single" w:color="000000" w:sz="4" w:space="0"/>
              <w:right w:val="nil"/>
              <w:tl2br w:val="nil"/>
            </w:tcBorders>
            <w:shd w:val="clear" w:color="auto" w:fill="FFFFFF"/>
            <w:vAlign w:val="center"/>
          </w:tcPr>
          <w:p w14:paraId="5C83E49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450" w:type="dxa"/>
            <w:tcBorders>
              <w:top w:val="single" w:color="000000" w:sz="12" w:space="0"/>
              <w:left w:val="nil"/>
              <w:bottom w:val="single" w:color="000000" w:sz="4" w:space="0"/>
              <w:right w:val="nil"/>
            </w:tcBorders>
            <w:shd w:val="clear" w:color="auto" w:fill="FFFFFF"/>
            <w:vAlign w:val="center"/>
          </w:tcPr>
          <w:p w14:paraId="217E911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就业组均值</w:t>
            </w:r>
          </w:p>
        </w:tc>
        <w:tc>
          <w:tcPr>
            <w:tcW w:w="1800" w:type="dxa"/>
            <w:tcBorders>
              <w:top w:val="single" w:color="000000" w:sz="12" w:space="0"/>
              <w:left w:val="nil"/>
              <w:bottom w:val="single" w:color="000000" w:sz="4" w:space="0"/>
              <w:right w:val="nil"/>
            </w:tcBorders>
            <w:shd w:val="clear" w:color="auto" w:fill="FFFFFF"/>
            <w:vAlign w:val="center"/>
          </w:tcPr>
          <w:p w14:paraId="03B3703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未就业组均值</w:t>
            </w:r>
          </w:p>
        </w:tc>
        <w:tc>
          <w:tcPr>
            <w:tcW w:w="1470" w:type="dxa"/>
            <w:tcBorders>
              <w:top w:val="single" w:color="000000" w:sz="12" w:space="0"/>
              <w:left w:val="nil"/>
              <w:bottom w:val="single" w:color="000000" w:sz="4" w:space="0"/>
              <w:right w:val="nil"/>
            </w:tcBorders>
            <w:shd w:val="clear" w:color="auto" w:fill="FFFFFF"/>
            <w:vAlign w:val="center"/>
          </w:tcPr>
          <w:p w14:paraId="319D6B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检验统计量</w:t>
            </w:r>
          </w:p>
        </w:tc>
        <w:tc>
          <w:tcPr>
            <w:tcW w:w="1350" w:type="dxa"/>
            <w:tcBorders>
              <w:top w:val="single" w:color="000000" w:sz="12" w:space="0"/>
              <w:left w:val="nil"/>
              <w:bottom w:val="single" w:color="000000" w:sz="4" w:space="0"/>
              <w:right w:val="nil"/>
            </w:tcBorders>
            <w:shd w:val="clear" w:color="auto" w:fill="FFFFFF"/>
            <w:vAlign w:val="center"/>
          </w:tcPr>
          <w:p w14:paraId="32B3259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1230" w:type="dxa"/>
            <w:tcBorders>
              <w:top w:val="single" w:color="000000" w:sz="12" w:space="0"/>
              <w:left w:val="nil"/>
              <w:bottom w:val="single" w:color="000000" w:sz="4" w:space="0"/>
              <w:right w:val="nil"/>
            </w:tcBorders>
            <w:shd w:val="clear" w:color="auto" w:fill="FFFFFF"/>
            <w:vAlign w:val="center"/>
          </w:tcPr>
          <w:p w14:paraId="0880B70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3CC8D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1480" w:type="dxa"/>
            <w:tcBorders>
              <w:top w:val="single" w:color="000000" w:sz="4" w:space="0"/>
              <w:left w:val="nil"/>
              <w:bottom w:val="single" w:color="000000" w:sz="12" w:space="0"/>
              <w:right w:val="nil"/>
            </w:tcBorders>
            <w:shd w:val="clear" w:color="auto" w:fill="FFFFFF"/>
            <w:vAlign w:val="center"/>
          </w:tcPr>
          <w:p w14:paraId="3F1F4F3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GPA</w:t>
            </w:r>
          </w:p>
        </w:tc>
        <w:tc>
          <w:tcPr>
            <w:tcW w:w="1450" w:type="dxa"/>
            <w:tcBorders>
              <w:top w:val="single" w:color="000000" w:sz="4" w:space="0"/>
              <w:left w:val="nil"/>
              <w:bottom w:val="single" w:color="000000" w:sz="12" w:space="0"/>
              <w:right w:val="nil"/>
            </w:tcBorders>
            <w:shd w:val="clear" w:color="auto" w:fill="FFFFFF"/>
            <w:vAlign w:val="center"/>
          </w:tcPr>
          <w:p w14:paraId="4461027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3.9317</w:t>
            </w:r>
          </w:p>
        </w:tc>
        <w:tc>
          <w:tcPr>
            <w:tcW w:w="1800" w:type="dxa"/>
            <w:tcBorders>
              <w:top w:val="single" w:color="000000" w:sz="4" w:space="0"/>
              <w:left w:val="nil"/>
              <w:bottom w:val="single" w:color="000000" w:sz="12" w:space="0"/>
              <w:right w:val="nil"/>
            </w:tcBorders>
            <w:shd w:val="clear" w:color="auto" w:fill="FFFFFF"/>
            <w:vAlign w:val="center"/>
          </w:tcPr>
          <w:p w14:paraId="5A8DEC7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3.5905</w:t>
            </w:r>
          </w:p>
        </w:tc>
        <w:tc>
          <w:tcPr>
            <w:tcW w:w="1470" w:type="dxa"/>
            <w:tcBorders>
              <w:top w:val="single" w:color="000000" w:sz="4" w:space="0"/>
              <w:left w:val="nil"/>
              <w:bottom w:val="single" w:color="000000" w:sz="12" w:space="0"/>
              <w:right w:val="nil"/>
            </w:tcBorders>
            <w:shd w:val="clear" w:color="auto" w:fill="FFFFFF"/>
            <w:vAlign w:val="center"/>
          </w:tcPr>
          <w:p w14:paraId="118AE69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w:rPr>
                  <w:rFonts w:hint="default" w:ascii="Cambria Math" w:hAnsi="Cambria Math" w:cs="Times New Roman"/>
                  <w:caps w:val="0"/>
                  <w:color w:val="000000" w:themeColor="text1"/>
                  <w:spacing w:val="0"/>
                  <w:kern w:val="2"/>
                  <w:sz w:val="24"/>
                  <w:szCs w:val="24"/>
                  <w:vertAlign w:val="baseline"/>
                  <w:lang w:val="en-US" w:eastAsia="zh-CN" w:bidi="ar-SA"/>
                  <w14:textFill>
                    <w14:solidFill>
                      <w14:schemeClr w14:val="tx1"/>
                    </w14:solidFill>
                  </w14:textFill>
                </w:rPr>
                <m:t>t=</m:t>
              </m:r>
            </m:oMath>
            <w:r>
              <w:rPr>
                <w:rFonts w:hint="default" w:ascii="Times New Roman" w:hAnsi="Times New Roman" w:eastAsia="宋体" w:cs="Times New Roman"/>
                <w:b w:val="0"/>
                <w:i w:val="0"/>
                <w:caps w:val="0"/>
                <w:color w:val="000000" w:themeColor="text1"/>
                <w:spacing w:val="0"/>
                <w:kern w:val="2"/>
                <w:sz w:val="24"/>
                <w:szCs w:val="24"/>
                <w:vertAlign w:val="baseline"/>
                <w:lang w:val="en-US" w:eastAsia="zh-CN" w:bidi="ar-SA"/>
                <w14:textFill>
                  <w14:solidFill>
                    <w14:schemeClr w14:val="tx1"/>
                  </w14:solidFill>
                </w14:textFill>
              </w:rPr>
              <w:t>4.383</w:t>
            </w:r>
          </w:p>
        </w:tc>
        <w:tc>
          <w:tcPr>
            <w:tcW w:w="1350" w:type="dxa"/>
            <w:tcBorders>
              <w:top w:val="single" w:color="000000" w:sz="4" w:space="0"/>
              <w:left w:val="nil"/>
              <w:bottom w:val="single" w:color="000000" w:sz="12" w:space="0"/>
              <w:right w:val="nil"/>
            </w:tcBorders>
            <w:shd w:val="clear" w:color="auto" w:fill="FFFFFF"/>
            <w:vAlign w:val="center"/>
          </w:tcPr>
          <w:p w14:paraId="2441E6CB">
            <w:pPr>
              <w:numPr>
                <w:ilvl w:val="0"/>
                <w:numId w:val="0"/>
              </w:numPr>
              <w:spacing w:line="360" w:lineRule="auto"/>
              <w:jc w:val="center"/>
              <w:rPr>
                <w:rFonts w:hint="default" w:ascii="Cambria Math" w:hAnsi="Cambria Math" w:cs="Times New Roman" w:eastAsiaTheme="minorEastAsia"/>
                <w:b w:val="0"/>
                <w:i/>
                <w:iCs w:val="0"/>
                <w:caps w:val="0"/>
                <w:color w:val="000000" w:themeColor="text1"/>
                <w:spacing w:val="0"/>
                <w:kern w:val="2"/>
                <w:sz w:val="24"/>
                <w:szCs w:val="24"/>
                <w:vertAlign w:val="baseline"/>
                <w:lang w:val="en-US" w:eastAsia="zh-CN" w:bidi="ar-SA"/>
                <w14:textFill>
                  <w14:solidFill>
                    <w14:schemeClr w14:val="tx1"/>
                  </w14:solidFill>
                </w14:textFill>
                <w:oMath/>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101</w:t>
            </w:r>
          </w:p>
        </w:tc>
        <w:tc>
          <w:tcPr>
            <w:tcW w:w="1230" w:type="dxa"/>
            <w:tcBorders>
              <w:top w:val="single" w:color="000000" w:sz="4" w:space="0"/>
              <w:left w:val="nil"/>
              <w:bottom w:val="single" w:color="000000" w:sz="12" w:space="0"/>
              <w:right w:val="nil"/>
            </w:tcBorders>
            <w:shd w:val="clear" w:color="auto" w:fill="FFFFFF"/>
            <w:vAlign w:val="center"/>
          </w:tcPr>
          <w:p w14:paraId="194E654D">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5FDB42AE">
      <w:pPr>
        <w:numPr>
          <w:ilvl w:val="0"/>
          <w:numId w:val="0"/>
        </w:numPr>
        <w:spacing w:line="360" w:lineRule="auto"/>
        <w:ind w:firstLine="480" w:firstLineChars="200"/>
        <w:jc w:val="left"/>
        <w:outlineLvl w:val="9"/>
        <w:rPr>
          <w:rFonts w:hint="eastAsia" w:ascii="Times New Roman" w:hAnsi="Times New Roman" w:eastAsia="宋体" w:cs="宋体"/>
          <w:b w:val="0"/>
          <w:bCs w:val="0"/>
          <w:sz w:val="24"/>
          <w:szCs w:val="24"/>
          <w:lang w:val="en-US" w:eastAsia="zh-CN"/>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通过上面得到的分析结果，我们发现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这个因素对高校毕业生的就业问题存在显著影响，且</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高的高校毕业生的就业率明显高于</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低的高校毕业生</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130C4F">
      <w:pPr>
        <w:numPr>
          <w:ilvl w:val="0"/>
          <w:numId w:val="0"/>
        </w:numPr>
        <w:spacing w:line="360" w:lineRule="auto"/>
        <w:ind w:left="0" w:leftChars="0" w:firstLine="600" w:firstLineChars="0"/>
        <w:jc w:val="left"/>
        <w:outlineLvl w:val="1"/>
        <w:rPr>
          <w:rFonts w:hint="default" w:ascii="Times New Roman" w:hAnsi="Times New Roman" w:eastAsia="宋体" w:cs="宋体"/>
          <w:b/>
          <w:bCs/>
          <w:sz w:val="28"/>
          <w:szCs w:val="28"/>
          <w:lang w:val="en-US" w:eastAsia="zh-CN"/>
        </w:rPr>
      </w:pPr>
      <w:bookmarkStart w:id="24" w:name="_Toc5693"/>
      <w:r>
        <w:rPr>
          <w:rFonts w:hint="eastAsia" w:ascii="Times New Roman" w:hAnsi="Times New Roman" w:eastAsia="宋体" w:cs="宋体"/>
          <w:b/>
          <w:bCs/>
          <w:sz w:val="28"/>
          <w:szCs w:val="28"/>
          <w:lang w:val="en-US" w:eastAsia="zh-CN"/>
        </w:rPr>
        <w:t>4.3Logistic回归分析</w:t>
      </w:r>
      <w:bookmarkEnd w:id="24"/>
      <w:r>
        <w:rPr>
          <w:rFonts w:hint="eastAsia" w:ascii="Times New Roman" w:hAnsi="Times New Roman" w:eastAsia="宋体" w:cs="宋体"/>
          <w:b/>
          <w:bCs/>
          <w:sz w:val="28"/>
          <w:szCs w:val="28"/>
          <w:lang w:val="en-US" w:eastAsia="zh-CN"/>
        </w:rPr>
        <w:t>结果</w:t>
      </w:r>
    </w:p>
    <w:p w14:paraId="4AD1CEBF">
      <w:pPr>
        <w:numPr>
          <w:ilvl w:val="0"/>
          <w:numId w:val="0"/>
        </w:numPr>
        <w:spacing w:line="360" w:lineRule="auto"/>
        <w:ind w:leftChars="0" w:firstLine="480" w:firstLineChars="200"/>
        <w:jc w:val="both"/>
        <w:rPr>
          <w:rFonts w:hint="default" w:ascii="宋体" w:hAnsi="宋体" w:cs="宋体" w:eastAsiaTheme="minorEastAsia"/>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通过对描述性统计结果以及单因素分析结果进行分析后</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我们</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最终</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选择了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4</w:t>
      </w:r>
      <w:r>
        <w:rPr>
          <w:rFonts w:hint="default"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个显著变量</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（有无实习经历，</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,学校层次，专业类别）来进行</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6DC7624E">
      <w:pPr>
        <w:numPr>
          <w:ilvl w:val="0"/>
          <w:numId w:val="0"/>
        </w:numPr>
        <w:spacing w:line="360" w:lineRule="auto"/>
        <w:ind w:leftChars="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软件，最终我们得到的分析结果如表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FFB4D9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回归分析结果</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0"/>
        <w:gridCol w:w="1000"/>
        <w:gridCol w:w="1030"/>
        <w:gridCol w:w="1100"/>
        <w:gridCol w:w="2050"/>
        <w:gridCol w:w="1160"/>
      </w:tblGrid>
      <w:tr w14:paraId="49CFC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single" w:color="000000" w:sz="12" w:space="0"/>
              <w:left w:val="nil"/>
              <w:bottom w:val="single" w:color="000000" w:sz="4" w:space="0"/>
              <w:right w:val="nil"/>
              <w:tl2br w:val="nil"/>
            </w:tcBorders>
            <w:shd w:val="clear" w:color="auto" w:fill="FFFFFF"/>
            <w:vAlign w:val="center"/>
          </w:tcPr>
          <w:p w14:paraId="528F742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变量</w:t>
            </w:r>
          </w:p>
        </w:tc>
        <w:tc>
          <w:tcPr>
            <w:tcW w:w="1000" w:type="dxa"/>
            <w:tcBorders>
              <w:top w:val="single" w:color="000000" w:sz="12" w:space="0"/>
              <w:left w:val="nil"/>
              <w:bottom w:val="single" w:color="000000" w:sz="4" w:space="0"/>
              <w:right w:val="nil"/>
            </w:tcBorders>
            <w:shd w:val="clear" w:color="auto" w:fill="FFFFFF"/>
            <w:vAlign w:val="center"/>
          </w:tcPr>
          <w:p w14:paraId="3C92892E">
            <w:pPr>
              <w:numPr>
                <w:ilvl w:val="0"/>
                <w:numId w:val="0"/>
              </w:numPr>
              <w:spacing w:line="360" w:lineRule="auto"/>
              <w:jc w:val="center"/>
              <w:rPr>
                <w:rFonts w:hint="eastAsia" w:ascii="宋体" w:hAnsi="宋体" w:cs="宋体"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ascii="Cambria Math" w:hAnsi="Cambria Math" w:cs="宋体"/>
                  <w:caps w:val="0"/>
                  <w:color w:val="000000" w:themeColor="text1"/>
                  <w:spacing w:val="0"/>
                  <w:kern w:val="2"/>
                  <w:sz w:val="24"/>
                  <w:szCs w:val="24"/>
                  <w:vertAlign w:val="baseline"/>
                  <w:lang w:val="en-US" w:bidi="ar-SA"/>
                  <w14:textFill>
                    <w14:solidFill>
                      <w14:schemeClr w14:val="tx1"/>
                    </w14:solidFill>
                  </w14:textFill>
                </w:rPr>
                <m:t>β</m:t>
              </m:r>
            </m:oMath>
            <w:r>
              <w:rPr>
                <w:rFonts w:hint="eastAsia" w:hAnsi="Cambria Math"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系数</w:t>
            </w:r>
          </w:p>
        </w:tc>
        <w:tc>
          <w:tcPr>
            <w:tcW w:w="1030" w:type="dxa"/>
            <w:tcBorders>
              <w:top w:val="single" w:color="000000" w:sz="12" w:space="0"/>
              <w:left w:val="nil"/>
              <w:bottom w:val="single" w:color="000000" w:sz="4" w:space="0"/>
              <w:right w:val="nil"/>
            </w:tcBorders>
            <w:shd w:val="clear" w:color="auto" w:fill="FFFFFF"/>
            <w:vAlign w:val="center"/>
          </w:tcPr>
          <w:p w14:paraId="506C1C8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标准差</w:t>
            </w:r>
          </w:p>
        </w:tc>
        <w:tc>
          <w:tcPr>
            <w:tcW w:w="1100" w:type="dxa"/>
            <w:tcBorders>
              <w:top w:val="single" w:color="000000" w:sz="12" w:space="0"/>
              <w:left w:val="nil"/>
              <w:bottom w:val="single" w:color="000000" w:sz="4" w:space="0"/>
              <w:right w:val="nil"/>
            </w:tcBorders>
            <w:shd w:val="clear" w:color="auto" w:fill="FFFFFF"/>
            <w:vAlign w:val="center"/>
          </w:tcPr>
          <w:p w14:paraId="6D4A7EA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OR</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c>
          <w:tcPr>
            <w:tcW w:w="2050" w:type="dxa"/>
            <w:tcBorders>
              <w:top w:val="single" w:color="000000" w:sz="12" w:space="0"/>
              <w:left w:val="nil"/>
              <w:bottom w:val="single" w:color="000000" w:sz="4" w:space="0"/>
              <w:right w:val="nil"/>
            </w:tcBorders>
            <w:shd w:val="clear" w:color="auto" w:fill="FFFFFF"/>
            <w:vAlign w:val="center"/>
          </w:tcPr>
          <w:p w14:paraId="33D23D3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95%CI</w:t>
            </w:r>
          </w:p>
        </w:tc>
        <w:tc>
          <w:tcPr>
            <w:tcW w:w="1160" w:type="dxa"/>
            <w:tcBorders>
              <w:top w:val="single" w:color="000000" w:sz="12" w:space="0"/>
              <w:left w:val="nil"/>
              <w:bottom w:val="single" w:color="000000" w:sz="4" w:space="0"/>
              <w:right w:val="nil"/>
            </w:tcBorders>
            <w:shd w:val="clear" w:color="auto" w:fill="FFFFFF"/>
            <w:vAlign w:val="center"/>
          </w:tcPr>
          <w:p w14:paraId="5C9F4CB7">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P</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值</w:t>
            </w:r>
          </w:p>
        </w:tc>
      </w:tr>
      <w:tr w14:paraId="106F3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trPr>
        <w:tc>
          <w:tcPr>
            <w:tcW w:w="2440" w:type="dxa"/>
            <w:tcBorders>
              <w:top w:val="single" w:color="000000" w:sz="4" w:space="0"/>
              <w:left w:val="nil"/>
              <w:bottom w:val="nil"/>
              <w:right w:val="nil"/>
            </w:tcBorders>
            <w:shd w:val="clear" w:color="auto" w:fill="FFFFFF"/>
            <w:vAlign w:val="center"/>
          </w:tcPr>
          <w:p w14:paraId="39D93D00">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实习经历（有）</w:t>
            </w:r>
          </w:p>
        </w:tc>
        <w:tc>
          <w:tcPr>
            <w:tcW w:w="1000" w:type="dxa"/>
            <w:tcBorders>
              <w:top w:val="single" w:color="000000" w:sz="4" w:space="0"/>
              <w:left w:val="nil"/>
              <w:bottom w:val="nil"/>
              <w:right w:val="nil"/>
            </w:tcBorders>
            <w:shd w:val="clear" w:color="auto" w:fill="FFFFFF"/>
            <w:vAlign w:val="center"/>
          </w:tcPr>
          <w:p w14:paraId="56CA781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2.181</w:t>
            </w:r>
          </w:p>
        </w:tc>
        <w:tc>
          <w:tcPr>
            <w:tcW w:w="1030" w:type="dxa"/>
            <w:tcBorders>
              <w:top w:val="single" w:color="000000" w:sz="4" w:space="0"/>
              <w:left w:val="nil"/>
              <w:bottom w:val="nil"/>
              <w:right w:val="nil"/>
            </w:tcBorders>
            <w:shd w:val="clear" w:color="auto" w:fill="FFFFFF"/>
            <w:vAlign w:val="center"/>
          </w:tcPr>
          <w:p w14:paraId="0869242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0.733</w:t>
            </w:r>
          </w:p>
        </w:tc>
        <w:tc>
          <w:tcPr>
            <w:tcW w:w="1100" w:type="dxa"/>
            <w:tcBorders>
              <w:top w:val="single" w:color="000000" w:sz="4" w:space="0"/>
              <w:left w:val="nil"/>
              <w:bottom w:val="nil"/>
              <w:right w:val="nil"/>
            </w:tcBorders>
            <w:shd w:val="clear" w:color="auto" w:fill="FFFFFF"/>
            <w:vAlign w:val="center"/>
          </w:tcPr>
          <w:p w14:paraId="5E22AE9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8.858</w:t>
            </w:r>
          </w:p>
        </w:tc>
        <w:tc>
          <w:tcPr>
            <w:tcW w:w="2050" w:type="dxa"/>
            <w:tcBorders>
              <w:top w:val="single" w:color="000000" w:sz="4" w:space="0"/>
              <w:left w:val="nil"/>
              <w:bottom w:val="nil"/>
              <w:right w:val="nil"/>
            </w:tcBorders>
            <w:shd w:val="clear" w:color="auto" w:fill="FFFFFF"/>
            <w:vAlign w:val="center"/>
          </w:tcPr>
          <w:p w14:paraId="10DE6EC3">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[2.107，37.238]</w:t>
            </w:r>
          </w:p>
        </w:tc>
        <w:tc>
          <w:tcPr>
            <w:tcW w:w="1160" w:type="dxa"/>
            <w:tcBorders>
              <w:top w:val="single" w:color="000000" w:sz="4" w:space="0"/>
              <w:left w:val="nil"/>
              <w:bottom w:val="nil"/>
              <w:right w:val="nil"/>
            </w:tcBorders>
            <w:shd w:val="clear" w:color="auto" w:fill="FFFFFF"/>
            <w:vAlign w:val="center"/>
          </w:tcPr>
          <w:p w14:paraId="5AA8334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0.003</w:t>
            </w:r>
          </w:p>
        </w:tc>
      </w:tr>
      <w:tr w14:paraId="1B34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2440" w:type="dxa"/>
            <w:tcBorders>
              <w:top w:val="nil"/>
              <w:left w:val="nil"/>
              <w:bottom w:val="nil"/>
              <w:right w:val="nil"/>
            </w:tcBorders>
            <w:shd w:val="clear" w:color="auto" w:fill="FFFFFF"/>
            <w:vAlign w:val="center"/>
          </w:tcPr>
          <w:p w14:paraId="78B6B08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GPA（每减少</w:t>
            </w: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w:t>
            </w: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分）</w:t>
            </w:r>
          </w:p>
        </w:tc>
        <w:tc>
          <w:tcPr>
            <w:tcW w:w="1000" w:type="dxa"/>
            <w:tcBorders>
              <w:top w:val="nil"/>
              <w:left w:val="nil"/>
              <w:bottom w:val="nil"/>
              <w:right w:val="nil"/>
            </w:tcBorders>
            <w:shd w:val="clear" w:color="auto" w:fill="FFFFFF"/>
            <w:vAlign w:val="center"/>
          </w:tcPr>
          <w:p w14:paraId="77317F7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-2.725</w:t>
            </w:r>
          </w:p>
        </w:tc>
        <w:tc>
          <w:tcPr>
            <w:tcW w:w="1030" w:type="dxa"/>
            <w:tcBorders>
              <w:top w:val="nil"/>
              <w:left w:val="nil"/>
              <w:bottom w:val="nil"/>
              <w:right w:val="nil"/>
            </w:tcBorders>
            <w:shd w:val="clear" w:color="auto" w:fill="FFFFFF"/>
            <w:vAlign w:val="center"/>
          </w:tcPr>
          <w:p w14:paraId="3BCD3AF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0.738</w:t>
            </w:r>
          </w:p>
        </w:tc>
        <w:tc>
          <w:tcPr>
            <w:tcW w:w="1100" w:type="dxa"/>
            <w:tcBorders>
              <w:top w:val="nil"/>
              <w:left w:val="nil"/>
              <w:bottom w:val="nil"/>
              <w:right w:val="nil"/>
            </w:tcBorders>
            <w:shd w:val="clear" w:color="auto" w:fill="FFFFFF"/>
            <w:vAlign w:val="center"/>
          </w:tcPr>
          <w:p w14:paraId="321E3EC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15.152</w:t>
            </w:r>
          </w:p>
        </w:tc>
        <w:tc>
          <w:tcPr>
            <w:tcW w:w="2050" w:type="dxa"/>
            <w:tcBorders>
              <w:top w:val="nil"/>
              <w:left w:val="nil"/>
              <w:bottom w:val="nil"/>
              <w:right w:val="nil"/>
            </w:tcBorders>
            <w:shd w:val="clear" w:color="auto" w:fill="FFFFFF"/>
            <w:vAlign w:val="center"/>
          </w:tcPr>
          <w:p w14:paraId="61795AA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[3.597，66.667]</w:t>
            </w:r>
          </w:p>
        </w:tc>
        <w:tc>
          <w:tcPr>
            <w:tcW w:w="1160" w:type="dxa"/>
            <w:tcBorders>
              <w:top w:val="nil"/>
              <w:left w:val="nil"/>
              <w:bottom w:val="nil"/>
              <w:right w:val="nil"/>
            </w:tcBorders>
            <w:shd w:val="clear" w:color="auto" w:fill="FFFFFF"/>
            <w:vAlign w:val="center"/>
          </w:tcPr>
          <w:p w14:paraId="3D3EB22B">
            <w:pPr>
              <w:numPr>
                <w:ilvl w:val="0"/>
                <w:numId w:val="0"/>
              </w:numPr>
              <w:spacing w:line="360" w:lineRule="auto"/>
              <w:jc w:val="center"/>
              <w:rPr>
                <w:rFonts w:hint="default" w:ascii="Times New Roman" w:hAnsi="Times New Roman" w:cs="Times New Roman" w:eastAsiaTheme="min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1C1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nil"/>
              <w:left w:val="nil"/>
              <w:bottom w:val="nil"/>
              <w:right w:val="nil"/>
            </w:tcBorders>
            <w:shd w:val="clear" w:color="auto" w:fill="FFFFFF"/>
            <w:vAlign w:val="center"/>
          </w:tcPr>
          <w:p w14:paraId="2DBD54F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学校层次（双一流）</w:t>
            </w:r>
          </w:p>
        </w:tc>
        <w:tc>
          <w:tcPr>
            <w:tcW w:w="1000" w:type="dxa"/>
            <w:tcBorders>
              <w:top w:val="nil"/>
              <w:left w:val="nil"/>
              <w:bottom w:val="nil"/>
              <w:right w:val="nil"/>
            </w:tcBorders>
            <w:shd w:val="clear" w:color="auto" w:fill="FFFFFF"/>
            <w:vAlign w:val="center"/>
          </w:tcPr>
          <w:p w14:paraId="7D9E673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1.554</w:t>
            </w:r>
          </w:p>
        </w:tc>
        <w:tc>
          <w:tcPr>
            <w:tcW w:w="1030" w:type="dxa"/>
            <w:tcBorders>
              <w:top w:val="nil"/>
              <w:left w:val="nil"/>
              <w:bottom w:val="nil"/>
              <w:right w:val="nil"/>
            </w:tcBorders>
            <w:shd w:val="clear" w:color="auto" w:fill="FFFFFF"/>
            <w:vAlign w:val="center"/>
          </w:tcPr>
          <w:p w14:paraId="0FAA90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0.601</w:t>
            </w:r>
          </w:p>
        </w:tc>
        <w:tc>
          <w:tcPr>
            <w:tcW w:w="1100" w:type="dxa"/>
            <w:tcBorders>
              <w:top w:val="nil"/>
              <w:left w:val="nil"/>
              <w:bottom w:val="nil"/>
              <w:right w:val="nil"/>
            </w:tcBorders>
            <w:shd w:val="clear" w:color="auto" w:fill="FFFFFF"/>
            <w:vAlign w:val="center"/>
          </w:tcPr>
          <w:p w14:paraId="267F49A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4.733</w:t>
            </w:r>
          </w:p>
        </w:tc>
        <w:tc>
          <w:tcPr>
            <w:tcW w:w="2050" w:type="dxa"/>
            <w:tcBorders>
              <w:top w:val="nil"/>
              <w:left w:val="nil"/>
              <w:bottom w:val="nil"/>
              <w:right w:val="nil"/>
            </w:tcBorders>
            <w:shd w:val="clear" w:color="auto" w:fill="FFFFFF"/>
            <w:vAlign w:val="center"/>
          </w:tcPr>
          <w:p w14:paraId="3DCFA4C1">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[1.459，15.356]</w:t>
            </w:r>
          </w:p>
        </w:tc>
        <w:tc>
          <w:tcPr>
            <w:tcW w:w="1160" w:type="dxa"/>
            <w:tcBorders>
              <w:top w:val="nil"/>
              <w:left w:val="nil"/>
              <w:bottom w:val="nil"/>
              <w:right w:val="nil"/>
            </w:tcBorders>
            <w:shd w:val="clear" w:color="auto" w:fill="FFFFFF"/>
            <w:vAlign w:val="center"/>
          </w:tcPr>
          <w:p w14:paraId="73A8AEC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0.010</w:t>
            </w:r>
          </w:p>
        </w:tc>
      </w:tr>
      <w:tr w14:paraId="0A8B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440" w:type="dxa"/>
            <w:tcBorders>
              <w:top w:val="nil"/>
              <w:left w:val="nil"/>
              <w:bottom w:val="nil"/>
              <w:right w:val="nil"/>
            </w:tcBorders>
            <w:shd w:val="clear" w:color="auto" w:fill="FFFFFF"/>
            <w:vAlign w:val="center"/>
          </w:tcPr>
          <w:p w14:paraId="61A1C78C">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sSub>
                <m:sSubP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b w:val="0"/>
                      <w:i/>
                      <w:iCs/>
                      <w:caps w:val="0"/>
                      <w:color w:val="000000" w:themeColor="text1"/>
                      <w:spacing w:val="0"/>
                      <w:kern w:val="2"/>
                      <w:sz w:val="24"/>
                      <w:szCs w:val="24"/>
                      <w:vertAlign w:val="baseline"/>
                      <w:lang w:val="en-US" w:eastAsia="zh-CN" w:bidi="ar-SA"/>
                      <w14:textFill>
                        <w14:solidFill>
                          <w14:schemeClr w14:val="tx1"/>
                        </w14:solidFill>
                      </w14:textFill>
                    </w:rPr>
                  </m:ctrlPr>
                </m:sub>
              </m:sSub>
            </m:oMath>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专业类别（理科）</w:t>
            </w:r>
          </w:p>
        </w:tc>
        <w:tc>
          <w:tcPr>
            <w:tcW w:w="1000" w:type="dxa"/>
            <w:tcBorders>
              <w:top w:val="nil"/>
              <w:left w:val="nil"/>
              <w:bottom w:val="nil"/>
              <w:right w:val="nil"/>
            </w:tcBorders>
            <w:shd w:val="clear" w:color="auto" w:fill="FFFFFF"/>
            <w:vAlign w:val="center"/>
          </w:tcPr>
          <w:p w14:paraId="4EC4040B">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1.326</w:t>
            </w:r>
          </w:p>
        </w:tc>
        <w:tc>
          <w:tcPr>
            <w:tcW w:w="1030" w:type="dxa"/>
            <w:tcBorders>
              <w:top w:val="nil"/>
              <w:left w:val="nil"/>
              <w:bottom w:val="nil"/>
              <w:right w:val="nil"/>
            </w:tcBorders>
            <w:shd w:val="clear" w:color="auto" w:fill="FFFFFF"/>
            <w:vAlign w:val="center"/>
          </w:tcPr>
          <w:p w14:paraId="3D6770E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0.578</w:t>
            </w:r>
          </w:p>
        </w:tc>
        <w:tc>
          <w:tcPr>
            <w:tcW w:w="1100" w:type="dxa"/>
            <w:tcBorders>
              <w:top w:val="nil"/>
              <w:left w:val="nil"/>
              <w:bottom w:val="nil"/>
              <w:right w:val="nil"/>
            </w:tcBorders>
            <w:shd w:val="clear" w:color="auto" w:fill="FFFFFF"/>
            <w:vAlign w:val="center"/>
          </w:tcPr>
          <w:p w14:paraId="27B4407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3.767</w:t>
            </w:r>
          </w:p>
        </w:tc>
        <w:tc>
          <w:tcPr>
            <w:tcW w:w="2050" w:type="dxa"/>
            <w:tcBorders>
              <w:top w:val="nil"/>
              <w:left w:val="nil"/>
              <w:bottom w:val="nil"/>
              <w:right w:val="nil"/>
            </w:tcBorders>
            <w:shd w:val="clear" w:color="auto" w:fill="FFFFFF"/>
            <w:vAlign w:val="center"/>
          </w:tcPr>
          <w:p w14:paraId="0AA102C2">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[1.214，11.693]</w:t>
            </w:r>
          </w:p>
        </w:tc>
        <w:tc>
          <w:tcPr>
            <w:tcW w:w="1160" w:type="dxa"/>
            <w:tcBorders>
              <w:top w:val="nil"/>
              <w:left w:val="nil"/>
              <w:bottom w:val="nil"/>
              <w:right w:val="nil"/>
            </w:tcBorders>
            <w:shd w:val="clear" w:color="auto" w:fill="FFFFFF"/>
            <w:vAlign w:val="center"/>
          </w:tcPr>
          <w:p w14:paraId="34A2074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0.022</w:t>
            </w:r>
          </w:p>
        </w:tc>
      </w:tr>
      <w:tr w14:paraId="24FA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trPr>
        <w:tc>
          <w:tcPr>
            <w:tcW w:w="2440" w:type="dxa"/>
            <w:tcBorders>
              <w:top w:val="nil"/>
              <w:left w:val="nil"/>
              <w:bottom w:val="single" w:color="000000" w:sz="12" w:space="0"/>
              <w:right w:val="nil"/>
            </w:tcBorders>
            <w:shd w:val="clear" w:color="auto" w:fill="FFFFFF"/>
            <w:vAlign w:val="center"/>
          </w:tcPr>
          <w:p w14:paraId="2F5BEA16">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常量</w:t>
            </w:r>
          </w:p>
        </w:tc>
        <w:tc>
          <w:tcPr>
            <w:tcW w:w="1000" w:type="dxa"/>
            <w:tcBorders>
              <w:top w:val="nil"/>
              <w:left w:val="nil"/>
              <w:bottom w:val="single" w:color="000000" w:sz="12" w:space="0"/>
              <w:right w:val="nil"/>
            </w:tcBorders>
            <w:shd w:val="clear" w:color="auto" w:fill="FFFFFF"/>
            <w:vAlign w:val="center"/>
          </w:tcPr>
          <w:p w14:paraId="68BDD8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8.495</w:t>
            </w:r>
          </w:p>
        </w:tc>
        <w:tc>
          <w:tcPr>
            <w:tcW w:w="1030" w:type="dxa"/>
            <w:tcBorders>
              <w:top w:val="nil"/>
              <w:left w:val="nil"/>
              <w:bottom w:val="single" w:color="000000" w:sz="12" w:space="0"/>
              <w:right w:val="nil"/>
            </w:tcBorders>
            <w:shd w:val="clear" w:color="auto" w:fill="FFFFFF"/>
            <w:vAlign w:val="center"/>
          </w:tcPr>
          <w:p w14:paraId="06F5BD4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2.676</w:t>
            </w:r>
          </w:p>
        </w:tc>
        <w:tc>
          <w:tcPr>
            <w:tcW w:w="1100" w:type="dxa"/>
            <w:tcBorders>
              <w:top w:val="nil"/>
              <w:left w:val="nil"/>
              <w:bottom w:val="single" w:color="000000" w:sz="12" w:space="0"/>
              <w:right w:val="nil"/>
            </w:tcBorders>
            <w:shd w:val="clear" w:color="auto" w:fill="FFFFFF"/>
            <w:vAlign w:val="center"/>
          </w:tcPr>
          <w:p w14:paraId="224821B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50" w:type="dxa"/>
            <w:tcBorders>
              <w:top w:val="nil"/>
              <w:left w:val="nil"/>
              <w:bottom w:val="single" w:color="000000" w:sz="12" w:space="0"/>
              <w:right w:val="nil"/>
            </w:tcBorders>
            <w:shd w:val="clear" w:color="auto" w:fill="FFFFFF"/>
            <w:vAlign w:val="center"/>
          </w:tcPr>
          <w:p w14:paraId="533818B0">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1160" w:type="dxa"/>
            <w:tcBorders>
              <w:top w:val="nil"/>
              <w:left w:val="nil"/>
              <w:bottom w:val="single" w:color="000000" w:sz="12" w:space="0"/>
              <w:right w:val="nil"/>
            </w:tcBorders>
            <w:shd w:val="clear" w:color="auto" w:fill="FFFFFF"/>
            <w:vAlign w:val="center"/>
          </w:tcPr>
          <w:p w14:paraId="2BDE343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0.002</w:t>
            </w:r>
          </w:p>
        </w:tc>
      </w:tr>
    </w:tbl>
    <w:p w14:paraId="2D6DA527">
      <w:pPr>
        <w:numPr>
          <w:ilvl w:val="0"/>
          <w:numId w:val="0"/>
        </w:numPr>
        <w:spacing w:line="360" w:lineRule="auto"/>
        <w:ind w:firstLine="480" w:firstLineChars="200"/>
        <w:jc w:val="both"/>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通过上面的分析结果，我们可以得到高校毕业生的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对其就业影响最大，且</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每增加一分，就业率约为提高前的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15</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倍.是否有实习经历对高校毕业生的就业影响虽然比不上</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GPA</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，但影响程度也很大，有实习经历的毕业生的就业率是没有实习经历的毕业生的就业率的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8.858</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最后，学校层次和专业类别这两个因素对高校毕业生的就业影响程度虽不及前两个关键因素，但也有一定程度的影响，毕业于双一流大学的高校毕业生的就业率是毕业于普通本科的高校毕业生的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4.733</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倍，专业是理科的高校毕业生的就业率是专业是文科的高校毕业生的</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3.767</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倍</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w:t>
      </w:r>
    </w:p>
    <w:p w14:paraId="070F6CB5">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利用表</w:t>
      </w:r>
      <w:r>
        <w:rPr>
          <w:rFonts w:hint="default" w:ascii="Times New Roman" w:hAnsi="Times New Roman" w:eastAsia="宋体" w:cs="Times New Roman"/>
          <w:i w:val="0"/>
          <w:iCs/>
          <w:caps w:val="0"/>
          <w:color w:val="000000" w:themeColor="text1"/>
          <w:spacing w:val="0"/>
          <w:kern w:val="2"/>
          <w:sz w:val="24"/>
          <w:szCs w:val="24"/>
          <w:vertAlign w:val="baseline"/>
          <w:lang w:val="en-US" w:eastAsia="zh-CN" w:bidi="ar-SA"/>
          <w14:textFill>
            <w14:solidFill>
              <w14:schemeClr w14:val="tx1"/>
            </w14:solidFill>
          </w14:textFill>
        </w:rPr>
        <w:t>6</w:t>
      </w:r>
      <w:r>
        <w:rPr>
          <w:rFonts w:hint="eastAsia" w:ascii="宋体" w:hAnsi="宋体" w:eastAsia="宋体" w:cs="宋体"/>
          <w:i w:val="0"/>
          <w:iCs/>
          <w:caps w:val="0"/>
          <w:color w:val="000000" w:themeColor="text1"/>
          <w:spacing w:val="0"/>
          <w:kern w:val="2"/>
          <w:sz w:val="24"/>
          <w:szCs w:val="24"/>
          <w:vertAlign w:val="baseline"/>
          <w:lang w:val="en-US" w:eastAsia="zh-CN" w:bidi="ar-SA"/>
          <w14:textFill>
            <w14:solidFill>
              <w14:schemeClr w14:val="tx1"/>
            </w14:solidFill>
          </w14:textFill>
        </w:rPr>
        <w:t>中的数据，我们可以建构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w:t>
      </w:r>
    </w:p>
    <w:p w14:paraId="0AD8DE8C">
      <w:pPr>
        <w:numPr>
          <w:ilvl w:val="0"/>
          <w:numId w:val="0"/>
        </w:numPr>
        <w:spacing w:line="360" w:lineRule="auto"/>
        <w:ind w:leftChars="0"/>
        <w:jc w:val="center"/>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m:oMathPara>
        <m:oMath>
          <m:r>
            <m:rPr/>
            <w:rPr>
              <w:rFonts w:hint="default" w:ascii="Cambria Math" w:hAnsi="Cambria Math" w:eastAsia="宋体" w:cs="宋体"/>
              <w:caps w:val="0"/>
              <w:color w:val="000000" w:themeColor="text1"/>
              <w:spacing w:val="0"/>
              <w:kern w:val="2"/>
              <w:sz w:val="24"/>
              <w:szCs w:val="24"/>
              <w:vertAlign w:val="baseline"/>
              <w:lang w:val="en-US" w:eastAsia="zh-CN" w:bidi="ar-SA"/>
              <w14:textFill>
                <w14:solidFill>
                  <w14:schemeClr w14:val="tx1"/>
                </w14:solidFill>
              </w14:textFill>
            </w:rPr>
            <m:t>l</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n</m:t>
          </m:r>
          <m:d>
            <m:d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Pr>
            <m:e>
              <m:f>
                <m:fP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fPr>
                <m:num>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num>
                <m:den>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r>
                    <m:rPr/>
                    <w:rPr>
                      <w:rFonts w:ascii="Cambria Math" w:hAnsi="Cambria Math" w:cs="微软雅黑"/>
                      <w:caps w:val="0"/>
                      <w:color w:val="000000" w:themeColor="text1"/>
                      <w:spacing w:val="0"/>
                      <w:kern w:val="2"/>
                      <w:sz w:val="24"/>
                      <w:szCs w:val="24"/>
                      <w:vertAlign w:val="baseline"/>
                      <w:lang w:val="en-US" w:bidi="ar-SA"/>
                      <w14:textFill>
                        <w14:solidFill>
                          <w14:schemeClr w14:val="tx1"/>
                        </w14:solidFill>
                      </w14:textFill>
                    </w:rPr>
                    <m:t>−</m:t>
                  </m:r>
                  <m:r>
                    <m:rPr/>
                    <w:rPr>
                      <w:rFonts w:hint="default" w:ascii="Cambria Math" w:hAnsi="Cambria Math" w:cs="微软雅黑"/>
                      <w:caps w:val="0"/>
                      <w:color w:val="000000" w:themeColor="text1"/>
                      <w:spacing w:val="0"/>
                      <w:kern w:val="2"/>
                      <w:sz w:val="24"/>
                      <w:szCs w:val="24"/>
                      <w:vertAlign w:val="baseline"/>
                      <w:lang w:val="en-US" w:eastAsia="zh-CN" w:bidi="ar-SA"/>
                      <w14:textFill>
                        <w14:solidFill>
                          <w14:schemeClr w14:val="tx1"/>
                        </w14:solidFill>
                      </w14:textFill>
                    </w:rPr>
                    <m:t>P</m:t>
                  </m:r>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den>
              </m:f>
              <m:ctrlPr>
                <w:rPr>
                  <w:rFonts w:hint="eastAsia"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d>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=8.495</m:t>
          </m:r>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2.181</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2.725</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2</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1.554</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3</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r>
            <m:rPr/>
            <w:rPr>
              <w:rFonts w:hint="default" w:ascii="Cambria Math" w:hAnsi="Cambria Math" w:eastAsia="微软雅黑" w:cs="Cambria Math"/>
              <w:caps w:val="0"/>
              <w:color w:val="000000" w:themeColor="text1"/>
              <w:spacing w:val="0"/>
              <w:kern w:val="2"/>
              <w:sz w:val="24"/>
              <w:szCs w:val="24"/>
              <w:vertAlign w:val="baseline"/>
              <w:lang w:val="en-US" w:eastAsia="zh-CN" w:bidi="ar-SA"/>
              <w14:textFill>
                <w14:solidFill>
                  <w14:schemeClr w14:val="tx1"/>
                </w14:solidFill>
              </w14:textFill>
            </w:rPr>
            <m:t>+</m:t>
          </m:r>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1.326</m:t>
          </m:r>
          <m:sSub>
            <m:sSubP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SubPr>
            <m:e>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X</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e>
            <m:sub>
              <m:r>
                <m:rPr/>
                <w:rPr>
                  <w:rFonts w:hint="default" w:ascii="Cambria Math" w:hAnsi="Cambria Math" w:eastAsia="微软雅黑" w:cs="微软雅黑"/>
                  <w:caps w:val="0"/>
                  <w:color w:val="000000" w:themeColor="text1"/>
                  <w:spacing w:val="0"/>
                  <w:kern w:val="2"/>
                  <w:sz w:val="24"/>
                  <w:szCs w:val="24"/>
                  <w:vertAlign w:val="baseline"/>
                  <w:lang w:val="en-US" w:eastAsia="zh-CN" w:bidi="ar-SA"/>
                  <w14:textFill>
                    <w14:solidFill>
                      <w14:schemeClr w14:val="tx1"/>
                    </w14:solidFill>
                  </w14:textFill>
                </w:rPr>
                <m:t>4</m:t>
              </m:r>
              <m:ctrlPr>
                <w:rPr>
                  <w:rFonts w:hint="default" w:ascii="Cambria Math"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m:ctrlPr>
            </m:sub>
          </m:sSub>
        </m:oMath>
      </m:oMathPara>
    </w:p>
    <w:p w14:paraId="462767F1">
      <w:pPr>
        <w:numPr>
          <w:ilvl w:val="0"/>
          <w:numId w:val="0"/>
        </w:numPr>
        <w:spacing w:line="360" w:lineRule="auto"/>
        <w:ind w:left="0" w:leftChars="0" w:firstLine="600" w:firstLineChars="0"/>
        <w:jc w:val="left"/>
        <w:outlineLvl w:val="1"/>
        <w:rPr>
          <w:rFonts w:hint="eastAsia" w:ascii="Times New Roman" w:hAnsi="Times New Roman" w:eastAsia="宋体" w:cs="宋体"/>
          <w:b/>
          <w:bCs/>
          <w:sz w:val="28"/>
          <w:szCs w:val="28"/>
          <w:lang w:val="en-US" w:eastAsia="zh-CN"/>
        </w:rPr>
      </w:pPr>
      <w:bookmarkStart w:id="25" w:name="_Toc22471"/>
      <w:r>
        <w:rPr>
          <w:rFonts w:hint="eastAsia" w:ascii="Times New Roman" w:hAnsi="Times New Roman" w:eastAsia="宋体" w:cs="宋体"/>
          <w:b/>
          <w:bCs/>
          <w:sz w:val="28"/>
          <w:szCs w:val="28"/>
          <w:lang w:val="en-US" w:eastAsia="zh-CN"/>
        </w:rPr>
        <w:t>4.4模型检验</w:t>
      </w:r>
      <w:bookmarkEnd w:id="25"/>
    </w:p>
    <w:p w14:paraId="2A8272FE">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利用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SPSS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软件，我们可以得到</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7</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29BB6E1D">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 xml:space="preserve">7 </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0"/>
        <w:gridCol w:w="2090"/>
        <w:gridCol w:w="2070"/>
        <w:gridCol w:w="2500"/>
      </w:tblGrid>
      <w:tr w14:paraId="5419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120" w:type="dxa"/>
            <w:tcBorders>
              <w:top w:val="single" w:color="000000" w:sz="12" w:space="0"/>
              <w:left w:val="nil"/>
              <w:bottom w:val="single" w:color="000000" w:sz="4" w:space="0"/>
              <w:right w:val="nil"/>
              <w:tl2br w:val="nil"/>
            </w:tcBorders>
            <w:shd w:val="clear" w:color="auto" w:fill="FFFFFF"/>
            <w:vAlign w:val="center"/>
          </w:tcPr>
          <w:p w14:paraId="5D4D905B">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p>
        </w:tc>
        <w:tc>
          <w:tcPr>
            <w:tcW w:w="2090" w:type="dxa"/>
            <w:tcBorders>
              <w:top w:val="single" w:color="000000" w:sz="12" w:space="0"/>
              <w:left w:val="nil"/>
              <w:bottom w:val="single" w:color="000000" w:sz="4" w:space="0"/>
              <w:right w:val="nil"/>
            </w:tcBorders>
            <w:shd w:val="clear" w:color="auto" w:fill="FFFFFF"/>
            <w:vAlign w:val="center"/>
          </w:tcPr>
          <w:p w14:paraId="2C950E05">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070" w:type="dxa"/>
            <w:tcBorders>
              <w:top w:val="single" w:color="000000" w:sz="12" w:space="0"/>
              <w:left w:val="nil"/>
              <w:bottom w:val="single" w:color="000000" w:sz="4" w:space="0"/>
              <w:right w:val="nil"/>
            </w:tcBorders>
            <w:shd w:val="clear" w:color="auto" w:fill="FFFFFF"/>
            <w:vAlign w:val="center"/>
          </w:tcPr>
          <w:p w14:paraId="6CBCC60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500" w:type="dxa"/>
            <w:tcBorders>
              <w:top w:val="single" w:color="000000" w:sz="12" w:space="0"/>
              <w:left w:val="nil"/>
              <w:bottom w:val="single" w:color="000000" w:sz="4" w:space="0"/>
              <w:right w:val="nil"/>
            </w:tcBorders>
            <w:shd w:val="clear" w:color="auto" w:fill="FFFFFF"/>
            <w:vAlign w:val="center"/>
          </w:tcPr>
          <w:p w14:paraId="1181D14A">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4C7F4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trPr>
        <w:tc>
          <w:tcPr>
            <w:tcW w:w="2120" w:type="dxa"/>
            <w:tcBorders>
              <w:top w:val="single" w:color="000000" w:sz="4" w:space="0"/>
              <w:left w:val="nil"/>
              <w:bottom w:val="nil"/>
              <w:right w:val="nil"/>
            </w:tcBorders>
            <w:shd w:val="clear" w:color="auto" w:fill="FFFFFF"/>
            <w:vAlign w:val="center"/>
          </w:tcPr>
          <w:p w14:paraId="2E2051BE">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步骤</w:t>
            </w:r>
          </w:p>
        </w:tc>
        <w:tc>
          <w:tcPr>
            <w:tcW w:w="2090" w:type="dxa"/>
            <w:tcBorders>
              <w:top w:val="single" w:color="000000" w:sz="4" w:space="0"/>
              <w:left w:val="nil"/>
              <w:bottom w:val="nil"/>
              <w:right w:val="nil"/>
            </w:tcBorders>
            <w:shd w:val="clear" w:color="auto" w:fill="FFFFFF"/>
            <w:vAlign w:val="center"/>
          </w:tcPr>
          <w:p w14:paraId="307D55D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single" w:color="000000" w:sz="4" w:space="0"/>
              <w:left w:val="nil"/>
              <w:bottom w:val="nil"/>
              <w:right w:val="nil"/>
            </w:tcBorders>
            <w:shd w:val="clear" w:color="auto" w:fill="FFFFFF"/>
            <w:vAlign w:val="center"/>
          </w:tcPr>
          <w:p w14:paraId="0D780B56">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single" w:color="000000" w:sz="4" w:space="0"/>
              <w:left w:val="nil"/>
              <w:bottom w:val="nil"/>
              <w:right w:val="nil"/>
            </w:tcBorders>
            <w:shd w:val="clear" w:color="auto" w:fill="FFFFFF"/>
            <w:vAlign w:val="center"/>
          </w:tcPr>
          <w:p w14:paraId="000F90D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1A15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trPr>
        <w:tc>
          <w:tcPr>
            <w:tcW w:w="2120" w:type="dxa"/>
            <w:tcBorders>
              <w:top w:val="nil"/>
              <w:left w:val="nil"/>
              <w:bottom w:val="nil"/>
              <w:right w:val="nil"/>
            </w:tcBorders>
            <w:shd w:val="clear" w:color="auto" w:fill="FFFFFF"/>
            <w:vAlign w:val="center"/>
          </w:tcPr>
          <w:p w14:paraId="2CC8E523">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块</w:t>
            </w:r>
          </w:p>
        </w:tc>
        <w:tc>
          <w:tcPr>
            <w:tcW w:w="2090" w:type="dxa"/>
            <w:tcBorders>
              <w:top w:val="nil"/>
              <w:left w:val="nil"/>
              <w:bottom w:val="nil"/>
              <w:right w:val="nil"/>
            </w:tcBorders>
            <w:shd w:val="clear" w:color="auto" w:fill="FFFFFF"/>
            <w:vAlign w:val="center"/>
          </w:tcPr>
          <w:p w14:paraId="466E9904">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nil"/>
              <w:right w:val="nil"/>
            </w:tcBorders>
            <w:shd w:val="clear" w:color="auto" w:fill="FFFFFF"/>
            <w:vAlign w:val="center"/>
          </w:tcPr>
          <w:p w14:paraId="4527C22E">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nil"/>
              <w:right w:val="nil"/>
            </w:tcBorders>
            <w:shd w:val="clear" w:color="auto" w:fill="FFFFFF"/>
            <w:vAlign w:val="center"/>
          </w:tcPr>
          <w:p w14:paraId="38AFA29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r w14:paraId="4544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2120" w:type="dxa"/>
            <w:tcBorders>
              <w:top w:val="nil"/>
              <w:left w:val="nil"/>
              <w:bottom w:val="single" w:color="000000" w:sz="12" w:space="0"/>
              <w:right w:val="nil"/>
            </w:tcBorders>
            <w:shd w:val="clear" w:color="auto" w:fill="FFFFFF"/>
            <w:vAlign w:val="center"/>
          </w:tcPr>
          <w:p w14:paraId="4627FE99">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模型</w:t>
            </w:r>
          </w:p>
        </w:tc>
        <w:tc>
          <w:tcPr>
            <w:tcW w:w="2090" w:type="dxa"/>
            <w:tcBorders>
              <w:top w:val="nil"/>
              <w:left w:val="nil"/>
              <w:bottom w:val="single" w:color="000000" w:sz="12" w:space="0"/>
              <w:right w:val="nil"/>
            </w:tcBorders>
            <w:shd w:val="clear" w:color="auto" w:fill="FFFFFF"/>
            <w:vAlign w:val="center"/>
          </w:tcPr>
          <w:p w14:paraId="5F5F047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44.799</w:t>
            </w:r>
          </w:p>
        </w:tc>
        <w:tc>
          <w:tcPr>
            <w:tcW w:w="2070" w:type="dxa"/>
            <w:tcBorders>
              <w:top w:val="nil"/>
              <w:left w:val="nil"/>
              <w:bottom w:val="single" w:color="000000" w:sz="12" w:space="0"/>
              <w:right w:val="nil"/>
            </w:tcBorders>
            <w:shd w:val="clear" w:color="auto" w:fill="FFFFFF"/>
            <w:vAlign w:val="center"/>
          </w:tcPr>
          <w:p w14:paraId="016EB4FF">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5</w:t>
            </w:r>
          </w:p>
        </w:tc>
        <w:tc>
          <w:tcPr>
            <w:tcW w:w="2500" w:type="dxa"/>
            <w:tcBorders>
              <w:top w:val="nil"/>
              <w:left w:val="nil"/>
              <w:bottom w:val="single" w:color="000000" w:sz="12" w:space="0"/>
              <w:right w:val="nil"/>
            </w:tcBorders>
            <w:shd w:val="clear" w:color="auto" w:fill="FFFFFF"/>
            <w:vAlign w:val="center"/>
          </w:tcPr>
          <w:p w14:paraId="2B4DCC3C">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b w:val="0"/>
                <w:i w:val="0"/>
                <w:iCs w:val="0"/>
                <w:caps w:val="0"/>
                <w:color w:val="000000" w:themeColor="text1"/>
                <w:spacing w:val="0"/>
                <w:kern w:val="2"/>
                <w:sz w:val="24"/>
                <w:szCs w:val="24"/>
                <w:vertAlign w:val="baseline"/>
                <w:lang w:val="en-US" w:eastAsia="zh-CN" w:bidi="ar-SA"/>
                <w14:textFill>
                  <w14:solidFill>
                    <w14:schemeClr w14:val="tx1"/>
                  </w14:solidFill>
                </w14:textFill>
              </w:rPr>
              <w:t>0.001</w:t>
            </w:r>
          </w:p>
        </w:tc>
      </w:tr>
    </w:tbl>
    <w:p w14:paraId="45EBD391">
      <w:pPr>
        <w:numPr>
          <w:ilvl w:val="0"/>
          <w:numId w:val="0"/>
        </w:numPr>
        <w:spacing w:line="360" w:lineRule="auto"/>
        <w:ind w:firstLine="480" w:firstLineChars="200"/>
        <w:jc w:val="both"/>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由上表我们可以得出在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模型的模型系数的</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Omnibus</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&lt;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0.001</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，说明了模型通过了显著性的检验，达到了显著水平</w:t>
      </w:r>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C946528">
      <w:pPr>
        <w:numPr>
          <w:ilvl w:val="0"/>
          <w:numId w:val="0"/>
        </w:numPr>
        <w:spacing w:line="360" w:lineRule="auto"/>
        <w:ind w:leftChars="0" w:firstLine="480" w:firstLineChars="200"/>
        <w:jc w:val="both"/>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最后，我们来看看</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模型的霍斯默-莱梅肖检验，如表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所示：</w:t>
      </w:r>
    </w:p>
    <w:p w14:paraId="3A91414B">
      <w:pPr>
        <w:numPr>
          <w:ilvl w:val="0"/>
          <w:numId w:val="0"/>
        </w:numPr>
        <w:spacing w:line="360" w:lineRule="auto"/>
        <w:ind w:leftChars="0"/>
        <w:jc w:val="cente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8</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 xml:space="preserve"> 霍斯默-莱梅肖检验</w:t>
      </w:r>
    </w:p>
    <w:tbl>
      <w:tblPr>
        <w:tblStyle w:val="9"/>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2790"/>
        <w:gridCol w:w="2970"/>
      </w:tblGrid>
      <w:tr w14:paraId="41619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3020" w:type="dxa"/>
            <w:tcBorders>
              <w:top w:val="single" w:color="000000" w:sz="12" w:space="0"/>
              <w:left w:val="nil"/>
              <w:bottom w:val="single" w:color="000000" w:sz="4" w:space="0"/>
              <w:right w:val="nil"/>
              <w:tl2br w:val="nil"/>
            </w:tcBorders>
            <w:shd w:val="clear" w:color="auto" w:fill="FFFFFF"/>
            <w:vAlign w:val="center"/>
          </w:tcPr>
          <w:p w14:paraId="36D20BE1">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卡方</w:t>
            </w:r>
          </w:p>
        </w:tc>
        <w:tc>
          <w:tcPr>
            <w:tcW w:w="2790" w:type="dxa"/>
            <w:tcBorders>
              <w:top w:val="single" w:color="000000" w:sz="12" w:space="0"/>
              <w:left w:val="nil"/>
              <w:bottom w:val="single" w:color="000000" w:sz="4" w:space="0"/>
              <w:right w:val="nil"/>
            </w:tcBorders>
            <w:shd w:val="clear" w:color="auto" w:fill="FFFFFF"/>
            <w:vAlign w:val="center"/>
          </w:tcPr>
          <w:p w14:paraId="7E6BAEC8">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自由度</w:t>
            </w:r>
          </w:p>
        </w:tc>
        <w:tc>
          <w:tcPr>
            <w:tcW w:w="2970" w:type="dxa"/>
            <w:tcBorders>
              <w:top w:val="single" w:color="000000" w:sz="12" w:space="0"/>
              <w:left w:val="nil"/>
              <w:bottom w:val="single" w:color="000000" w:sz="4" w:space="0"/>
              <w:right w:val="nil"/>
            </w:tcBorders>
            <w:shd w:val="clear" w:color="auto" w:fill="FFFFFF"/>
            <w:vAlign w:val="center"/>
          </w:tcPr>
          <w:p w14:paraId="0E9BB21D">
            <w:pPr>
              <w:numPr>
                <w:ilvl w:val="0"/>
                <w:numId w:val="0"/>
              </w:numPr>
              <w:spacing w:line="360" w:lineRule="auto"/>
              <w:jc w:val="center"/>
              <w:rPr>
                <w:rFonts w:hint="default"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b w:val="0"/>
                <w:i w:val="0"/>
                <w:iCs w:val="0"/>
                <w:caps w:val="0"/>
                <w:color w:val="000000" w:themeColor="text1"/>
                <w:spacing w:val="0"/>
                <w:kern w:val="2"/>
                <w:sz w:val="24"/>
                <w:szCs w:val="24"/>
                <w:vertAlign w:val="baseline"/>
                <w:lang w:val="en-US" w:eastAsia="zh-CN" w:bidi="ar-SA"/>
                <w14:textFill>
                  <w14:solidFill>
                    <w14:schemeClr w14:val="tx1"/>
                  </w14:solidFill>
                </w14:textFill>
              </w:rPr>
              <w:t>显著性</w:t>
            </w:r>
          </w:p>
        </w:tc>
      </w:tr>
      <w:tr w14:paraId="39795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2" w:hRule="atLeast"/>
        </w:trPr>
        <w:tc>
          <w:tcPr>
            <w:tcW w:w="3020" w:type="dxa"/>
            <w:tcBorders>
              <w:top w:val="single" w:color="000000" w:sz="4" w:space="0"/>
              <w:left w:val="nil"/>
              <w:bottom w:val="single" w:color="000000" w:sz="12" w:space="0"/>
              <w:right w:val="nil"/>
            </w:tcBorders>
            <w:shd w:val="clear" w:color="auto" w:fill="FFFFFF"/>
            <w:vAlign w:val="center"/>
          </w:tcPr>
          <w:p w14:paraId="491D9E55">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7.062</w:t>
            </w:r>
          </w:p>
        </w:tc>
        <w:tc>
          <w:tcPr>
            <w:tcW w:w="2790" w:type="dxa"/>
            <w:tcBorders>
              <w:top w:val="single" w:color="000000" w:sz="4" w:space="0"/>
              <w:left w:val="nil"/>
              <w:bottom w:val="single" w:color="000000" w:sz="12" w:space="0"/>
              <w:right w:val="nil"/>
            </w:tcBorders>
            <w:shd w:val="clear" w:color="auto" w:fill="FFFFFF"/>
            <w:vAlign w:val="center"/>
          </w:tcPr>
          <w:p w14:paraId="6844186A">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8</w:t>
            </w:r>
          </w:p>
        </w:tc>
        <w:tc>
          <w:tcPr>
            <w:tcW w:w="2970" w:type="dxa"/>
            <w:tcBorders>
              <w:top w:val="single" w:color="000000" w:sz="4" w:space="0"/>
              <w:left w:val="nil"/>
              <w:bottom w:val="single" w:color="000000" w:sz="12" w:space="0"/>
              <w:right w:val="nil"/>
            </w:tcBorders>
            <w:shd w:val="clear" w:color="auto" w:fill="FFFFFF"/>
            <w:vAlign w:val="center"/>
          </w:tcPr>
          <w:p w14:paraId="17FCD979">
            <w:pPr>
              <w:numPr>
                <w:ilvl w:val="0"/>
                <w:numId w:val="0"/>
              </w:numPr>
              <w:spacing w:line="360" w:lineRule="auto"/>
              <w:jc w:val="cente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pPr>
            <w:r>
              <w:rPr>
                <w:rFonts w:hint="default" w:ascii="Times New Roman" w:hAnsi="Times New Roman" w:eastAsia="宋体" w:cs="Times New Roman"/>
                <w:b w:val="0"/>
                <w:i w:val="0"/>
                <w:iCs w:val="0"/>
                <w:caps w:val="0"/>
                <w:color w:val="000000" w:themeColor="text1"/>
                <w:spacing w:val="0"/>
                <w:kern w:val="2"/>
                <w:sz w:val="24"/>
                <w:szCs w:val="24"/>
                <w:vertAlign w:val="baseline"/>
                <w:lang w:val="en-US" w:eastAsia="zh-CN" w:bidi="ar-SA"/>
                <w14:textFill>
                  <w14:solidFill>
                    <w14:schemeClr w14:val="tx1"/>
                  </w14:solidFill>
                </w14:textFill>
              </w:rPr>
              <w:t>0.530</w:t>
            </w:r>
          </w:p>
        </w:tc>
      </w:tr>
    </w:tbl>
    <w:p w14:paraId="3B92E849">
      <w:pPr>
        <w:numPr>
          <w:ilvl w:val="0"/>
          <w:numId w:val="0"/>
        </w:numPr>
        <w:spacing w:line="360" w:lineRule="auto"/>
        <w:ind w:leftChars="0" w:firstLine="480" w:firstLineChars="200"/>
        <w:jc w:val="both"/>
        <w:rPr>
          <w:rFonts w:hint="default" w:hAnsi="Cambria Math" w:eastAsia="微软雅黑" w:cs="微软雅黑"/>
          <w:i/>
          <w:iCs/>
          <w:caps w:val="0"/>
          <w:color w:val="000000" w:themeColor="text1"/>
          <w:spacing w:val="0"/>
          <w:kern w:val="2"/>
          <w:sz w:val="24"/>
          <w:szCs w:val="24"/>
          <w:vertAlign w:val="baseline"/>
          <w:lang w:val="en-US" w:eastAsia="zh-CN" w:bidi="ar-SA"/>
          <w14:textFill>
            <w14:solidFill>
              <w14:schemeClr w14:val="tx1"/>
            </w14:solidFill>
          </w14:textFill>
        </w:rPr>
      </w:pP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通过上表的数据，我们发现在</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Logistic</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模型的霍斯默-莱梅肖检验中，</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P=0.530</w:t>
      </w:r>
      <m:oMath>
        <m:r>
          <m:rPr>
            <m:sty m:val="p"/>
          </m:rPr>
          <w:rPr>
            <w:rFonts w:hint="default" w:ascii="Cambria Math" w:hAnsi="Cambria Math" w:cs="Times New Roman"/>
            <w:caps w:val="0"/>
            <w:color w:val="000000" w:themeColor="text1"/>
            <w:spacing w:val="0"/>
            <w:kern w:val="2"/>
            <w:sz w:val="24"/>
            <w:szCs w:val="24"/>
            <w:vertAlign w:val="baseline"/>
            <w:lang w:val="en-US" w:bidi="ar-SA"/>
            <w14:textFill>
              <w14:solidFill>
                <w14:schemeClr w14:val="tx1"/>
              </w14:solidFill>
            </w14:textFill>
          </w:rPr>
          <m:t>&gt;</m:t>
        </m:r>
      </m:oMath>
      <w:r>
        <w:rPr>
          <w:rFonts w:hint="default" w:ascii="Times New Roman" w:hAnsi="Times New Roman" w:cs="Times New Roman" w:eastAsia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0.050</w:t>
      </w:r>
      <w:r>
        <w:rPr>
          <w:rFonts w:hint="eastAsia" w:asciiTheme="majorEastAsia" w:hAnsiTheme="majorEastAsia" w:eastAsiaTheme="majorEastAsia" w:cstheme="majorEastAsia"/>
          <w:i w:val="0"/>
          <w:iCs w:val="0"/>
          <w:caps w:val="0"/>
          <w:color w:val="000000" w:themeColor="text1"/>
          <w:spacing w:val="0"/>
          <w:kern w:val="2"/>
          <w:sz w:val="24"/>
          <w:szCs w:val="24"/>
          <w:vertAlign w:val="baseline"/>
          <w:lang w:val="en-US" w:eastAsia="zh-CN" w:bidi="ar-SA"/>
          <w14:textFill>
            <w14:solidFill>
              <w14:schemeClr w14:val="tx1"/>
            </w14:solidFill>
          </w14:textFill>
        </w:rPr>
        <w:t>，说明模型通过了</w:t>
      </w:r>
      <w:r>
        <w:rPr>
          <w:rFonts w:hint="eastAsia" w:ascii="宋体" w:hAnsi="宋体" w:eastAsia="宋体" w:cs="宋体"/>
          <w:i w:val="0"/>
          <w:iCs w:val="0"/>
          <w:caps w:val="0"/>
          <w:color w:val="000000" w:themeColor="text1"/>
          <w:spacing w:val="0"/>
          <w:kern w:val="2"/>
          <w:sz w:val="24"/>
          <w:szCs w:val="24"/>
          <w:vertAlign w:val="baseline"/>
          <w:lang w:val="en-US" w:eastAsia="zh-CN" w:bidi="ar-SA"/>
          <w14:textFill>
            <w14:solidFill>
              <w14:schemeClr w14:val="tx1"/>
            </w14:solidFill>
          </w14:textFill>
        </w:rPr>
        <w:t>霍斯默-莱梅肖检验，也就是表示模型拟合值和观测值的拟合状况良好</w:t>
      </w:r>
      <w:r>
        <w:rPr>
          <w:rFonts w:hint="default" w:ascii="Times New Roman" w:hAnsi="Times New Roman" w:eastAsia="宋体" w:cs="Times New Roman"/>
          <w:i w:val="0"/>
          <w:iCs w:val="0"/>
          <w:caps w:val="0"/>
          <w:color w:val="000000" w:themeColor="text1"/>
          <w:spacing w:val="0"/>
          <w:kern w:val="2"/>
          <w:sz w:val="24"/>
          <w:szCs w:val="24"/>
          <w:vertAlign w:val="baseline"/>
          <w:lang w:val="en-US" w:eastAsia="zh-CN" w:bidi="ar-SA"/>
          <w14:textFill>
            <w14:solidFill>
              <w14:schemeClr w14:val="tx1"/>
            </w14:solidFill>
          </w14:textFill>
        </w:rPr>
        <w:t>.</w:t>
      </w:r>
    </w:p>
    <w:p w14:paraId="2ED7D561">
      <w:pPr>
        <w:numPr>
          <w:ilvl w:val="0"/>
          <w:numId w:val="3"/>
        </w:numPr>
        <w:spacing w:line="360" w:lineRule="auto"/>
        <w:ind w:firstLine="602" w:firstLineChars="200"/>
        <w:jc w:val="left"/>
        <w:outlineLvl w:val="0"/>
        <w:rPr>
          <w:rFonts w:hint="default" w:ascii="Times New Roman" w:hAnsi="Times New Roman" w:eastAsia="宋体" w:cs="宋体"/>
          <w:b/>
          <w:bCs/>
          <w:sz w:val="30"/>
          <w:szCs w:val="30"/>
          <w:lang w:val="en-US" w:eastAsia="zh-CN"/>
        </w:rPr>
      </w:pPr>
      <w:bookmarkStart w:id="26" w:name="_Toc941"/>
      <w:r>
        <w:rPr>
          <w:rFonts w:hint="eastAsia" w:ascii="Times New Roman" w:hAnsi="Times New Roman" w:eastAsia="宋体" w:cs="宋体"/>
          <w:b/>
          <w:bCs/>
          <w:sz w:val="30"/>
          <w:szCs w:val="30"/>
          <w:lang w:val="en-US" w:eastAsia="zh-CN"/>
        </w:rPr>
        <w:t>结论与展望</w:t>
      </w:r>
      <w:bookmarkEnd w:id="26"/>
    </w:p>
    <w:p w14:paraId="3AE876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通过上面的研究，我们得到了高校毕业生的GPA，是否有实习经历，学校层次，专业类别这四个关键因素对高校毕业生的就业问题存在显著影响，且GPA，是否有实习经历这两个因素对高校毕业生的就业率影响最大.所以，针对研究得到的结论，我们提出了下面的几点建议，希望能对提高高校毕业生就业率起到一定的作用.</w:t>
      </w:r>
    </w:p>
    <w:p w14:paraId="4D49E3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1.在Logistic回归分析的结果中，我们可以得到GPA每增加一分，就业率约为提高前的15倍.另外，在Logistic回归分析结果中，GPA这个因素的P值小于0.001，说明了GPA这个因素对高校毕业生的就业影响是非常显著的.因此学生在大学学习期间应该努力学习，认真对待每一门选课，争取在每一门课中都取得好成绩，从而提高自己的GPA.学校在学生大一大二期间可以向学生提供一些选课建议，避免学生因盲目选课而导致GPA降低.同时，学校还可以建立一些学业帮扶机构，为学业困难的学生提高定制化的辅导，从而提升其的GPA.</w:t>
      </w:r>
    </w:p>
    <w:p w14:paraId="689589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2.在Logistic回归分析结果中，是否有实习经历对高校毕业生的就业也有很大的影响，其OR值为8.858，即有实习经历的毕业生的就业率是没有实习经历的毕业生的就业率的8.858倍.从统计检验来看，实习经历这一因素的 P 值仅为 0.003，按照学术标准，远低于 0.05 的显著性阈值，充分表明实习经历与否，确实是决定毕业生能否顺利就业的关键因素，对就业结果有着不容小觑的作用.因此学生在寒暑假或者大三大四学业压力较小期间可以进入一些与自己专业相关，有助于提升自己专业能力的企业进行实习.为了增加同学们的实习经历，学校可以在大三下学期或大四上学期组织学生统一参加实习，并对学生在实习期间进行考核，确保学生能够在实习中提升专业技能，为学生后续的就业提供帮助.</w:t>
      </w:r>
    </w:p>
    <w:p w14:paraId="046298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3.通过Logistic回归分析结果我们还能得到专业类别这个因素的OR值为3.767，即专业是理科的高校毕业生的就业率是专业是文科的高校毕业生的就业率的3.737倍，所以如果专业是文科学生发现自己的专业在目前的就业环境中机会很少，就业十分困难，且自己并不是非常喜欢现在的这个专业，可以考虑在大学期间参加转专业考试，进入一个就业相对容易的专业，从而提高自己毕业后的就业概率.</w:t>
      </w:r>
    </w:p>
    <w:p w14:paraId="3E0664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4.学校可以帮助大一大二的学生提前开始就业规划，并开展一些关于就业的讲座或者其它活动来帮助学生对目前的就业形势进行了解，并为未来的就业做好准备.对于大三大四的学生，学校还可以对大三大四的学生建立就业指导中心为学生提供专业性的就业指导，努力提升高校毕业生的就业率.</w:t>
      </w:r>
    </w:p>
    <w:p w14:paraId="7D34FC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b w:val="0"/>
          <w:bCs w:val="0"/>
          <w:color w:val="000000" w:themeColor="text1"/>
          <w:sz w:val="24"/>
          <w:szCs w:val="24"/>
          <w14:textFill>
            <w14:solidFill>
              <w14:schemeClr w14:val="tx1"/>
            </w14:solidFill>
          </w14:textFill>
        </w:rPr>
      </w:pPr>
      <w:r>
        <w:rPr>
          <w:rFonts w:hint="eastAsia" w:ascii="Times New Roman" w:hAnsi="Times New Roman" w:eastAsia="宋体" w:cs="宋体"/>
          <w:b w:val="0"/>
          <w:bCs w:val="0"/>
          <w:color w:val="000000" w:themeColor="text1"/>
          <w:sz w:val="24"/>
          <w:szCs w:val="24"/>
          <w:lang w:val="en-US" w:eastAsia="zh-CN"/>
          <w14:textFill>
            <w14:solidFill>
              <w14:schemeClr w14:val="tx1"/>
            </w14:solidFill>
          </w14:textFill>
        </w:rPr>
        <w:t>最后，希望通过上述研究所得到的建议，能够使高校毕业生的就业率得到一定的提高，推动社会经济高质量发展.</w:t>
      </w:r>
    </w:p>
    <w:p w14:paraId="18330106">
      <w:pPr>
        <w:spacing w:line="360" w:lineRule="auto"/>
        <w:rPr>
          <w:rFonts w:hint="eastAsia" w:ascii="宋体" w:hAnsi="宋体"/>
          <w:sz w:val="24"/>
        </w:rPr>
        <w:sectPr>
          <w:headerReference r:id="rId7" w:type="default"/>
          <w:footerReference r:id="rId8" w:type="default"/>
          <w:pgSz w:w="11906" w:h="16838"/>
          <w:pgMar w:top="1701" w:right="1418" w:bottom="1418" w:left="1701" w:header="851" w:footer="992" w:gutter="0"/>
          <w:pgNumType w:start="1"/>
          <w:cols w:space="720" w:num="1"/>
          <w:docGrid w:type="lines" w:linePitch="312" w:charSpace="0"/>
        </w:sectPr>
      </w:pPr>
    </w:p>
    <w:p w14:paraId="2B9D802D">
      <w:pPr>
        <w:spacing w:line="360" w:lineRule="auto"/>
        <w:outlineLvl w:val="0"/>
        <w:rPr>
          <w:sz w:val="24"/>
        </w:rPr>
      </w:pPr>
      <w:bookmarkStart w:id="27" w:name="_Toc27359"/>
      <w:r>
        <w:rPr>
          <w:rFonts w:hint="eastAsia" w:ascii="宋体" w:hAnsi="宋体" w:eastAsia="宋体" w:cs="宋体-方正超大字符集"/>
          <w:b/>
          <w:bCs/>
          <w:sz w:val="28"/>
          <w:szCs w:val="20"/>
        </w:rPr>
        <w:t>参考文献</w:t>
      </w:r>
      <w:bookmarkEnd w:id="27"/>
    </w:p>
    <w:p w14:paraId="1C30C154">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28" w:name="_Ref22194"/>
      <w:r>
        <w:rPr>
          <w:rFonts w:hint="eastAsia"/>
          <w:color w:val="000000" w:themeColor="text1"/>
          <w:sz w:val="24"/>
          <w:lang w:val="en-US" w:eastAsia="zh-CN"/>
          <w14:textFill>
            <w14:solidFill>
              <w14:schemeClr w14:val="tx1"/>
            </w14:solidFill>
          </w14:textFill>
        </w:rPr>
        <w:t>成长群</w:t>
      </w:r>
      <w:r>
        <w:rPr>
          <w:rFonts w:hint="default" w:ascii="Times New Roman" w:hAnsi="Times New Roman" w:cs="Times New Roman"/>
          <w:color w:val="000000" w:themeColor="text1"/>
          <w:sz w:val="24"/>
          <w:lang w:val="en-US" w:eastAsia="zh-CN"/>
          <w14:textFill>
            <w14:solidFill>
              <w14:schemeClr w14:val="tx1"/>
            </w14:solidFill>
          </w14:textFill>
        </w:rPr>
        <w:t>.</w:t>
      </w:r>
      <w:r>
        <w:rPr>
          <w:rFonts w:hint="eastAsia"/>
          <w:color w:val="000000" w:themeColor="text1"/>
          <w:sz w:val="24"/>
          <w:lang w:val="en-US" w:eastAsia="zh-CN"/>
          <w14:textFill>
            <w14:solidFill>
              <w14:schemeClr w14:val="tx1"/>
            </w14:solidFill>
          </w14:textFill>
        </w:rPr>
        <w:t>大学生就业问题研究</w:t>
      </w:r>
      <w:r>
        <w:rPr>
          <w:rFonts w:hint="default" w:ascii="Times New Roman" w:hAnsi="Times New Roman" w:cs="Times New Roman"/>
          <w:color w:val="000000" w:themeColor="text1"/>
          <w:sz w:val="24"/>
          <w:lang w:val="en-US" w:eastAsia="zh-CN"/>
          <w14:textFill>
            <w14:solidFill>
              <w14:schemeClr w14:val="tx1"/>
            </w14:solidFill>
          </w14:textFill>
        </w:rPr>
        <w:t>[D].</w:t>
      </w:r>
      <w:r>
        <w:rPr>
          <w:rFonts w:hint="eastAsia"/>
          <w:color w:val="000000" w:themeColor="text1"/>
          <w:sz w:val="24"/>
          <w:lang w:val="en-US" w:eastAsia="zh-CN"/>
          <w14:textFill>
            <w14:solidFill>
              <w14:schemeClr w14:val="tx1"/>
            </w14:solidFill>
          </w14:textFill>
        </w:rPr>
        <w:t>武汉大学</w:t>
      </w:r>
      <w:r>
        <w:rPr>
          <w:rFonts w:hint="default" w:ascii="Times New Roman" w:hAnsi="Times New Roman" w:cs="Times New Roman"/>
          <w:color w:val="000000" w:themeColor="text1"/>
          <w:sz w:val="24"/>
          <w:lang w:val="en-US" w:eastAsia="zh-CN"/>
          <w14:textFill>
            <w14:solidFill>
              <w14:schemeClr w14:val="tx1"/>
            </w14:solidFill>
          </w14:textFill>
        </w:rPr>
        <w:t>,2010.</w:t>
      </w:r>
      <w:bookmarkEnd w:id="28"/>
    </w:p>
    <w:p w14:paraId="4ADA684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14:textFill>
            <w14:solidFill>
              <w14:schemeClr w14:val="tx1"/>
            </w14:solidFill>
          </w14:textFill>
        </w:rPr>
        <w:t>费美娟,李霞,孙巧峰.论高校大学生创业教育[J].科教导刊(上旬刊),2012,(19):238-239.DOI:10.16400/j.cnki.kjdks.2012.10.130.</w:t>
      </w:r>
    </w:p>
    <w:p w14:paraId="6EF04C43">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29" w:name="_Ref8948"/>
      <w:r>
        <w:rPr>
          <w:rFonts w:hint="eastAsia" w:ascii="Times New Roman" w:hAnsi="Times New Roman" w:cs="Times New Roman"/>
          <w:color w:val="000000" w:themeColor="text1"/>
          <w:sz w:val="24"/>
          <w14:textFill>
            <w14:solidFill>
              <w14:schemeClr w14:val="tx1"/>
            </w14:solidFill>
          </w14:textFill>
        </w:rPr>
        <w:t>王鹏飞.新疆高校大学生就业问题及对策研究[D].新疆农业大学,2016.</w:t>
      </w:r>
      <w:bookmarkEnd w:id="29"/>
    </w:p>
    <w:p w14:paraId="53DD1775">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0" w:name="_Ref22938"/>
      <w:r>
        <w:rPr>
          <w:rFonts w:ascii="宋体" w:hAnsi="宋体" w:eastAsia="宋体" w:cs="宋体"/>
          <w:color w:val="000000" w:themeColor="text1"/>
          <w:sz w:val="24"/>
          <w:szCs w:val="24"/>
          <w14:textFill>
            <w14:solidFill>
              <w14:schemeClr w14:val="tx1"/>
            </w14:solidFill>
          </w14:textFill>
        </w:rPr>
        <w:t>陈婷婷</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失业预警分析与建模</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南京大学</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2015.</w:t>
      </w:r>
      <w:bookmarkEnd w:id="30"/>
    </w:p>
    <w:p w14:paraId="2BD998EC">
      <w:pPr>
        <w:numPr>
          <w:ilvl w:val="0"/>
          <w:numId w:val="4"/>
        </w:numPr>
        <w:spacing w:line="360" w:lineRule="auto"/>
        <w:ind w:left="425" w:leftChars="0" w:hanging="425" w:firstLineChars="0"/>
        <w:rPr>
          <w:rFonts w:hint="default" w:ascii="Times New Roman" w:hAnsi="Times New Roman" w:cs="Times New Roman"/>
          <w:color w:val="000000" w:themeColor="text1"/>
          <w:sz w:val="24"/>
          <w14:textFill>
            <w14:solidFill>
              <w14:schemeClr w14:val="tx1"/>
            </w14:solidFill>
          </w14:textFill>
        </w:rPr>
      </w:pPr>
      <w:bookmarkStart w:id="31" w:name="_Ref23193"/>
      <w:r>
        <w:rPr>
          <w:rFonts w:ascii="宋体" w:hAnsi="宋体" w:eastAsia="宋体" w:cs="宋体"/>
          <w:color w:val="000000" w:themeColor="text1"/>
          <w:sz w:val="24"/>
          <w:szCs w:val="24"/>
          <w14:textFill>
            <w14:solidFill>
              <w14:schemeClr w14:val="tx1"/>
            </w14:solidFill>
          </w14:textFill>
        </w:rPr>
        <w:t>胡白云</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新时代高校党建赋能毕业生就业工作路径探析</w:t>
      </w:r>
      <w:r>
        <w:rPr>
          <w:rFonts w:hint="default" w:ascii="Times New Roman" w:hAnsi="Times New Roman" w:eastAsia="宋体" w:cs="Times New Roman"/>
          <w:color w:val="000000" w:themeColor="text1"/>
          <w:sz w:val="24"/>
          <w:szCs w:val="24"/>
          <w14:textFill>
            <w14:solidFill>
              <w14:schemeClr w14:val="tx1"/>
            </w14:solidFill>
          </w14:textFill>
        </w:rPr>
        <w:t>[J].</w:t>
      </w:r>
      <w:r>
        <w:rPr>
          <w:rFonts w:ascii="宋体" w:hAnsi="宋体" w:eastAsia="宋体" w:cs="宋体"/>
          <w:color w:val="000000" w:themeColor="text1"/>
          <w:sz w:val="24"/>
          <w:szCs w:val="24"/>
          <w14:textFill>
            <w14:solidFill>
              <w14:schemeClr w14:val="tx1"/>
            </w14:solidFill>
          </w14:textFill>
        </w:rPr>
        <w:t>大众文艺</w:t>
      </w:r>
      <w:r>
        <w:rPr>
          <w:rFonts w:hint="default" w:ascii="Times New Roman" w:hAnsi="Times New Roman" w:eastAsia="宋体" w:cs="Times New Roman"/>
          <w:color w:val="000000" w:themeColor="text1"/>
          <w:sz w:val="24"/>
          <w:szCs w:val="24"/>
          <w14:textFill>
            <w14:solidFill>
              <w14:schemeClr w14:val="tx1"/>
            </w14:solidFill>
          </w14:textFill>
        </w:rPr>
        <w:t>,2025,(07):205-207.DOI:10.20112/j.cnki.ISSN1007-5828.2025.07.068.</w:t>
      </w:r>
      <w:bookmarkEnd w:id="31"/>
    </w:p>
    <w:p w14:paraId="3265C559">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2" w:name="_Ref23386"/>
      <w:r>
        <w:rPr>
          <w:rFonts w:hint="eastAsia" w:ascii="Times New Roman" w:hAnsi="Times New Roman" w:cs="Times New Roman"/>
          <w:color w:val="000000" w:themeColor="text1"/>
          <w:sz w:val="24"/>
          <w:lang w:val="en-US" w:eastAsia="zh-CN"/>
          <w14:textFill>
            <w14:solidFill>
              <w14:schemeClr w14:val="tx1"/>
            </w14:solidFill>
          </w14:textFill>
        </w:rPr>
        <w:t>黄娟.高校毕业生就业影响因素分析[D].南京理工大学,2010.</w:t>
      </w:r>
      <w:bookmarkEnd w:id="32"/>
    </w:p>
    <w:p w14:paraId="573F6A2D">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3" w:name="_Ref23445"/>
      <w:r>
        <w:rPr>
          <w:rFonts w:hint="eastAsia" w:ascii="Times New Roman" w:hAnsi="Times New Roman" w:cs="Times New Roman"/>
          <w:color w:val="000000" w:themeColor="text1"/>
          <w:sz w:val="24"/>
          <w14:textFill>
            <w14:solidFill>
              <w14:schemeClr w14:val="tx1"/>
            </w14:solidFill>
          </w14:textFill>
        </w:rPr>
        <w:t>王俊文.高校毕业生就业影响因素研究[D].成都理工大学,2015.</w:t>
      </w:r>
      <w:bookmarkEnd w:id="33"/>
    </w:p>
    <w:p w14:paraId="3AEB2812">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4" w:name="_Ref23536"/>
      <w:r>
        <w:rPr>
          <w:rFonts w:hint="eastAsia" w:ascii="Times New Roman" w:hAnsi="Times New Roman" w:cs="Times New Roman"/>
          <w:color w:val="000000" w:themeColor="text1"/>
          <w:sz w:val="24"/>
          <w:lang w:val="en-US" w:eastAsia="zh-CN"/>
          <w14:textFill>
            <w14:solidFill>
              <w14:schemeClr w14:val="tx1"/>
            </w14:solidFill>
          </w14:textFill>
        </w:rPr>
        <w:t>党红,张蓬霞.高校毕业生就业影响因素研究——基于因子分析法[J].中国大学生就业,2022,(23):31-38.DOI:10.20017/j.cnki.1009-0576.2022.23.005.</w:t>
      </w:r>
      <w:bookmarkEnd w:id="34"/>
    </w:p>
    <w:p w14:paraId="626DFCC0">
      <w:pPr>
        <w:numPr>
          <w:ilvl w:val="0"/>
          <w:numId w:val="4"/>
        </w:numPr>
        <w:spacing w:line="360" w:lineRule="auto"/>
        <w:ind w:left="425" w:leftChars="0" w:hanging="425" w:firstLineChars="0"/>
        <w:rPr>
          <w:rFonts w:ascii="Times New Roman" w:hAnsi="Times New Roman" w:cs="Times New Roman"/>
          <w:color w:val="000000" w:themeColor="text1"/>
          <w:sz w:val="24"/>
          <w14:textFill>
            <w14:solidFill>
              <w14:schemeClr w14:val="tx1"/>
            </w14:solidFill>
          </w14:textFill>
        </w:rPr>
      </w:pPr>
      <w:bookmarkStart w:id="35" w:name="_Ref23637"/>
      <w:r>
        <w:rPr>
          <w:rFonts w:hint="eastAsia" w:ascii="Times New Roman" w:hAnsi="Times New Roman" w:cs="Times New Roman"/>
          <w:color w:val="000000" w:themeColor="text1"/>
          <w:sz w:val="24"/>
          <w:lang w:val="en-US" w:eastAsia="zh-CN"/>
          <w14:textFill>
            <w14:solidFill>
              <w14:schemeClr w14:val="tx1"/>
            </w14:solidFill>
          </w14:textFill>
        </w:rPr>
        <w:t>朱乾锋,陈成琳.基于有序Logistic回归模型的上海市大学生就业焦虑影响因素分析[J].上海教育评估研究,2019,8(05):66-69.DOI:10.13794/j.cnki.shjee.2019.0081.刘心华.构建概率模型证明等式[J].池州师专学报，2002，第16卷，第3期，4-5.</w:t>
      </w:r>
      <w:bookmarkEnd w:id="35"/>
    </w:p>
    <w:p w14:paraId="022E46F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6" w:name="_Ref23722"/>
      <w:r>
        <w:rPr>
          <w:rFonts w:hint="eastAsia" w:ascii="Times New Roman" w:hAnsi="Times New Roman" w:cs="Times New Roman"/>
          <w:color w:val="000000" w:themeColor="text1"/>
          <w:sz w:val="24"/>
          <w:lang w:val="en-US" w:eastAsia="zh-CN"/>
          <w14:textFill>
            <w14:solidFill>
              <w14:schemeClr w14:val="tx1"/>
            </w14:solidFill>
          </w14:textFill>
        </w:rPr>
        <w:t>侯佳良,万星火,王玲,等.基于logistic回归的高校理科类专业毕业生就业影响因素分析模型——以华北理工大学为例[J].教育现代化,2019,6(68):147-149.DOI:10.16541/j.cnki.2095-8420.2019.68.051.</w:t>
      </w:r>
      <w:bookmarkEnd w:id="36"/>
    </w:p>
    <w:p w14:paraId="4F31DE9C">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7" w:name="_Ref14588"/>
      <w:r>
        <w:rPr>
          <w:rFonts w:hint="eastAsia" w:ascii="Times New Roman" w:hAnsi="Times New Roman" w:cs="Times New Roman"/>
          <w:color w:val="000000" w:themeColor="text1"/>
          <w:sz w:val="24"/>
          <w:lang w:val="en-US" w:eastAsia="zh-CN"/>
          <w14:textFill>
            <w14:solidFill>
              <w14:schemeClr w14:val="tx1"/>
            </w14:solidFill>
          </w14:textFill>
        </w:rPr>
        <w:t>王辉,付晓.大学生科研与学业成绩关系的实证研究[J].中国成人教育,2013,(10):97-100.</w:t>
      </w:r>
      <w:bookmarkEnd w:id="37"/>
    </w:p>
    <w:p w14:paraId="0D08B15A">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8" w:name="_Ref25290"/>
      <w:r>
        <w:rPr>
          <w:rFonts w:ascii="宋体" w:hAnsi="宋体" w:eastAsia="宋体" w:cs="宋体"/>
          <w:color w:val="000000" w:themeColor="text1"/>
          <w:sz w:val="24"/>
          <w:szCs w:val="24"/>
          <w14:textFill>
            <w14:solidFill>
              <w14:schemeClr w14:val="tx1"/>
            </w14:solidFill>
          </w14:textFill>
        </w:rPr>
        <w:t>张泽乾</w:t>
      </w:r>
      <w:r>
        <w:rPr>
          <w:rFonts w:hint="default" w:ascii="Times New Roman" w:hAnsi="Times New Roman" w:eastAsia="宋体" w:cs="Times New Roman"/>
          <w:color w:val="000000" w:themeColor="text1"/>
          <w:sz w:val="24"/>
          <w:szCs w:val="24"/>
          <w14:textFill>
            <w14:solidFill>
              <w14:schemeClr w14:val="tx1"/>
            </w14:solidFill>
          </w14:textFill>
        </w:rPr>
        <w:t>.</w:t>
      </w:r>
      <w:r>
        <w:rPr>
          <w:rFonts w:ascii="宋体" w:hAnsi="宋体" w:eastAsia="宋体" w:cs="宋体"/>
          <w:color w:val="000000" w:themeColor="text1"/>
          <w:sz w:val="24"/>
          <w:szCs w:val="24"/>
          <w14:textFill>
            <w14:solidFill>
              <w14:schemeClr w14:val="tx1"/>
            </w14:solidFill>
          </w14:textFill>
        </w:rPr>
        <w:t>利益联结机制对现代农业园区农户增收的影响研究</w:t>
      </w:r>
      <w:r>
        <w:rPr>
          <w:rFonts w:hint="default" w:ascii="Times New Roman" w:hAnsi="Times New Roman" w:eastAsia="宋体" w:cs="Times New Roman"/>
          <w:color w:val="000000" w:themeColor="text1"/>
          <w:sz w:val="24"/>
          <w:szCs w:val="24"/>
          <w14:textFill>
            <w14:solidFill>
              <w14:schemeClr w14:val="tx1"/>
            </w14:solidFill>
          </w14:textFill>
        </w:rPr>
        <w:t>[D].</w:t>
      </w:r>
      <w:r>
        <w:rPr>
          <w:rFonts w:ascii="宋体" w:hAnsi="宋体" w:eastAsia="宋体" w:cs="宋体"/>
          <w:color w:val="000000" w:themeColor="text1"/>
          <w:sz w:val="24"/>
          <w:szCs w:val="24"/>
          <w14:textFill>
            <w14:solidFill>
              <w14:schemeClr w14:val="tx1"/>
            </w14:solidFill>
          </w14:textFill>
        </w:rPr>
        <w:t>南京农业大学</w:t>
      </w:r>
      <w:r>
        <w:rPr>
          <w:rFonts w:hint="default" w:ascii="Times New Roman" w:hAnsi="Times New Roman" w:eastAsia="宋体" w:cs="Times New Roman"/>
          <w:color w:val="000000" w:themeColor="text1"/>
          <w:sz w:val="24"/>
          <w:szCs w:val="24"/>
          <w14:textFill>
            <w14:solidFill>
              <w14:schemeClr w14:val="tx1"/>
            </w14:solidFill>
          </w14:textFill>
        </w:rPr>
        <w:t>,2020.DOI:10.27244/d.cnki.gnjnu.2020.000138.</w:t>
      </w:r>
      <w:bookmarkEnd w:id="38"/>
    </w:p>
    <w:p w14:paraId="2F45ED99">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39" w:name="_Ref24800"/>
      <w:r>
        <w:rPr>
          <w:rFonts w:hint="eastAsia" w:ascii="Times New Roman" w:hAnsi="Times New Roman" w:cs="Times New Roman"/>
          <w:color w:val="000000" w:themeColor="text1"/>
          <w:sz w:val="24"/>
          <w:lang w:val="en-US" w:eastAsia="zh-CN"/>
          <w14:textFill>
            <w14:solidFill>
              <w14:schemeClr w14:val="tx1"/>
            </w14:solidFill>
          </w14:textFill>
        </w:rPr>
        <w:t>Nunley J M, Pugh A, Romero N, et al. College major, internship experience, and employment opportunities: Estimates from a résumé audit[J]. Labour Economics, 2016, 38: 37-46.</w:t>
      </w:r>
      <w:bookmarkEnd w:id="39"/>
    </w:p>
    <w:p w14:paraId="1FE8B56E">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0" w:name="_Ref24993"/>
      <w:r>
        <w:rPr>
          <w:rFonts w:hint="eastAsia" w:ascii="Times New Roman" w:hAnsi="Times New Roman" w:cs="Times New Roman"/>
          <w:color w:val="000000" w:themeColor="text1"/>
          <w:sz w:val="24"/>
          <w:lang w:val="en-US" w:eastAsia="zh-CN"/>
          <w14:textFill>
            <w14:solidFill>
              <w14:schemeClr w14:val="tx1"/>
            </w14:solidFill>
          </w14:textFill>
        </w:rPr>
        <w:t>Reddy P. An analysis of barriers to employment for low income Latina women[D]. North Carolina Central University, 2014.</w:t>
      </w:r>
      <w:bookmarkEnd w:id="40"/>
    </w:p>
    <w:p w14:paraId="4B3524DB">
      <w:pPr>
        <w:numPr>
          <w:ilvl w:val="0"/>
          <w:numId w:val="4"/>
        </w:numPr>
        <w:spacing w:line="360" w:lineRule="auto"/>
        <w:ind w:left="425" w:leftChars="0" w:hanging="425" w:firstLineChars="0"/>
        <w:rPr>
          <w:rFonts w:hint="eastAsia" w:ascii="Times New Roman" w:hAnsi="Times New Roman" w:cs="Times New Roman"/>
          <w:color w:val="000000" w:themeColor="text1"/>
          <w:sz w:val="24"/>
          <w:lang w:val="en-US" w:eastAsia="zh-CN"/>
          <w14:textFill>
            <w14:solidFill>
              <w14:schemeClr w14:val="tx1"/>
            </w14:solidFill>
          </w14:textFill>
        </w:rPr>
      </w:pPr>
      <w:bookmarkStart w:id="41" w:name="_Ref23889"/>
      <w:r>
        <w:rPr>
          <w:rFonts w:hint="eastAsia" w:ascii="Times New Roman" w:hAnsi="Times New Roman" w:cs="Times New Roman"/>
          <w:color w:val="000000" w:themeColor="text1"/>
          <w:sz w:val="24"/>
          <w:lang w:val="en-US" w:eastAsia="zh-CN"/>
          <w14:textFill>
            <w14:solidFill>
              <w14:schemeClr w14:val="tx1"/>
            </w14:solidFill>
          </w14:textFill>
        </w:rPr>
        <w:t>Yu H S, Cho Y H. Analysis on the influential factors on the major and job matching employment in school-to-work transition for college graduates[J]. The Journal of Korean Education, 2005, 32: 223-244.</w:t>
      </w:r>
      <w:bookmarkEnd w:id="4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新魏">
    <w:panose1 w:val="02010800040101010101"/>
    <w:charset w:val="86"/>
    <w:family w:val="auto"/>
    <w:pitch w:val="default"/>
    <w:sig w:usb0="00000001" w:usb1="080F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书宋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宋体-方正超大字符集">
    <w:altName w:val="宋体"/>
    <w:panose1 w:val="00000000000000000000"/>
    <w:charset w:val="86"/>
    <w:family w:val="script"/>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方正小标宋简体">
    <w:altName w:val="宋体"/>
    <w:panose1 w:val="00000000000000000000"/>
    <w:charset w:val="86"/>
    <w:family w:val="auto"/>
    <w:pitch w:val="default"/>
    <w:sig w:usb0="00000000" w:usb1="00000000" w:usb2="0000001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DB045">
    <w:pPr>
      <w:tabs>
        <w:tab w:val="center" w:pos="4153"/>
        <w:tab w:val="right" w:pos="8306"/>
      </w:tabs>
      <w:snapToGrid w:val="0"/>
      <w:ind w:right="360"/>
      <w:jc w:val="left"/>
      <w:rPr>
        <w:rFonts w:ascii="Times New Roman" w:hAnsi="Times New Roman" w:eastAsia="宋体" w:cs="Times New Roman"/>
        <w:sz w:val="18"/>
      </w:rPr>
    </w:pPr>
  </w:p>
  <w:p w14:paraId="3C701B70">
    <w:pPr>
      <w:tabs>
        <w:tab w:val="center" w:pos="4153"/>
        <w:tab w:val="right" w:pos="8306"/>
      </w:tabs>
      <w:snapToGrid w:val="0"/>
      <w:ind w:right="360"/>
      <w:jc w:val="left"/>
      <w:rPr>
        <w:rFonts w:ascii="Times New Roman" w:hAnsi="Times New Roman" w:eastAsia="宋体" w:cs="Times New Roman"/>
        <w:sz w:val="18"/>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CF02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E3CF02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41EA3">
    <w:pPr>
      <w:framePr w:wrap="around" w:vAnchor="text" w:hAnchor="margin" w:xAlign="center" w:y="1"/>
      <w:tabs>
        <w:tab w:val="center" w:pos="4153"/>
        <w:tab w:val="right" w:pos="8306"/>
      </w:tabs>
      <w:snapToGrid w:val="0"/>
      <w:jc w:val="left"/>
      <w:rPr>
        <w:rFonts w:ascii="Times New Roman" w:hAnsi="Times New Roman" w:eastAsia="宋体" w:cs="Times New Roman"/>
        <w:sz w:val="18"/>
      </w:rPr>
    </w:pPr>
    <w:r>
      <w:rPr>
        <w:rFonts w:ascii="Times New Roman" w:hAnsi="Times New Roman" w:eastAsia="宋体" w:cs="Times New Roman"/>
      </w:rPr>
      <w:fldChar w:fldCharType="begin"/>
    </w:r>
    <w:r>
      <w:rPr>
        <w:rFonts w:ascii="Times New Roman" w:hAnsi="Times New Roman" w:eastAsia="宋体" w:cs="Times New Roman"/>
      </w:rPr>
      <w:instrText xml:space="preserve">PAGE  </w:instrText>
    </w:r>
    <w:r>
      <w:rPr>
        <w:rFonts w:ascii="Times New Roman" w:hAnsi="Times New Roman" w:eastAsia="宋体" w:cs="Times New Roman"/>
      </w:rPr>
      <w:fldChar w:fldCharType="separate"/>
    </w:r>
    <w:r>
      <w:rPr>
        <w:rFonts w:ascii="Times New Roman" w:hAnsi="Times New Roman" w:eastAsia="宋体" w:cs="Times New Roman"/>
      </w:rPr>
      <w:t>6</w:t>
    </w:r>
    <w:r>
      <w:rPr>
        <w:rFonts w:ascii="Times New Roman" w:hAnsi="Times New Roman" w:eastAsia="宋体" w:cs="Times New Roman"/>
      </w:rPr>
      <w:fldChar w:fldCharType="end"/>
    </w:r>
  </w:p>
  <w:p w14:paraId="4408269C">
    <w:pPr>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FF3A2">
    <w:pPr>
      <w:spacing w:line="14" w:lineRule="auto"/>
      <w:jc w:val="center"/>
      <w:rPr>
        <w:rFonts w:ascii="方正小标宋简体" w:hAnsi="Times New Roman" w:eastAsia="方正小标宋简体" w:cs="Times New Roman"/>
        <w:b/>
        <w:bCs/>
        <w:sz w:val="2"/>
        <w:szCs w:val="3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EC5AFB">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CEC5AFB">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ECA09">
    <w:pPr>
      <w:tabs>
        <w:tab w:val="center" w:pos="4153"/>
        <w:tab w:val="right" w:pos="8306"/>
      </w:tabs>
      <w:snapToGrid w:val="0"/>
      <w:jc w:val="center"/>
      <w:rPr>
        <w:rFonts w:ascii="Times New Roman" w:hAnsi="Times New Roman" w:eastAsia="宋体" w:cs="Times New Roman"/>
        <w:sz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A3E124">
    <w:pPr>
      <w:tabs>
        <w:tab w:val="center" w:pos="4153"/>
        <w:tab w:val="right" w:pos="8306"/>
      </w:tabs>
      <w:snapToGrid w:val="0"/>
      <w:jc w:val="center"/>
      <w:rPr>
        <w:rFonts w:ascii="Times New Roman" w:hAnsi="Times New Roman" w:eastAsia="宋体" w:cs="Times New Roman"/>
        <w:sz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D7903">
    <w:pPr>
      <w:tabs>
        <w:tab w:val="center" w:pos="4153"/>
        <w:tab w:val="right" w:pos="8306"/>
      </w:tabs>
      <w:snapToGrid w:val="0"/>
      <w:jc w:val="center"/>
      <w:rPr>
        <w:rFonts w:ascii="Times New Roman" w:hAnsi="Times New Roman" w:eastAsia="宋体" w:cs="Times New Roman"/>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1D4FB"/>
    <w:multiLevelType w:val="singleLevel"/>
    <w:tmpl w:val="0411D4FB"/>
    <w:lvl w:ilvl="0" w:tentative="0">
      <w:start w:val="1"/>
      <w:numFmt w:val="decimal"/>
      <w:suff w:val="nothing"/>
      <w:lvlText w:val="（%1）"/>
      <w:lvlJc w:val="left"/>
    </w:lvl>
  </w:abstractNum>
  <w:abstractNum w:abstractNumId="1">
    <w:nsid w:val="162EEFF8"/>
    <w:multiLevelType w:val="singleLevel"/>
    <w:tmpl w:val="162EEFF8"/>
    <w:lvl w:ilvl="0" w:tentative="0">
      <w:start w:val="5"/>
      <w:numFmt w:val="chineseCounting"/>
      <w:suff w:val="nothing"/>
      <w:lvlText w:val="%1、"/>
      <w:lvlJc w:val="left"/>
      <w:rPr>
        <w:rFonts w:hint="eastAsia"/>
      </w:rPr>
    </w:lvl>
  </w:abstractNum>
  <w:abstractNum w:abstractNumId="2">
    <w:nsid w:val="3889C7B1"/>
    <w:multiLevelType w:val="singleLevel"/>
    <w:tmpl w:val="3889C7B1"/>
    <w:lvl w:ilvl="0" w:tentative="0">
      <w:start w:val="1"/>
      <w:numFmt w:val="decimal"/>
      <w:lvlText w:val="[%1]"/>
      <w:lvlJc w:val="left"/>
      <w:pPr>
        <w:tabs>
          <w:tab w:val="left" w:pos="210"/>
        </w:tabs>
        <w:ind w:left="425" w:hanging="425"/>
      </w:pPr>
      <w:rPr>
        <w:rFonts w:hint="default"/>
      </w:rPr>
    </w:lvl>
  </w:abstractNum>
  <w:abstractNum w:abstractNumId="3">
    <w:nsid w:val="546A20D9"/>
    <w:multiLevelType w:val="singleLevel"/>
    <w:tmpl w:val="546A20D9"/>
    <w:lvl w:ilvl="0" w:tentative="0">
      <w:start w:val="3"/>
      <w:numFmt w:val="chineseCounting"/>
      <w:suff w:val="nothing"/>
      <w:lvlText w:val="%1、"/>
      <w:lvlJc w:val="left"/>
      <w:rPr>
        <w:rFonts w:hint="eastAsi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61721"/>
    <w:rsid w:val="00386F1E"/>
    <w:rsid w:val="00763EC8"/>
    <w:rsid w:val="008267FB"/>
    <w:rsid w:val="011B1C03"/>
    <w:rsid w:val="03D969E0"/>
    <w:rsid w:val="049C6895"/>
    <w:rsid w:val="051A5C46"/>
    <w:rsid w:val="072F6A01"/>
    <w:rsid w:val="08C44734"/>
    <w:rsid w:val="09EE4044"/>
    <w:rsid w:val="0B6364FB"/>
    <w:rsid w:val="0C652C20"/>
    <w:rsid w:val="0F10093D"/>
    <w:rsid w:val="11744219"/>
    <w:rsid w:val="11BA439D"/>
    <w:rsid w:val="120222C1"/>
    <w:rsid w:val="135277D8"/>
    <w:rsid w:val="14B4083D"/>
    <w:rsid w:val="18314984"/>
    <w:rsid w:val="1A905E2A"/>
    <w:rsid w:val="1CDA10B2"/>
    <w:rsid w:val="1D4A019B"/>
    <w:rsid w:val="1E4963ED"/>
    <w:rsid w:val="1E5F5C38"/>
    <w:rsid w:val="1F3A6779"/>
    <w:rsid w:val="1FB95035"/>
    <w:rsid w:val="264E1519"/>
    <w:rsid w:val="26AF21E2"/>
    <w:rsid w:val="26E72C69"/>
    <w:rsid w:val="297366CB"/>
    <w:rsid w:val="2A6260F9"/>
    <w:rsid w:val="2B5F21A9"/>
    <w:rsid w:val="2BF606CB"/>
    <w:rsid w:val="2DBA7721"/>
    <w:rsid w:val="2EF93D98"/>
    <w:rsid w:val="324C6764"/>
    <w:rsid w:val="34121E41"/>
    <w:rsid w:val="34ED39B1"/>
    <w:rsid w:val="35220225"/>
    <w:rsid w:val="359259D7"/>
    <w:rsid w:val="381943C6"/>
    <w:rsid w:val="3A4014E0"/>
    <w:rsid w:val="3A755DE2"/>
    <w:rsid w:val="3B1D7915"/>
    <w:rsid w:val="3CCC5778"/>
    <w:rsid w:val="3E39249F"/>
    <w:rsid w:val="3F5D0F92"/>
    <w:rsid w:val="40E46450"/>
    <w:rsid w:val="41955049"/>
    <w:rsid w:val="451E36D8"/>
    <w:rsid w:val="4561588C"/>
    <w:rsid w:val="45A05CDD"/>
    <w:rsid w:val="463637CB"/>
    <w:rsid w:val="46515BB5"/>
    <w:rsid w:val="46AB744E"/>
    <w:rsid w:val="476F7266"/>
    <w:rsid w:val="48335E25"/>
    <w:rsid w:val="49671C38"/>
    <w:rsid w:val="49A9325B"/>
    <w:rsid w:val="4B133808"/>
    <w:rsid w:val="4EF41FB1"/>
    <w:rsid w:val="518A566A"/>
    <w:rsid w:val="53A44745"/>
    <w:rsid w:val="578662BC"/>
    <w:rsid w:val="648F724F"/>
    <w:rsid w:val="665B5D64"/>
    <w:rsid w:val="67234EE1"/>
    <w:rsid w:val="672676F9"/>
    <w:rsid w:val="67A34069"/>
    <w:rsid w:val="6899437B"/>
    <w:rsid w:val="6E2E2EE0"/>
    <w:rsid w:val="6E647FBF"/>
    <w:rsid w:val="6F9152ED"/>
    <w:rsid w:val="740D60D3"/>
    <w:rsid w:val="76C852C5"/>
    <w:rsid w:val="777764DF"/>
    <w:rsid w:val="7A3E5580"/>
    <w:rsid w:val="7ACF7DAF"/>
    <w:rsid w:val="7E017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toc 3"/>
    <w:basedOn w:val="1"/>
    <w:next w:val="1"/>
    <w:qFormat/>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toc 1"/>
    <w:basedOn w:val="1"/>
    <w:next w:val="1"/>
    <w:qFormat/>
    <w:uiPriority w:val="0"/>
  </w:style>
  <w:style w:type="paragraph" w:styleId="6">
    <w:name w:val="toc 2"/>
    <w:basedOn w:val="1"/>
    <w:next w:val="1"/>
    <w:qFormat/>
    <w:uiPriority w:val="0"/>
    <w:pPr>
      <w:ind w:left="420" w:leftChars="200"/>
    </w:pPr>
  </w:style>
  <w:style w:type="paragraph" w:styleId="7">
    <w:name w:val="Normal (Web)"/>
    <w:basedOn w:val="1"/>
    <w:qFormat/>
    <w:uiPriority w:val="0"/>
    <w:rPr>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paragraph" w:customStyle="1" w:styleId="1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54CD9C-4E36-4C03-8DEC-3CAF94F5A47B}">
  <ds:schemaRefs/>
</ds:datastoreItem>
</file>

<file path=docProps/app.xml><?xml version="1.0" encoding="utf-8"?>
<Properties xmlns="http://schemas.openxmlformats.org/officeDocument/2006/extended-properties" xmlns:vt="http://schemas.openxmlformats.org/officeDocument/2006/docPropsVTypes">
  <Template>Normal</Template>
  <Pages>19</Pages>
  <Words>4289</Words>
  <Characters>5557</Characters>
  <Lines>46</Lines>
  <Paragraphs>13</Paragraphs>
  <TotalTime>5796</TotalTime>
  <ScaleCrop>false</ScaleCrop>
  <LinksUpToDate>false</LinksUpToDate>
  <CharactersWithSpaces>5939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2025-03-01T06:06:00Z</dcterms:created>
  <dc:creator>86198</dc:creator>
  <cp:lastModifiedBy>[哟。。。哟]</cp:lastModifiedBy>
  <dcterms:modified xsi:type="dcterms:W3CDTF">2025-05-15T02:24:48Z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eyJoZGlkIjoiMDZlZDg0MjdjY2VhMDdiMWY2ZDFiZDg5Zjg2ZTY0ZGIiLCJ1c2VySWQiOiIxMjc4MTkxMDEyIn0=</vt:lpwstr>
  </property>
  <property fmtid="{D5CDD505-2E9C-101B-9397-08002B2CF9AE}" pid="4" name="ICV">
    <vt:lpwstr>EE6E5BB4BEBD480DB94C52F7271DDB8A_13</vt:lpwstr>
  </property>
</Properties>
</file>