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755"/>
        <w:gridCol w:w="38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位置</w:t>
            </w:r>
          </w:p>
        </w:tc>
        <w:tc>
          <w:tcPr>
            <w:tcW w:w="3755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原文</w:t>
            </w:r>
          </w:p>
        </w:tc>
        <w:tc>
          <w:tcPr>
            <w:tcW w:w="3898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修改为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rFonts w:hint="eastAsia" w:eastAsiaTheme="minor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引言</w:t>
            </w:r>
            <w:r>
              <w:rPr>
                <w:rFonts w:hint="default"/>
                <w:vertAlign w:val="baseline"/>
                <w:lang w:eastAsia="zh-Hans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Hans"/>
              </w:rPr>
              <w:t>第</w:t>
            </w:r>
            <w:r>
              <w:rPr>
                <w:rFonts w:hint="default"/>
                <w:vertAlign w:val="baseline"/>
                <w:lang w:eastAsia="zh-Hans"/>
              </w:rPr>
              <w:t>2</w:t>
            </w:r>
            <w:r>
              <w:rPr>
                <w:rFonts w:hint="eastAsia"/>
                <w:vertAlign w:val="baseline"/>
                <w:lang w:val="en-US" w:eastAsia="zh-Hans"/>
              </w:rPr>
              <w:t>段第</w:t>
            </w:r>
            <w:r>
              <w:rPr>
                <w:rFonts w:hint="default"/>
                <w:vertAlign w:val="baseline"/>
                <w:lang w:eastAsia="zh-Hans"/>
              </w:rPr>
              <w:t>2</w:t>
            </w:r>
            <w:r>
              <w:rPr>
                <w:rFonts w:hint="eastAsia"/>
                <w:vertAlign w:val="baseline"/>
                <w:lang w:val="en-US" w:eastAsia="zh-Hans"/>
              </w:rPr>
              <w:t>句</w:t>
            </w:r>
          </w:p>
        </w:tc>
        <w:tc>
          <w:tcPr>
            <w:tcW w:w="3755" w:type="dxa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 xml:space="preserve">中国的伟大教育家孔子曾经说过:“不 愤不启，不悱不发，举一隅不以三隅反，则不复也。” </w:t>
            </w:r>
          </w:p>
        </w:tc>
        <w:tc>
          <w:tcPr>
            <w:tcW w:w="3898" w:type="dxa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 xml:space="preserve">孔子曾经说过:“不愤不启，不悱不发，举一隅不以三隅反，则不复也。” 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24" w:hRule="atLeast"/>
        </w:trPr>
        <w:tc>
          <w:tcPr>
            <w:tcW w:w="869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 xml:space="preserve">2.1 </w:t>
            </w:r>
            <w:r>
              <w:rPr>
                <w:rFonts w:hint="eastAsia"/>
                <w:vertAlign w:val="baseline"/>
                <w:lang w:val="en-US" w:eastAsia="zh-Hans"/>
              </w:rPr>
              <w:t>第二段</w:t>
            </w:r>
          </w:p>
        </w:tc>
        <w:tc>
          <w:tcPr>
            <w:tcW w:w="3755" w:type="dxa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Fonts w:ascii="XITS-Regular-Identity-H" w:hAnsi="XITS-Regular-Identity-H" w:eastAsia="XITS-Regular-Identity-H" w:cs="XITS-Regular-Identity-H"/>
                <w:sz w:val="24"/>
                <w:szCs w:val="24"/>
              </w:rPr>
              <w:t xml:space="preserve">1999 </w:t>
            </w: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 xml:space="preserve">年，施良方等人在《教学理论:课堂教学的原 理、策略与研究》中提出提问的 </w:t>
            </w:r>
            <w:r>
              <w:rPr>
                <w:rFonts w:hint="default" w:ascii="XITS-Regular-Identity-H" w:hAnsi="XITS-Regular-Identity-H" w:eastAsia="XITS-Regular-Identity-H" w:cs="XITS-Regular-Identity-H"/>
                <w:sz w:val="24"/>
                <w:szCs w:val="24"/>
              </w:rPr>
              <w:t xml:space="preserve">4 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种功能:诱发学生参与教学、提供线索、提供练习 与反馈机会、有助于学生学习结果的迁移</w:t>
            </w:r>
            <w:r>
              <w:rPr>
                <w:rFonts w:hint="default" w:ascii="XITS-Regular-Identity-H" w:hAnsi="XITS-Regular-Identity-H" w:eastAsia="XITS-Regular-Identity-H" w:cs="XITS-Regular-Identity-H"/>
                <w:sz w:val="16"/>
                <w:szCs w:val="16"/>
              </w:rPr>
              <w:t>[1]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。 2002 年，加里在他的《有效教学方法》 中总结了提问的 6 种功能:吸引兴趣和吸引注意力、发现问题及检查、回忆具体知识 或信息、课堂管理、鼓励更高层次的思维活动、组织或指导学习[2]。同年，2013 年， 朱杰珍在《刍议数学课堂提问的功能与技巧》中归纳数学课堂提问的 5 种功能:温故 导学、激趣探疑、聚精促思、辨析明理、反馈调控[3] 。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3898" w:type="dxa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vertAlign w:val="baseline"/>
              </w:rPr>
              <w:t>1999</w:t>
            </w:r>
            <w:r>
              <w:rPr>
                <w:rFonts w:hint="eastAsia"/>
                <w:vertAlign w:val="baseline"/>
                <w:lang w:val="en-US" w:eastAsia="zh-Hans"/>
              </w:rPr>
              <w:t>年</w:t>
            </w:r>
            <w:r>
              <w:rPr>
                <w:rFonts w:hint="default"/>
                <w:vertAlign w:val="baseline"/>
                <w:lang w:eastAsia="zh-Hans"/>
              </w:rPr>
              <w:t>，</w:t>
            </w:r>
            <w:r>
              <w:rPr>
                <w:rFonts w:hint="eastAsia"/>
                <w:vertAlign w:val="baseline"/>
                <w:lang w:val="en-US" w:eastAsia="zh-Hans"/>
              </w:rPr>
              <w:t>施良方等人从原理</w:t>
            </w:r>
            <w:r>
              <w:rPr>
                <w:rFonts w:hint="default"/>
                <w:vertAlign w:val="baseline"/>
                <w:lang w:eastAsia="zh-Hans"/>
              </w:rPr>
              <w:t>、</w:t>
            </w:r>
            <w:r>
              <w:rPr>
                <w:rFonts w:hint="eastAsia"/>
                <w:vertAlign w:val="baseline"/>
                <w:lang w:val="en-US" w:eastAsia="zh-Hans"/>
              </w:rPr>
              <w:t>策略以及研究等方面阐述教学理论</w:t>
            </w:r>
            <w:r>
              <w:rPr>
                <w:rFonts w:hint="default"/>
                <w:vertAlign w:val="baseline"/>
                <w:lang w:eastAsia="zh-Hans"/>
              </w:rPr>
              <w:t>。</w:t>
            </w:r>
            <w:r>
              <w:rPr>
                <w:rFonts w:hint="eastAsia"/>
                <w:vertAlign w:val="baseline"/>
                <w:lang w:val="en-US" w:eastAsia="zh-Hans"/>
              </w:rPr>
              <w:t>书中提出</w:t>
            </w: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 xml:space="preserve">提问的 </w:t>
            </w:r>
            <w:r>
              <w:rPr>
                <w:rFonts w:hint="default" w:ascii="XITS-Regular-Identity-H" w:hAnsi="XITS-Regular-Identity-H" w:eastAsia="XITS-Regular-Identity-H" w:cs="XITS-Regular-Identity-H"/>
                <w:sz w:val="24"/>
                <w:szCs w:val="24"/>
              </w:rPr>
              <w:t xml:space="preserve">4 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种功能:诱发学生参与教学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提供线索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提供练习与反馈机会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有助于学生学习结果的迁移</w:t>
            </w:r>
            <w:r>
              <w:rPr>
                <w:rFonts w:hint="default" w:ascii="XITS-Regular-Identity-H" w:hAnsi="XITS-Regular-Identity-H" w:eastAsia="XITS-Regular-Identity-H" w:cs="XITS-Regular-Identity-H"/>
                <w:sz w:val="16"/>
                <w:szCs w:val="16"/>
                <w:vertAlign w:val="superscript"/>
              </w:rPr>
              <w:t>[1]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。 2002 年，加里在他的《有效教学方法》 中总结了提问的 6 种功能:吸引兴趣和吸引注意力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发现问题及检查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回忆具体知识或信息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课堂管理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鼓励更高层次的思维活动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组织或指导学习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  <w:vertAlign w:val="superscript"/>
              </w:rPr>
              <w:t>[2]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。同年，2013 年， 朱杰珍归纳数学课堂提问的 5 种功能:温故 导学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激趣探疑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聚精促思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辨析明理</w:t>
            </w:r>
            <w:r>
              <w:rPr>
                <w:rFonts w:hint="default" w:ascii="STSongti-SC-Light" w:hAnsi="STSongti-SC-Light" w:eastAsia="STSongti-SC-Light" w:cs="STSongti-SC-Light"/>
                <w:sz w:val="24"/>
                <w:szCs w:val="24"/>
              </w:rPr>
              <w:t>；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反馈调控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  <w:vertAlign w:val="superscript"/>
              </w:rPr>
              <w:t xml:space="preserve">[3] 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</w:rPr>
              <w:t>。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rFonts w:hint="eastAsia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vertAlign w:val="baseline"/>
                <w:lang w:eastAsia="zh-Hans"/>
              </w:rPr>
              <w:t xml:space="preserve">2 </w:t>
            </w:r>
            <w:r>
              <w:rPr>
                <w:rFonts w:hint="eastAsia"/>
                <w:vertAlign w:val="baseline"/>
                <w:lang w:val="en-US" w:eastAsia="zh-Hans"/>
              </w:rPr>
              <w:t>第一段</w:t>
            </w: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对于小学数学课堂，我国学者王小清分析归纳 了四种课堂提问类型:猜测型提问、比较型提问、启发型提问、突破型提问[4] 。2017 年，喻洋也对中学数学课堂提问类型进行分类:引入型问题、疏导型问题、探究型问 题、总结型问题、感想型问题[5] 。</w:t>
            </w:r>
          </w:p>
        </w:tc>
        <w:tc>
          <w:tcPr>
            <w:tcW w:w="3898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对于小学数学课堂，我国学者王小清分析归纳 了四种课堂提问类型:猜测型提问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比较型提问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启发型提问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突破型提问</w:t>
            </w:r>
            <w:r>
              <w:rPr>
                <w:rFonts w:hint="eastAsia"/>
                <w:vertAlign w:val="superscript"/>
              </w:rPr>
              <w:t xml:space="preserve">[4] </w:t>
            </w:r>
            <w:r>
              <w:rPr>
                <w:rFonts w:hint="eastAsia"/>
                <w:vertAlign w:val="baseline"/>
              </w:rPr>
              <w:t>。2017 年，喻洋也对中学数学课堂提问类型进行分类:引入型问题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疏导型问题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探究型问 题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总结型问题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感想型问题</w:t>
            </w:r>
            <w:r>
              <w:rPr>
                <w:rFonts w:hint="eastAsia"/>
                <w:vertAlign w:val="superscript"/>
              </w:rPr>
              <w:t>[5]</w:t>
            </w:r>
            <w:r>
              <w:rPr>
                <w:rFonts w:hint="eastAsia"/>
                <w:vertAlign w:val="baseline"/>
              </w:rPr>
              <w:t xml:space="preserve"> 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rFonts w:hint="eastAsia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vertAlign w:val="baseline"/>
                <w:lang w:eastAsia="zh-Hans"/>
              </w:rPr>
              <w:t xml:space="preserve">4 </w:t>
            </w:r>
            <w:r>
              <w:rPr>
                <w:rFonts w:hint="eastAsia"/>
                <w:vertAlign w:val="baseline"/>
                <w:lang w:val="en-US" w:eastAsia="zh-Hans"/>
              </w:rPr>
              <w:t>第二段</w:t>
            </w: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2003 年，赵敏霞通过课堂观察及文献研究发现目前课堂提问现状不如人意，由 此她认为有效课堂提问应具有 3 个特点:是师生交流的重要形式、是实现教学目标整 合的重要手段、是服务于学生的学习过程的[8]。</w:t>
            </w:r>
          </w:p>
        </w:tc>
        <w:tc>
          <w:tcPr>
            <w:tcW w:w="3898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2003 年，赵敏霞通过课堂观察及文献研究发现目前课堂提问现状不如人意，由 此她认为有效课堂提问应具有 3 个特点:是师生交流的重要形式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是实现教学目标整合的重要手段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是服务于学生的学习过程的[8]。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2</w:t>
            </w:r>
            <w:r>
              <w:rPr>
                <w:rFonts w:hint="eastAsia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vertAlign w:val="baseline"/>
                <w:lang w:eastAsia="zh-Hans"/>
              </w:rPr>
              <w:t xml:space="preserve">4 </w:t>
            </w:r>
            <w:r>
              <w:rPr>
                <w:rFonts w:hint="eastAsia"/>
                <w:vertAlign w:val="baseline"/>
                <w:lang w:val="en-US" w:eastAsia="zh-Hans"/>
              </w:rPr>
              <w:t>第二段</w:t>
            </w: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2011 年，温建红在《数学课堂有效提问的内涵及特征》中提出了有效 提问的几大特征:目的性</w:t>
            </w:r>
            <w:r>
              <w:rPr>
                <w:rFonts w:hint="default"/>
                <w:vertAlign w:val="baseline"/>
              </w:rPr>
              <w:t>、</w:t>
            </w:r>
            <w:r>
              <w:rPr>
                <w:rFonts w:hint="eastAsia"/>
                <w:vertAlign w:val="baseline"/>
              </w:rPr>
              <w:t>启发性、多样性、方法性、示范性、情感性[11] 。</w:t>
            </w:r>
          </w:p>
        </w:tc>
        <w:tc>
          <w:tcPr>
            <w:tcW w:w="3898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2011 年，温建红在《数学课堂有效提问的内涵及特征》中提出了有效 提问的几大特征:目的性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启发性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多样性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方法性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示范性</w:t>
            </w:r>
            <w:r>
              <w:rPr>
                <w:rFonts w:hint="default"/>
                <w:vertAlign w:val="baseline"/>
              </w:rPr>
              <w:t>；</w:t>
            </w:r>
            <w:r>
              <w:rPr>
                <w:rFonts w:hint="eastAsia"/>
                <w:vertAlign w:val="baseline"/>
              </w:rPr>
              <w:t>情感性[11] 。</w:t>
            </w:r>
          </w:p>
          <w:p>
            <w:pPr>
              <w:rPr>
                <w:rFonts w:hint="eastAsia"/>
                <w:vertAlign w:val="baseline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  <w:r>
              <w:rPr>
                <w:vertAlign w:val="baseline"/>
              </w:rPr>
              <w:t>3</w:t>
            </w:r>
            <w:r>
              <w:rPr>
                <w:rFonts w:hint="eastAsia"/>
                <w:vertAlign w:val="baseline"/>
                <w:lang w:val="en-US" w:eastAsia="zh-Hans"/>
              </w:rPr>
              <w:t>.</w:t>
            </w:r>
            <w:r>
              <w:rPr>
                <w:rFonts w:hint="default"/>
                <w:vertAlign w:val="baseline"/>
                <w:lang w:eastAsia="zh-Hans"/>
              </w:rPr>
              <w:t xml:space="preserve">2 </w:t>
            </w:r>
            <w:r>
              <w:rPr>
                <w:rFonts w:hint="eastAsia"/>
                <w:vertAlign w:val="baseline"/>
                <w:lang w:val="en-US" w:eastAsia="zh-Hans"/>
              </w:rPr>
              <w:t>第一句话</w:t>
            </w:r>
          </w:p>
        </w:tc>
        <w:tc>
          <w:tcPr>
            <w:tcW w:w="3755" w:type="dxa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>根据本研究的内容，并考虑到当前的疫情情况，本研究采用了以下研究方法:</w:t>
            </w:r>
          </w:p>
          <w:p>
            <w:pPr>
              <w:rPr>
                <w:vertAlign w:val="baseline"/>
              </w:rPr>
            </w:pPr>
          </w:p>
        </w:tc>
        <w:tc>
          <w:tcPr>
            <w:tcW w:w="3898" w:type="dxa"/>
          </w:tcPr>
          <w:p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>根据研究内容，</w:t>
            </w:r>
            <w:r>
              <w:rPr>
                <w:rFonts w:hint="eastAsia" w:ascii="STSongti-SC-Light" w:hAnsi="STSongti-SC-Light" w:eastAsia="STSongti-SC-Light" w:cs="STSongti-SC-Light"/>
                <w:sz w:val="24"/>
                <w:szCs w:val="24"/>
                <w:lang w:val="en-US" w:eastAsia="zh-Hans"/>
              </w:rPr>
              <w:t>限于疫情</w:t>
            </w:r>
            <w:r>
              <w:rPr>
                <w:rFonts w:ascii="STSongti-SC-Light" w:hAnsi="STSongti-SC-Light" w:eastAsia="STSongti-SC-Light" w:cs="STSongti-SC-Light"/>
                <w:sz w:val="24"/>
                <w:szCs w:val="24"/>
              </w:rPr>
              <w:t>，研究采用以下方法:</w:t>
            </w:r>
          </w:p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98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98" w:type="dxa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9" w:type="dxa"/>
          </w:tcPr>
          <w:p>
            <w:pPr>
              <w:rPr>
                <w:vertAlign w:val="baseline"/>
              </w:rPr>
            </w:pPr>
          </w:p>
        </w:tc>
        <w:tc>
          <w:tcPr>
            <w:tcW w:w="3755" w:type="dxa"/>
          </w:tcPr>
          <w:p>
            <w:pPr>
              <w:rPr>
                <w:vertAlign w:val="baseline"/>
              </w:rPr>
            </w:pPr>
          </w:p>
        </w:tc>
        <w:tc>
          <w:tcPr>
            <w:tcW w:w="3898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TSongti-SC-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XITS-Regular-Identity-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68C2D"/>
    <w:rsid w:val="F7F68C2D"/>
    <w:rsid w:val="FEF7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2022-04-21T21:59:00Z</dcterms:created>
  <dc:creator>changan</dc:creator>
  <cp:lastModifiedBy>changan</cp:lastModifiedBy>
  <dcterms:modified xsi:type="dcterms:W3CDTF">2022-04-27T15:15:41Z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