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Sebastian Hidalgo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Medina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Alejandro Osejo</w:t>
      </w:r>
    </w:p>
    <w:p w:rsidR="00000000" w:rsidDel="00000000" w:rsidP="00000000" w:rsidRDefault="00000000" w:rsidRPr="00000000" w14:paraId="00000005">
      <w:pPr>
        <w:pStyle w:val="Heading1"/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maly09j2iezn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Proyecto de Sistema de Anotación de Vídeo</w:t>
      </w:r>
    </w:p>
    <w:p w:rsidR="00000000" w:rsidDel="00000000" w:rsidP="00000000" w:rsidRDefault="00000000" w:rsidRPr="00000000" w14:paraId="00000006">
      <w:pPr>
        <w:pStyle w:val="Heading2"/>
        <w:spacing w:after="200" w:line="240" w:lineRule="auto"/>
        <w:rPr>
          <w:rFonts w:ascii="Times New Roman" w:cs="Times New Roman" w:eastAsia="Times New Roman" w:hAnsi="Times New Roman"/>
        </w:rPr>
      </w:pPr>
      <w:bookmarkStart w:colFirst="0" w:colLast="0" w:name="_9h9u2sbe9eln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</w:t>
      </w:r>
    </w:p>
    <w:p w:rsidR="00000000" w:rsidDel="00000000" w:rsidP="00000000" w:rsidRDefault="00000000" w:rsidRPr="00000000" w14:paraId="00000007">
      <w:pPr>
        <w:pStyle w:val="Heading2"/>
        <w:spacing w:after="200" w:line="240" w:lineRule="auto"/>
        <w:rPr>
          <w:rFonts w:ascii="Times New Roman" w:cs="Times New Roman" w:eastAsia="Times New Roman" w:hAnsi="Times New Roman"/>
        </w:rPr>
      </w:pPr>
      <w:bookmarkStart w:colFirst="0" w:colLast="0" w:name="_2y5fyagqylnp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proyecto tiene como objetivo desarrollar un software especializado en la anotación de vídeos que capture diversas actividades humanas, como caminar, girar, sentarse y estar de pie. Para lograr esto, se implementará un sistema de análisis de vídeo en tiempo real, lo que permitirá la detección y seguimiento preciso de los movimientos articulares y de la postura de los individuos en las grabaciones. La solución se enfocará en proporcionar herramientas efectivas para la clasificación y análisis de estas actividades, contribuyendo así a campos como la investigación en comportamiento humano, la rehabilitación física y la interacción hombre-máquina.</w:t>
      </w:r>
    </w:p>
    <w:p w:rsidR="00000000" w:rsidDel="00000000" w:rsidP="00000000" w:rsidRDefault="00000000" w:rsidRPr="00000000" w14:paraId="00000009">
      <w:pPr>
        <w:pStyle w:val="Heading2"/>
        <w:spacing w:after="200" w:line="240" w:lineRule="auto"/>
        <w:rPr>
          <w:rFonts w:ascii="Times New Roman" w:cs="Times New Roman" w:eastAsia="Times New Roman" w:hAnsi="Times New Roman"/>
        </w:rPr>
      </w:pPr>
      <w:bookmarkStart w:colFirst="0" w:colLast="0" w:name="_4tyc05ljo3hn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Theory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Preprocesamiento y Escalado de Datos: Pandas y NumPy son fundamentales para cargar, limpiar y manipular datos en estructuras eficientes. El escalado mediante MinMaxScaler y StandardScaler estandariza las características, lo cual es esencial en modelos sensibles a magnitudes, como KNN y redes neuronales.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División de Datos: Dividir los datos en conjuntos de entrenamiento y prueba con train_test_split permite evaluar si el modelo generaliza bien en datos no vistos.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Modelos de Clasificación: Se utilizan cuatro modelos: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KNeighborsClassifier (KNN): Clasificación basada en la proximidad.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RandomForestClassifier: Modelo de ensamble robusto frente al sobreajuste.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SVC: Clasificación mediante hiperplanos en espacios de alta dimensionalidad.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00" w:before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MLPClassifier: Red neuronal para patrones complejos y no lineales.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Optimización de Parámetros: GridSearchCV ayuda a encontrar la mejor combinación de parámetros para el modelo, utilizando validación cruzada.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Métricas de Evaluación: classification_report y accuracy_score brindan medidas detalladas como precisión y exhaustividad para evaluar el rendimiento del modelo en cada clase.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Datos: Seaborn y Matplotlib permiten visualizar patrones y relaciones en los datos, ayudando en el análisis y selección de modelos.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200" w:line="240" w:lineRule="auto"/>
        <w:rPr/>
      </w:pPr>
      <w:bookmarkStart w:colFirst="0" w:colLast="0" w:name="_3j253segllep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Recolección y Preprocesamiento de Datos: Recopilamos videos que muestran actividades humanas clave como caminar y sentarse. Realizamos anotaciones manuales iniciales y limpiamos los datos con Pandas y NumPy. Usamos MinMaxScaler y StandardScaler para estandarizar las características, lo cual es fundamental para mejorar la precisión de los modelos.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División de los Datos: Dividimos los datos en conjuntos de entrenamiento y prueba con train_test_split, asegurando una distribución equilibrada para evitar sesgos en la clasificación de actividades.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Modelos de Clasificación: Implementamos cuatro modelos principales: KNeighborsClassifier para detección basada en proximidad, RandomForestClassifier por su resistencia al sobreajuste, SVC para clasificación en espacios complejos y MLPClassifier para patrones no lineales.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de Parámetros y Evaluación: Utilizamos GridSearchCV para ajustar parámetros y classification_report para evaluar precisión y exhaustividad en cada clase. La visualización con Seaborn y Matplotlib ayudó a identificar patrones y ajustar el modelo final.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en Tiempo Real: Finalmente, desarrollamos una interfaz para anotación automática en tiempo real, usando el modelo mejor ajustado para la detección y clasificación de actividades en los videos.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200" w:line="240" w:lineRule="auto"/>
        <w:rPr>
          <w:rFonts w:ascii="Times New Roman" w:cs="Times New Roman" w:eastAsia="Times New Roman" w:hAnsi="Times New Roman"/>
        </w:rPr>
      </w:pPr>
      <w:bookmarkStart w:colFirst="0" w:colLast="0" w:name="_62dsc1bsbfhh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</w:t>
      </w:r>
    </w:p>
    <w:p w:rsidR="00000000" w:rsidDel="00000000" w:rsidP="00000000" w:rsidRDefault="00000000" w:rsidRPr="00000000" w14:paraId="0000001B">
      <w:pPr>
        <w:pStyle w:val="Heading2"/>
        <w:spacing w:after="200" w:line="240" w:lineRule="auto"/>
        <w:rPr>
          <w:rFonts w:ascii="Times New Roman" w:cs="Times New Roman" w:eastAsia="Times New Roman" w:hAnsi="Times New Roman"/>
        </w:rPr>
      </w:pPr>
      <w:bookmarkStart w:colFirst="0" w:colLast="0" w:name="_27jdmzigilua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 Analysis</w:t>
      </w:r>
    </w:p>
    <w:p w:rsidR="00000000" w:rsidDel="00000000" w:rsidP="00000000" w:rsidRDefault="00000000" w:rsidRPr="00000000" w14:paraId="0000001C">
      <w:pPr>
        <w:pStyle w:val="Heading2"/>
        <w:spacing w:after="200" w:line="240" w:lineRule="auto"/>
        <w:rPr>
          <w:rFonts w:ascii="Times New Roman" w:cs="Times New Roman" w:eastAsia="Times New Roman" w:hAnsi="Times New Roman"/>
        </w:rPr>
      </w:pPr>
      <w:bookmarkStart w:colFirst="0" w:colLast="0" w:name="_djnzzo3ck3mr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 and future works</w:t>
      </w:r>
    </w:p>
    <w:p w:rsidR="00000000" w:rsidDel="00000000" w:rsidP="00000000" w:rsidRDefault="00000000" w:rsidRPr="00000000" w14:paraId="0000001D">
      <w:pPr>
        <w:pStyle w:val="Heading2"/>
        <w:spacing w:after="200" w:line="240" w:lineRule="auto"/>
        <w:rPr>
          <w:rFonts w:ascii="Times New Roman" w:cs="Times New Roman" w:eastAsia="Times New Roman" w:hAnsi="Times New Roman"/>
          <w:color w:val="545454"/>
          <w:sz w:val="20"/>
          <w:szCs w:val="20"/>
          <w:shd w:fill="fefefe" w:val="clear"/>
        </w:rPr>
      </w:pPr>
      <w:bookmarkStart w:colFirst="0" w:colLast="0" w:name="_of7kqxkqc4lr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Bibliographic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Scikit-learn, “scikit-learn: machine learning in Python,”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fefefe" w:val="clear"/>
          <w:rtl w:val="0"/>
        </w:rPr>
        <w:t xml:space="preserve">Scikit-learn.org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, 2019. https://scikit-learn.org/stable/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“Matplotlib documentation — Matplotlib 3.5.0 documentation,”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fefefe" w:val="clear"/>
          <w:rtl w:val="0"/>
        </w:rPr>
        <w:t xml:space="preserve">matplotlib.org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. https://matplotlib.org/stable/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M. Waskom, “seaborn: statistical data visualization — seaborn 0.10.1 documentation,”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fefefe" w:val="clear"/>
          <w:rtl w:val="0"/>
        </w:rPr>
        <w:t xml:space="preserve">seaborn.pydata.org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, 2021. https://seaborn.pydata.org/index.html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NumPy, “Overview — NumPy v1.19 Manual,”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fefefe" w:val="clear"/>
          <w:rtl w:val="0"/>
        </w:rPr>
        <w:t xml:space="preserve">numpy.org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, 2022. https://numpy.org/doc/stable/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“pandas documentation — pandas 1.0.3 documentation,”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fefefe" w:val="clear"/>
          <w:rtl w:val="0"/>
        </w:rPr>
        <w:t xml:space="preserve">pandas.pydata.org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efefe" w:val="clear"/>
          <w:rtl w:val="0"/>
        </w:rPr>
        <w:t xml:space="preserve">. https://pandas.pydata.org/docs/index.html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Times New Roman" w:cs="Times New Roman" w:eastAsia="Times New Roman" w:hAnsi="Times New Roman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Times New Roman" w:cs="Times New Roman" w:eastAsia="Times New Roman" w:hAnsi="Times New Roman"/>
          <w:color w:val="545454"/>
          <w:sz w:val="20"/>
          <w:szCs w:val="20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