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bCs/>
          <w:color w:val="0F6E56"/>
          <w:sz w:val="96"/>
          <w:szCs w:val="96"/>
        </w:rPr>
        <w:t xml:space="preserve">Flaer</w:t>
      </w:r>
    </w:p>
    <w:p>
      <w:pPr>
        <w:spacing w:after="0" w:before="40"/>
      </w:pPr>
      <w:r>
        <w:rPr>
          <w:rFonts w:ascii="Calibri" w:cs="Calibri" w:eastAsia="Calibri" w:hAnsi="Calibri"/>
          <w:color w:val="5F5E5A"/>
          <w:sz w:val="30"/>
          <w:szCs w:val="30"/>
        </w:rPr>
        <w:t xml:space="preserve">AI-Powered Data Center Sustainability Intelligence  ·  Brand: Flaer</w:t>
      </w:r>
    </w:p>
    <w:p>
      <w:pPr>
        <w:pBdr>
          <w:bottom w:val="single" w:color="1D9E75" w:sz="8" w:space="6"/>
        </w:pBdr>
        <w:spacing w:after="200" w:before="0"/>
      </w:pPr>
    </w:p>
    <w:p>
      <w:pPr>
        <w:spacing w:after="0" w:before="120"/>
      </w:pPr>
      <w:r>
        <w:rPr>
          <w:rFonts w:ascii="Calibri" w:cs="Calibri" w:eastAsia="Calibri" w:hAnsi="Calibri"/>
          <w:color w:val="2C2C2A"/>
          <w:sz w:val="22"/>
          <w:szCs w:val="22"/>
        </w:rPr>
        <w:t xml:space="preserve"/>
      </w:r>
    </w:p>
    <w:p>
      <w:pPr>
        <w:spacing w:after="60" w:before="0"/>
      </w:pPr>
      <w:r>
        <w:rPr>
          <w:rFonts w:ascii="Calibri" w:cs="Calibri" w:eastAsia="Calibri" w:hAnsi="Calibri"/>
          <w:b/>
          <w:bCs/>
          <w:color w:val="2C2C2A"/>
          <w:sz w:val="26"/>
          <w:szCs w:val="26"/>
        </w:rPr>
        <w:t xml:space="preserve">Pre-Launch Strategy Guide</w:t>
      </w:r>
    </w:p>
    <w:p>
      <w:pPr>
        <w:spacing w:after="0" w:before="0"/>
      </w:pPr>
      <w:r>
        <w:rPr>
          <w:rFonts w:ascii="Calibri" w:cs="Calibri" w:eastAsia="Calibri" w:hAnsi="Calibri"/>
          <w:color w:val="5F5E5A"/>
          <w:sz w:val="22"/>
          <w:szCs w:val="22"/>
        </w:rPr>
        <w:t xml:space="preserve">How to validate, position, and launch your startup — before writing a line of new code.</w:t>
      </w:r>
    </w:p>
    <w:p>
      <w:pPr>
        <w:spacing w:after="0" w:before="40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spacing w:after="40" w:before="0"/>
              <w:jc w:val="center"/>
            </w:pPr>
            <w:r>
              <w:rPr>
                <w:rFonts w:ascii="Calibri" w:cs="Calibri" w:eastAsia="Calibri" w:hAnsi="Calibri"/>
                <w:b/>
                <w:bCs/>
                <w:color w:val="0F6E56"/>
                <w:sz w:val="34"/>
                <w:szCs w:val="34"/>
              </w:rPr>
              <w:t xml:space="preserve">MVP</w:t>
            </w:r>
          </w:p>
          <w:p>
            <w:pPr>
              <w:spacing w:after="30" w:before="0"/>
              <w:jc w:val="center"/>
            </w:pPr>
            <w:r>
              <w:rPr>
                <w:rFonts w:ascii="Calibri" w:cs="Calibri" w:eastAsia="Calibri" w:hAnsi="Calibri"/>
                <w:b/>
                <w:bCs/>
                <w:color w:val="1D9E75"/>
                <w:sz w:val="19"/>
                <w:szCs w:val="19"/>
              </w:rPr>
              <w:t xml:space="preserve">Built &amp; deployed</w:t>
            </w:r>
          </w:p>
          <w:p>
            <w:pPr>
              <w:spacing w:after="0" w:before="0"/>
              <w:jc w:val="center"/>
            </w:pPr>
            <w:r>
              <w:rPr>
                <w:rFonts w:ascii="Calibri" w:cs="Calibri" w:eastAsia="Calibri" w:hAnsi="Calibri"/>
                <w:color w:val="1D9E75"/>
                <w:sz w:val="17"/>
                <w:szCs w:val="17"/>
              </w:rPr>
              <w:t xml:space="preserve">Python + ML</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Phase 2</w:t>
            </w:r>
          </w:p>
          <w:p>
            <w:pPr>
              <w:spacing w:after="30" w:before="0"/>
              <w:jc w:val="center"/>
            </w:pPr>
            <w:r>
              <w:rPr>
                <w:rFonts w:ascii="Calibri" w:cs="Calibri" w:eastAsia="Calibri" w:hAnsi="Calibri"/>
                <w:b/>
                <w:bCs/>
                <w:color w:val="5F5E5A"/>
                <w:sz w:val="19"/>
                <w:szCs w:val="19"/>
              </w:rPr>
              <w:t xml:space="preserve">Current stage</w:t>
            </w:r>
          </w:p>
          <w:p>
            <w:pPr>
              <w:spacing w:after="0" w:before="0"/>
              <w:jc w:val="center"/>
            </w:pPr>
            <w:r>
              <w:rPr>
                <w:rFonts w:ascii="Calibri" w:cs="Calibri" w:eastAsia="Calibri" w:hAnsi="Calibri"/>
                <w:color w:val="B4B2A9"/>
                <w:sz w:val="17"/>
                <w:szCs w:val="17"/>
              </w:rPr>
              <w:t xml:space="preserve">Validate &amp; rebuild</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B2B SaaS</w:t>
            </w:r>
          </w:p>
          <w:p>
            <w:pPr>
              <w:spacing w:after="30" w:before="0"/>
              <w:jc w:val="center"/>
            </w:pPr>
            <w:r>
              <w:rPr>
                <w:rFonts w:ascii="Calibri" w:cs="Calibri" w:eastAsia="Calibri" w:hAnsi="Calibri"/>
                <w:b/>
                <w:bCs/>
                <w:color w:val="5F5E5A"/>
                <w:sz w:val="19"/>
                <w:szCs w:val="19"/>
              </w:rPr>
              <w:t xml:space="preserve">Target model</w:t>
            </w:r>
          </w:p>
          <w:p>
            <w:pPr>
              <w:spacing w:after="0" w:before="0"/>
              <w:jc w:val="center"/>
            </w:pPr>
            <w:r>
              <w:rPr>
                <w:rFonts w:ascii="Calibri" w:cs="Calibri" w:eastAsia="Calibri" w:hAnsi="Calibri"/>
                <w:color w:val="B4B2A9"/>
                <w:sz w:val="17"/>
                <w:szCs w:val="17"/>
              </w:rPr>
              <w:t xml:space="preserve">Enterprise + Gov</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$15–19B</w:t>
            </w:r>
          </w:p>
          <w:p>
            <w:pPr>
              <w:spacing w:after="30" w:before="0"/>
              <w:jc w:val="center"/>
            </w:pPr>
            <w:r>
              <w:rPr>
                <w:rFonts w:ascii="Calibri" w:cs="Calibri" w:eastAsia="Calibri" w:hAnsi="Calibri"/>
                <w:b/>
                <w:bCs/>
                <w:color w:val="5F5E5A"/>
                <w:sz w:val="19"/>
                <w:szCs w:val="19"/>
              </w:rPr>
              <w:t xml:space="preserve">Market size 2024</w:t>
            </w:r>
          </w:p>
          <w:p>
            <w:pPr>
              <w:spacing w:after="0" w:before="0"/>
              <w:jc w:val="center"/>
            </w:pPr>
            <w:r>
              <w:rPr>
                <w:rFonts w:ascii="Calibri" w:cs="Calibri" w:eastAsia="Calibri" w:hAnsi="Calibri"/>
                <w:color w:val="B4B2A9"/>
                <w:sz w:val="17"/>
                <w:szCs w:val="17"/>
              </w:rPr>
              <w:t xml:space="preserve">21.8% CAGR to 2032</w:t>
            </w:r>
          </w:p>
        </w:tc>
      </w:tr>
    </w:tbl>
    <w:p>
      <w:pPr>
        <w:spacing w:after="0" w:before="600"/>
      </w:pPr>
      <w:r>
        <w:rPr>
          <w:rFonts w:ascii="Calibri" w:cs="Calibri" w:eastAsia="Calibri" w:hAnsi="Calibri"/>
          <w:color w:val="2C2C2A"/>
          <w:sz w:val="22"/>
          <w:szCs w:val="22"/>
        </w:rPr>
        <w:t xml:space="preserve"/>
      </w:r>
    </w:p>
    <w:p>
      <w:pPr>
        <w:spacing w:after="0" w:before="0"/>
      </w:pPr>
      <w:r>
        <w:rPr>
          <w:rFonts w:ascii="Calibri" w:cs="Calibri" w:eastAsia="Calibri" w:hAnsi="Calibri"/>
          <w:color w:val="B4B2A9"/>
          <w:sz w:val="19"/>
          <w:szCs w:val="19"/>
        </w:rPr>
        <w:t xml:space="preserve">April 2026  ·  Warsaw, Poland  ·  Confidential</w:t>
      </w:r>
    </w:p>
    <w:p>
      <w:r>
        <w:br w:type="page"/>
      </w:r>
    </w:p>
    <w:p>
      <w:pPr>
        <w:pBdr>
          <w:bottom w:val="single" w:color="1D9E75" w:sz="6" w:space="4"/>
        </w:pBdr>
        <w:spacing w:after="80" w:before="480"/>
      </w:pPr>
      <w:r>
        <w:rPr>
          <w:rFonts w:ascii="Calibri" w:cs="Calibri" w:eastAsia="Calibri" w:hAnsi="Calibri"/>
          <w:b/>
          <w:bCs/>
          <w:color w:val="1D9E75"/>
          <w:sz w:val="28"/>
          <w:szCs w:val="28"/>
        </w:rPr>
        <w:t xml:space="preserve">1  </w:t>
      </w:r>
      <w:r>
        <w:rPr>
          <w:rFonts w:ascii="Calibri" w:cs="Calibri" w:eastAsia="Calibri" w:hAnsi="Calibri"/>
          <w:b/>
          <w:bCs/>
          <w:color w:val="0A4A38"/>
          <w:sz w:val="28"/>
          <w:szCs w:val="28"/>
        </w:rPr>
        <w:t xml:space="preserve">The golden rule</w:t>
      </w:r>
    </w:p>
    <w:p>
      <w:pPr>
        <w:spacing w:after="100" w:before="60"/>
      </w:pPr>
      <w:r>
        <w:rPr>
          <w:rFonts w:ascii="Calibri" w:cs="Calibri" w:eastAsia="Calibri" w:hAnsi="Calibri"/>
          <w:color w:val="2C2C2A"/>
          <w:sz w:val="22"/>
          <w:szCs w:val="22"/>
        </w:rPr>
        <w:t xml:space="preserve">Most founders skip validation and go straight to building. This is why they rebuild everything six months later after their first real customer conversation. The steps in this guide are ordered by dependency — each one unlocks the next.</w:t>
      </w:r>
    </w:p>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E1F5EE" w:val="clear"/>
            <w:tcMar>
              <w:top w:type="dxa" w:w="120"/>
              <w:left w:type="dxa" w:w="180"/>
              <w:bottom w:type="dxa" w:w="120"/>
              <w:right w:type="dxa" w:w="160"/>
            </w:tcMar>
          </w:tcPr>
          <w:p>
            <w:pPr>
              <w:spacing w:after="60" w:before="0"/>
            </w:pPr>
            <w:r>
              <w:rPr>
                <w:rFonts w:ascii="Calibri" w:cs="Calibri" w:eastAsia="Calibri" w:hAnsi="Calibri"/>
                <w:b/>
                <w:bCs/>
                <w:color w:val="1D9E75"/>
                <w:sz w:val="20"/>
                <w:szCs w:val="20"/>
              </w:rPr>
              <w:t xml:space="preserve">The sequence in one sentence</w:t>
            </w:r>
          </w:p>
          <w:p>
            <w:pPr>
              <w:spacing w:after="0" w:before="0"/>
            </w:pPr>
            <w:r>
              <w:rPr>
                <w:rFonts w:ascii="Calibri" w:cs="Calibri" w:eastAsia="Calibri" w:hAnsi="Calibri"/>
                <w:color w:val="0A4A38"/>
                <w:sz w:val="21"/>
                <w:szCs w:val="21"/>
              </w:rPr>
              <w:t xml:space="preserve">See what exists  →  Talk to real people  →  Define your wedge  →  Lock the name  →  Get pilots  →  Then build.</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854F0B"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FAEEDA" w:val="clear"/>
            <w:tcMar>
              <w:top w:type="dxa" w:w="120"/>
              <w:left w:type="dxa" w:w="180"/>
              <w:bottom w:type="dxa" w:w="120"/>
              <w:right w:type="dxa" w:w="160"/>
            </w:tcMar>
          </w:tcPr>
          <w:p>
            <w:pPr>
              <w:spacing w:after="60" w:before="0"/>
            </w:pPr>
            <w:r>
              <w:rPr>
                <w:rFonts w:ascii="Calibri" w:cs="Calibri" w:eastAsia="Calibri" w:hAnsi="Calibri"/>
                <w:b/>
                <w:bCs/>
                <w:color w:val="854F0B"/>
                <w:sz w:val="20"/>
                <w:szCs w:val="20"/>
              </w:rPr>
              <w:t xml:space="preserve">Critical warning — read this before doing anything else</w:t>
            </w:r>
          </w:p>
          <w:p>
            <w:pPr>
              <w:spacing w:after="0" w:before="0"/>
            </w:pPr>
            <w:r>
              <w:rPr>
                <w:rFonts w:ascii="Calibri" w:cs="Calibri" w:eastAsia="Calibri" w:hAnsi="Calibri"/>
                <w:color w:val="854F0B"/>
                <w:sz w:val="21"/>
                <w:szCs w:val="21"/>
              </w:rPr>
              <w:t xml:space="preserve">Do not write a single new line of product code until you have completed Steps 1 and 2. Your existing MVP is enough to get you into rooms. Use it to learn, not to ship.</w:t>
            </w:r>
          </w:p>
        </w:tc>
      </w:tr>
    </w:tbl>
    <w:p>
      <w:pPr>
        <w:pBdr>
          <w:bottom w:val="single" w:color="1D9E75" w:sz="6" w:space="4"/>
        </w:pBdr>
        <w:spacing w:after="80" w:before="480"/>
      </w:pPr>
      <w:r>
        <w:rPr>
          <w:rFonts w:ascii="Calibri" w:cs="Calibri" w:eastAsia="Calibri" w:hAnsi="Calibri"/>
          <w:b/>
          <w:bCs/>
          <w:color w:val="1D9E75"/>
          <w:sz w:val="28"/>
          <w:szCs w:val="28"/>
        </w:rPr>
        <w:t xml:space="preserve">2  </w:t>
      </w:r>
      <w:r>
        <w:rPr>
          <w:rFonts w:ascii="Calibri" w:cs="Calibri" w:eastAsia="Calibri" w:hAnsi="Calibri"/>
          <w:b/>
          <w:bCs/>
          <w:color w:val="0A4A38"/>
          <w:sz w:val="28"/>
          <w:szCs w:val="28"/>
        </w:rPr>
        <w:t xml:space="preserve">The pre-launch sequence</w:t>
      </w:r>
    </w:p>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Borders>
              <w:top w:val="none" w:color="FFFFFF" w:sz="0"/>
              <w:left w:val="none" w:color="FFFFFF" w:sz="0"/>
              <w:bottom w:val="none" w:color="FFFFFF" w:sz="0"/>
              <w:right w:val="none" w:color="FFFFFF" w:sz="0"/>
            </w:tcBorders>
            <w:shd w:fill="0F6E56" w:val="clear"/>
            <w:tcMar>
              <w:top w:type="dxa" w:w="0"/>
              <w:left w:type="dxa" w:w="0"/>
              <w:bottom w:type="dxa" w:w="0"/>
              <w:right w:type="dxa" w:w="0"/>
            </w:tcMar>
            <w:vAlign w:val="center"/>
          </w:tcPr>
          <w:p>
            <w:pPr>
              <w:jc w:val="center"/>
            </w:pPr>
            <w:r>
              <w:rPr>
                <w:rFonts w:ascii="Calibri" w:cs="Calibri" w:eastAsia="Calibri" w:hAnsi="Calibri"/>
                <w:b/>
                <w:bCs/>
                <w:color w:val="FFFFFF"/>
                <w:sz w:val="36"/>
                <w:szCs w:val="36"/>
              </w:rPr>
              <w:t xml:space="preserve">1</w:t>
            </w:r>
          </w:p>
        </w:tc>
        <w:tc>
          <w:tcPr>
            <w:tcBorders>
              <w:top w:val="none" w:color="FFFFFF" w:sz="0"/>
              <w:left w:val="single" w:color="1D9E75" w:sz="4"/>
              <w:bottom w:val="single" w:color="D3D1C7" w:sz="1"/>
              <w:right w:val="none" w:color="FFFFFF" w:sz="0"/>
            </w:tcBorders>
            <w:shd w:fill="FFFFFF" w:val="clear"/>
            <w:tcMar>
              <w:top w:type="dxa" w:w="120"/>
              <w:left w:type="dxa" w:w="180"/>
              <w:bottom w:type="dxa" w:w="120"/>
              <w:right w:type="dxa" w:w="80"/>
            </w:tcMar>
          </w:tcPr>
          <w:p>
            <w:pPr>
              <w:spacing w:after="40" w:before="0"/>
            </w:pPr>
            <w:r>
              <w:rPr>
                <w:rFonts w:ascii="Calibri" w:cs="Calibri" w:eastAsia="Calibri" w:hAnsi="Calibri"/>
                <w:b/>
                <w:bCs/>
                <w:color w:val="1D9E75"/>
                <w:sz w:val="17"/>
                <w:szCs w:val="17"/>
              </w:rPr>
              <w:t xml:space="preserve">DO THIS FIRST  </w:t>
            </w:r>
            <w:r>
              <w:rPr>
                <w:rFonts w:ascii="Calibri" w:cs="Calibri" w:eastAsia="Calibri" w:hAnsi="Calibri"/>
                <w:color w:val="B4B2A9"/>
                <w:sz w:val="17"/>
                <w:szCs w:val="17"/>
              </w:rPr>
              <w:t xml:space="preserve">Week 1</w:t>
            </w:r>
          </w:p>
          <w:p>
            <w:pPr>
              <w:spacing w:after="80" w:before="0"/>
            </w:pPr>
            <w:r>
              <w:rPr>
                <w:rFonts w:ascii="Calibri" w:cs="Calibri" w:eastAsia="Calibri" w:hAnsi="Calibri"/>
                <w:b/>
                <w:bCs/>
                <w:color w:val="111110"/>
                <w:sz w:val="24"/>
                <w:szCs w:val="24"/>
              </w:rPr>
              <w:t xml:space="preserve">Map the existing landscape</w:t>
            </w:r>
          </w:p>
          <w:p>
            <w:pPr>
              <w:pStyle w:val="ListParagraph"/>
              <w:numPr>
                <w:ilvl w:val="0"/>
                <w:numId w:val="2"/>
              </w:numPr>
              <w:spacing w:after="30" w:before="30"/>
            </w:pPr>
            <w:r>
              <w:rPr>
                <w:rFonts w:ascii="Calibri" w:cs="Calibri" w:eastAsia="Calibri" w:hAnsi="Calibri"/>
                <w:b/>
                <w:bCs/>
                <w:color w:val="2C2C2A"/>
                <w:sz w:val="20"/>
                <w:szCs w:val="20"/>
              </w:rPr>
              <w:t xml:space="preserve">List every competitor: </w:t>
            </w:r>
            <w:r>
              <w:rPr>
                <w:rFonts w:ascii="Calibri" w:cs="Calibri" w:eastAsia="Calibri" w:hAnsi="Calibri"/>
                <w:color w:val="5F5E5A"/>
                <w:sz w:val="20"/>
                <w:szCs w:val="20"/>
              </w:rPr>
              <w:t xml:space="preserve">WattTime, Climatiq, Electricity Maps, Watershed, Persefoni, Sweep, Schneider EcoStruxure, Microsoft Cloud for Sustainability, Cloud Carbon Footprint.</w:t>
            </w:r>
          </w:p>
          <w:p>
            <w:pPr>
              <w:pStyle w:val="ListParagraph"/>
              <w:numPr>
                <w:ilvl w:val="0"/>
                <w:numId w:val="2"/>
              </w:numPr>
              <w:spacing w:after="30" w:before="30"/>
            </w:pPr>
            <w:r>
              <w:rPr>
                <w:rFonts w:ascii="Calibri" w:cs="Calibri" w:eastAsia="Calibri" w:hAnsi="Calibri"/>
                <w:b/>
                <w:bCs/>
                <w:color w:val="2C2C2A"/>
                <w:sz w:val="20"/>
                <w:szCs w:val="20"/>
              </w:rPr>
              <w:t xml:space="preserve">Sign up for free tiers: </w:t>
            </w:r>
            <w:r>
              <w:rPr>
                <w:rFonts w:ascii="Calibri" w:cs="Calibri" w:eastAsia="Calibri" w:hAnsi="Calibri"/>
                <w:color w:val="5F5E5A"/>
                <w:sz w:val="20"/>
                <w:szCs w:val="20"/>
              </w:rPr>
              <w:t xml:space="preserve">Use each tool for one week. Feel exactly where they break. Those breaking points are your pitch.</w:t>
            </w:r>
          </w:p>
          <w:p>
            <w:pPr>
              <w:pStyle w:val="ListParagraph"/>
              <w:numPr>
                <w:ilvl w:val="0"/>
                <w:numId w:val="2"/>
              </w:numPr>
              <w:spacing w:after="30" w:before="30"/>
            </w:pPr>
            <w:r>
              <w:rPr>
                <w:rFonts w:ascii="Calibri" w:cs="Calibri" w:eastAsia="Calibri" w:hAnsi="Calibri"/>
                <w:color w:val="5F5E5A"/>
                <w:sz w:val="20"/>
                <w:szCs w:val="20"/>
              </w:rPr>
              <w:t xml:space="preserve">Map pricing, customers, and gaps for each one.</w:t>
            </w:r>
          </w:p>
          <w:p>
            <w:pPr>
              <w:pStyle w:val="ListParagraph"/>
              <w:numPr>
                <w:ilvl w:val="0"/>
                <w:numId w:val="2"/>
              </w:numPr>
              <w:spacing w:after="30" w:before="30"/>
            </w:pPr>
            <w:r>
              <w:rPr>
                <w:rFonts w:ascii="Calibri" w:cs="Calibri" w:eastAsia="Calibri" w:hAnsi="Calibri"/>
                <w:color w:val="5F5E5A"/>
                <w:sz w:val="20"/>
                <w:szCs w:val="20"/>
              </w:rPr>
              <w:t xml:space="preserve">Find 3 things none of them do that your future customers desperately need.</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Borders>
              <w:top w:val="none" w:color="FFFFFF" w:sz="0"/>
              <w:left w:val="none" w:color="FFFFFF" w:sz="0"/>
              <w:bottom w:val="none" w:color="FFFFFF" w:sz="0"/>
              <w:right w:val="none" w:color="FFFFFF" w:sz="0"/>
            </w:tcBorders>
            <w:shd w:fill="0F6E56" w:val="clear"/>
            <w:tcMar>
              <w:top w:type="dxa" w:w="0"/>
              <w:left w:type="dxa" w:w="0"/>
              <w:bottom w:type="dxa" w:w="0"/>
              <w:right w:type="dxa" w:w="0"/>
            </w:tcMar>
            <w:vAlign w:val="center"/>
          </w:tcPr>
          <w:p>
            <w:pPr>
              <w:jc w:val="center"/>
            </w:pPr>
            <w:r>
              <w:rPr>
                <w:rFonts w:ascii="Calibri" w:cs="Calibri" w:eastAsia="Calibri" w:hAnsi="Calibri"/>
                <w:b/>
                <w:bCs/>
                <w:color w:val="FFFFFF"/>
                <w:sz w:val="36"/>
                <w:szCs w:val="36"/>
              </w:rPr>
              <w:t xml:space="preserve">2</w:t>
            </w:r>
          </w:p>
        </w:tc>
        <w:tc>
          <w:tcPr>
            <w:tcBorders>
              <w:top w:val="none" w:color="FFFFFF" w:sz="0"/>
              <w:left w:val="single" w:color="1D9E75" w:sz="4"/>
              <w:bottom w:val="single" w:color="D3D1C7" w:sz="1"/>
              <w:right w:val="none" w:color="FFFFFF" w:sz="0"/>
            </w:tcBorders>
            <w:shd w:fill="FFFFFF" w:val="clear"/>
            <w:tcMar>
              <w:top w:type="dxa" w:w="120"/>
              <w:left w:type="dxa" w:w="180"/>
              <w:bottom w:type="dxa" w:w="120"/>
              <w:right w:type="dxa" w:w="80"/>
            </w:tcMar>
          </w:tcPr>
          <w:p>
            <w:pPr>
              <w:spacing w:after="40" w:before="0"/>
            </w:pPr>
            <w:r>
              <w:rPr>
                <w:rFonts w:ascii="Calibri" w:cs="Calibri" w:eastAsia="Calibri" w:hAnsi="Calibri"/>
                <w:b/>
                <w:bCs/>
                <w:color w:val="1D9E75"/>
                <w:sz w:val="17"/>
                <w:szCs w:val="17"/>
              </w:rPr>
              <w:t xml:space="preserve">DO THIS FIRST  </w:t>
            </w:r>
            <w:r>
              <w:rPr>
                <w:rFonts w:ascii="Calibri" w:cs="Calibri" w:eastAsia="Calibri" w:hAnsi="Calibri"/>
                <w:color w:val="B4B2A9"/>
                <w:sz w:val="17"/>
                <w:szCs w:val="17"/>
              </w:rPr>
              <w:t xml:space="preserve">Week 1–2</w:t>
            </w:r>
          </w:p>
          <w:p>
            <w:pPr>
              <w:spacing w:after="80" w:before="0"/>
            </w:pPr>
            <w:r>
              <w:rPr>
                <w:rFonts w:ascii="Calibri" w:cs="Calibri" w:eastAsia="Calibri" w:hAnsi="Calibri"/>
                <w:b/>
                <w:bCs/>
                <w:color w:val="111110"/>
                <w:sz w:val="24"/>
                <w:szCs w:val="24"/>
              </w:rPr>
              <w:t xml:space="preserve">Talk to 10 real people before building anything</w:t>
            </w:r>
          </w:p>
          <w:p>
            <w:pPr>
              <w:pStyle w:val="ListParagraph"/>
              <w:numPr>
                <w:ilvl w:val="0"/>
                <w:numId w:val="2"/>
              </w:numPr>
              <w:spacing w:after="30" w:before="30"/>
            </w:pPr>
            <w:r>
              <w:rPr>
                <w:rFonts w:ascii="Calibri" w:cs="Calibri" w:eastAsia="Calibri" w:hAnsi="Calibri"/>
                <w:b/>
                <w:bCs/>
                <w:color w:val="2C2C2A"/>
                <w:sz w:val="20"/>
                <w:szCs w:val="20"/>
              </w:rPr>
              <w:t xml:space="preserve">Find them on LinkedIn: </w:t>
            </w:r>
            <w:r>
              <w:rPr>
                <w:rFonts w:ascii="Calibri" w:cs="Calibri" w:eastAsia="Calibri" w:hAnsi="Calibri"/>
                <w:color w:val="5F5E5A"/>
                <w:sz w:val="20"/>
                <w:szCs w:val="20"/>
              </w:rPr>
              <w:t xml:space="preserve">Search 'Head of Sustainability' + cloud or data center companies.</w:t>
            </w:r>
          </w:p>
          <w:p>
            <w:pPr>
              <w:pStyle w:val="ListParagraph"/>
              <w:numPr>
                <w:ilvl w:val="0"/>
                <w:numId w:val="2"/>
              </w:numPr>
              <w:spacing w:after="30" w:before="30"/>
            </w:pPr>
            <w:r>
              <w:rPr>
                <w:rFonts w:ascii="Calibri" w:cs="Calibri" w:eastAsia="Calibri" w:hAnsi="Calibri"/>
                <w:b/>
                <w:bCs/>
                <w:color w:val="2C2C2A"/>
                <w:sz w:val="20"/>
                <w:szCs w:val="20"/>
              </w:rPr>
              <w:t xml:space="preserve">Ask these questions: </w:t>
            </w:r>
            <w:r>
              <w:rPr>
                <w:rFonts w:ascii="Calibri" w:cs="Calibri" w:eastAsia="Calibri" w:hAnsi="Calibri"/>
                <w:color w:val="5F5E5A"/>
                <w:sz w:val="20"/>
                <w:szCs w:val="20"/>
              </w:rPr>
              <w:t xml:space="preserve">What tools do you use today? What is broken? What would you pay to fix? Where does your reporting process break down?</w:t>
            </w:r>
          </w:p>
          <w:p>
            <w:pPr>
              <w:pStyle w:val="ListParagraph"/>
              <w:numPr>
                <w:ilvl w:val="0"/>
                <w:numId w:val="2"/>
              </w:numPr>
              <w:spacing w:after="30" w:before="30"/>
            </w:pPr>
            <w:r>
              <w:rPr>
                <w:rFonts w:ascii="Calibri" w:cs="Calibri" w:eastAsia="Calibri" w:hAnsi="Calibri"/>
                <w:color w:val="5F5E5A"/>
                <w:sz w:val="20"/>
                <w:szCs w:val="20"/>
              </w:rPr>
              <w:t xml:space="preserve">Never pitch. Only listen. You are buying information, not selling yet.</w:t>
            </w:r>
          </w:p>
          <w:p>
            <w:pPr>
              <w:pStyle w:val="ListParagraph"/>
              <w:numPr>
                <w:ilvl w:val="0"/>
                <w:numId w:val="2"/>
              </w:numPr>
              <w:spacing w:after="30" w:before="30"/>
            </w:pPr>
            <w:r>
              <w:rPr>
                <w:rFonts w:ascii="Calibri" w:cs="Calibri" w:eastAsia="Calibri" w:hAnsi="Calibri"/>
                <w:color w:val="5F5E5A"/>
                <w:sz w:val="20"/>
                <w:szCs w:val="20"/>
              </w:rPr>
              <w:t xml:space="preserve">Goal: 10 conversations in 2 weeks. One hour of listening buys more certainty than one month of building.</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Borders>
              <w:top w:val="none" w:color="FFFFFF" w:sz="0"/>
              <w:left w:val="none" w:color="FFFFFF" w:sz="0"/>
              <w:bottom w:val="none" w:color="FFFFFF" w:sz="0"/>
              <w:right w:val="none" w:color="FFFFFF" w:sz="0"/>
            </w:tcBorders>
            <w:shd w:fill="0F6E56" w:val="clear"/>
            <w:tcMar>
              <w:top w:type="dxa" w:w="0"/>
              <w:left w:type="dxa" w:w="0"/>
              <w:bottom w:type="dxa" w:w="0"/>
              <w:right w:type="dxa" w:w="0"/>
            </w:tcMar>
            <w:vAlign w:val="center"/>
          </w:tcPr>
          <w:p>
            <w:pPr>
              <w:jc w:val="center"/>
            </w:pPr>
            <w:r>
              <w:rPr>
                <w:rFonts w:ascii="Calibri" w:cs="Calibri" w:eastAsia="Calibri" w:hAnsi="Calibri"/>
                <w:b/>
                <w:bCs/>
                <w:color w:val="FFFFFF"/>
                <w:sz w:val="36"/>
                <w:szCs w:val="36"/>
              </w:rPr>
              <w:t xml:space="preserve">3</w:t>
            </w:r>
          </w:p>
        </w:tc>
        <w:tc>
          <w:tcPr>
            <w:tcBorders>
              <w:top w:val="none" w:color="FFFFFF" w:sz="0"/>
              <w:left w:val="single" w:color="1D9E75" w:sz="4"/>
              <w:bottom w:val="single" w:color="D3D1C7" w:sz="1"/>
              <w:right w:val="none" w:color="FFFFFF" w:sz="0"/>
            </w:tcBorders>
            <w:shd w:fill="FFFFFF" w:val="clear"/>
            <w:tcMar>
              <w:top w:type="dxa" w:w="120"/>
              <w:left w:type="dxa" w:w="180"/>
              <w:bottom w:type="dxa" w:w="120"/>
              <w:right w:type="dxa" w:w="80"/>
            </w:tcMar>
          </w:tcPr>
          <w:p>
            <w:pPr>
              <w:spacing w:after="40" w:before="0"/>
            </w:pPr>
            <w:r>
              <w:rPr>
                <w:rFonts w:ascii="Calibri" w:cs="Calibri" w:eastAsia="Calibri" w:hAnsi="Calibri"/>
                <w:b/>
                <w:bCs/>
                <w:color w:val="1D9E75"/>
                <w:sz w:val="17"/>
                <w:szCs w:val="17"/>
              </w:rPr>
              <w:t xml:space="preserve">DO THIS FIRST  </w:t>
            </w:r>
            <w:r>
              <w:rPr>
                <w:rFonts w:ascii="Calibri" w:cs="Calibri" w:eastAsia="Calibri" w:hAnsi="Calibri"/>
                <w:color w:val="B4B2A9"/>
                <w:sz w:val="17"/>
                <w:szCs w:val="17"/>
              </w:rPr>
              <w:t xml:space="preserve">Week 2</w:t>
            </w:r>
          </w:p>
          <w:p>
            <w:pPr>
              <w:spacing w:after="80" w:before="0"/>
            </w:pPr>
            <w:r>
              <w:rPr>
                <w:rFonts w:ascii="Calibri" w:cs="Calibri" w:eastAsia="Calibri" w:hAnsi="Calibri"/>
                <w:b/>
                <w:bCs/>
                <w:color w:val="111110"/>
                <w:sz w:val="24"/>
                <w:szCs w:val="24"/>
              </w:rPr>
              <w:t xml:space="preserve">Define your single sharp wedge</w:t>
            </w:r>
          </w:p>
          <w:p>
            <w:pPr>
              <w:pStyle w:val="ListParagraph"/>
              <w:numPr>
                <w:ilvl w:val="0"/>
                <w:numId w:val="2"/>
              </w:numPr>
              <w:spacing w:after="30" w:before="30"/>
            </w:pPr>
            <w:r>
              <w:rPr>
                <w:rFonts w:ascii="Calibri" w:cs="Calibri" w:eastAsia="Calibri" w:hAnsi="Calibri"/>
                <w:color w:val="5F5E5A"/>
                <w:sz w:val="20"/>
                <w:szCs w:val="20"/>
              </w:rPr>
              <w:t xml:space="preserve">After 10 conversations you will hear one pain point louder than everything else. That is your wedge.</w:t>
            </w:r>
          </w:p>
          <w:p>
            <w:pPr>
              <w:pStyle w:val="ListParagraph"/>
              <w:numPr>
                <w:ilvl w:val="0"/>
                <w:numId w:val="2"/>
              </w:numPr>
              <w:spacing w:after="30" w:before="30"/>
            </w:pPr>
            <w:r>
              <w:rPr>
                <w:rFonts w:ascii="Calibri" w:cs="Calibri" w:eastAsia="Calibri" w:hAnsi="Calibri"/>
                <w:b/>
                <w:bCs/>
                <w:color w:val="2C2C2A"/>
                <w:sz w:val="20"/>
                <w:szCs w:val="20"/>
              </w:rPr>
              <w:t xml:space="preserve">Write one sentence: </w:t>
            </w:r>
            <w:r>
              <w:rPr>
                <w:rFonts w:ascii="Calibri" w:cs="Calibri" w:eastAsia="Calibri" w:hAnsi="Calibri"/>
                <w:color w:val="5F5E5A"/>
                <w:sz w:val="20"/>
                <w:szCs w:val="20"/>
              </w:rPr>
              <w:t xml:space="preserve">"We help [who] do [what] better than [alternative]." If you cannot write it in one sentence, you are not sharp enough yet.</w:t>
            </w:r>
          </w:p>
          <w:p>
            <w:pPr>
              <w:pStyle w:val="ListParagraph"/>
              <w:numPr>
                <w:ilvl w:val="0"/>
                <w:numId w:val="2"/>
              </w:numPr>
              <w:spacing w:after="30" w:before="30"/>
            </w:pPr>
            <w:r>
              <w:rPr>
                <w:rFonts w:ascii="Calibri" w:cs="Calibri" w:eastAsia="Calibri" w:hAnsi="Calibri"/>
                <w:color w:val="5F5E5A"/>
                <w:sz w:val="20"/>
                <w:szCs w:val="20"/>
              </w:rPr>
              <w:t xml:space="preserve">Kill every feature that is not the wedge — for now.</w:t>
            </w:r>
          </w:p>
          <w:p>
            <w:pPr>
              <w:pStyle w:val="ListParagraph"/>
              <w:numPr>
                <w:ilvl w:val="0"/>
                <w:numId w:val="2"/>
              </w:numPr>
              <w:spacing w:after="30" w:before="30"/>
            </w:pPr>
            <w:r>
              <w:rPr>
                <w:rFonts w:ascii="Calibri" w:cs="Calibri" w:eastAsia="Calibri" w:hAnsi="Calibri"/>
                <w:b/>
                <w:bCs/>
                <w:color w:val="2C2C2A"/>
                <w:sz w:val="20"/>
                <w:szCs w:val="20"/>
              </w:rPr>
              <w:t xml:space="preserve">Your four gap candidates: </w:t>
            </w:r>
            <w:r>
              <w:rPr>
                <w:rFonts w:ascii="Calibri" w:cs="Calibri" w:eastAsia="Calibri" w:hAnsi="Calibri"/>
                <w:color w:val="5F5E5A"/>
                <w:sz w:val="20"/>
                <w:szCs w:val="20"/>
              </w:rPr>
              <w:t xml:space="preserve">Global DC mapping / 10-year ML forecasting / Prescriptive recommendations engine / EU regulatory compliance for data centers.</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Borders>
              <w:top w:val="none" w:color="FFFFFF" w:sz="0"/>
              <w:left w:val="none" w:color="FFFFFF" w:sz="0"/>
              <w:bottom w:val="none" w:color="FFFFFF" w:sz="0"/>
              <w:right w:val="none" w:color="FFFFFF" w:sz="0"/>
            </w:tcBorders>
            <w:shd w:fill="B4B2A9" w:val="clear"/>
            <w:tcMar>
              <w:top w:type="dxa" w:w="0"/>
              <w:left w:type="dxa" w:w="0"/>
              <w:bottom w:type="dxa" w:w="0"/>
              <w:right w:type="dxa" w:w="0"/>
            </w:tcMar>
            <w:vAlign w:val="center"/>
          </w:tcPr>
          <w:p>
            <w:pPr>
              <w:jc w:val="center"/>
            </w:pPr>
            <w:r>
              <w:rPr>
                <w:rFonts w:ascii="Calibri" w:cs="Calibri" w:eastAsia="Calibri" w:hAnsi="Calibri"/>
                <w:b/>
                <w:bCs/>
                <w:color w:val="FFFFFF"/>
                <w:sz w:val="36"/>
                <w:szCs w:val="36"/>
              </w:rPr>
              <w:t xml:space="preserve">4</w:t>
            </w:r>
          </w:p>
        </w:tc>
        <w:tc>
          <w:tcPr>
            <w:tcBorders>
              <w:top w:val="none" w:color="FFFFFF" w:sz="0"/>
              <w:left w:val="single" w:color="D3D1C7" w:sz="4"/>
              <w:bottom w:val="single" w:color="D3D1C7" w:sz="1"/>
              <w:right w:val="none" w:color="FFFFFF" w:sz="0"/>
            </w:tcBorders>
            <w:shd w:fill="FFFFFF" w:val="clear"/>
            <w:tcMar>
              <w:top w:type="dxa" w:w="120"/>
              <w:left w:type="dxa" w:w="180"/>
              <w:bottom w:type="dxa" w:w="120"/>
              <w:right w:type="dxa" w:w="80"/>
            </w:tcMar>
          </w:tcPr>
          <w:p>
            <w:pPr>
              <w:spacing w:after="40" w:before="0"/>
            </w:pPr>
            <w:r>
              <w:rPr>
                <w:rFonts w:ascii="Calibri" w:cs="Calibri" w:eastAsia="Calibri" w:hAnsi="Calibri"/>
                <w:b/>
                <w:bCs/>
                <w:color w:val="B4B2A9"/>
                <w:sz w:val="17"/>
                <w:szCs w:val="17"/>
              </w:rPr>
              <w:t xml:space="preserve">THEN DO THIS  </w:t>
            </w:r>
            <w:r>
              <w:rPr>
                <w:rFonts w:ascii="Calibri" w:cs="Calibri" w:eastAsia="Calibri" w:hAnsi="Calibri"/>
                <w:color w:val="B4B2A9"/>
                <w:sz w:val="17"/>
                <w:szCs w:val="17"/>
              </w:rPr>
              <w:t xml:space="preserve">Week 2–3</w:t>
            </w:r>
          </w:p>
          <w:p>
            <w:pPr>
              <w:spacing w:after="80" w:before="0"/>
            </w:pPr>
            <w:r>
              <w:rPr>
                <w:rFonts w:ascii="Calibri" w:cs="Calibri" w:eastAsia="Calibri" w:hAnsi="Calibri"/>
                <w:b/>
                <w:bCs/>
                <w:color w:val="111110"/>
                <w:sz w:val="24"/>
                <w:szCs w:val="24"/>
              </w:rPr>
              <w:t xml:space="preserve">Lock the name and register everything</w:t>
            </w:r>
          </w:p>
          <w:p>
            <w:pPr>
              <w:pStyle w:val="ListParagraph"/>
              <w:numPr>
                <w:ilvl w:val="0"/>
                <w:numId w:val="2"/>
              </w:numPr>
              <w:spacing w:after="30" w:before="30"/>
            </w:pPr>
            <w:r>
              <w:rPr>
                <w:rFonts w:ascii="Calibri" w:cs="Calibri" w:eastAsia="Calibri" w:hAnsi="Calibri"/>
                <w:b/>
                <w:bCs/>
                <w:color w:val="2C2C2A"/>
                <w:sz w:val="20"/>
                <w:szCs w:val="20"/>
              </w:rPr>
              <w:t xml:space="preserve">Brand name: </w:t>
            </w:r>
            <w:r>
              <w:rPr>
                <w:rFonts w:ascii="Calibri" w:cs="Calibri" w:eastAsia="Calibri" w:hAnsi="Calibri"/>
                <w:color w:val="5F5E5A"/>
                <w:sz w:val="20"/>
                <w:szCs w:val="20"/>
              </w:rPr>
              <w:t xml:space="preserve">Flaer — the signal that lights up what your infrastructure has been hiding. One syllable, impossible to mispronounce, carries the exact metaphor of your product.</w:t>
            </w:r>
          </w:p>
          <w:p>
            <w:pPr>
              <w:pStyle w:val="ListParagraph"/>
              <w:numPr>
                <w:ilvl w:val="0"/>
                <w:numId w:val="2"/>
              </w:numPr>
              <w:spacing w:after="30" w:before="30"/>
            </w:pPr>
            <w:r>
              <w:rPr>
                <w:rFonts w:ascii="Calibri" w:cs="Calibri" w:eastAsia="Calibri" w:hAnsi="Calibri"/>
                <w:color w:val="5F5E5A"/>
                <w:sz w:val="20"/>
                <w:szCs w:val="20"/>
              </w:rPr>
              <w:t xml:space="preserve">Run trademark clearance via USPTO TESS + EUIPO. Budget €200–500 for an attorney.</w:t>
            </w:r>
          </w:p>
          <w:p>
            <w:pPr>
              <w:pStyle w:val="ListParagraph"/>
              <w:numPr>
                <w:ilvl w:val="0"/>
                <w:numId w:val="2"/>
              </w:numPr>
              <w:spacing w:after="30" w:before="30"/>
            </w:pPr>
            <w:r>
              <w:rPr>
                <w:rFonts w:ascii="Calibri" w:cs="Calibri" w:eastAsia="Calibri" w:hAnsi="Calibri"/>
                <w:color w:val="5F5E5A"/>
                <w:sz w:val="20"/>
                <w:szCs w:val="20"/>
              </w:rPr>
              <w:t xml:space="preserve">Register .io and .com domain immediately — domains disappear.</w:t>
            </w:r>
          </w:p>
          <w:p>
            <w:pPr>
              <w:pStyle w:val="ListParagraph"/>
              <w:numPr>
                <w:ilvl w:val="0"/>
                <w:numId w:val="2"/>
              </w:numPr>
              <w:spacing w:after="30" w:before="30"/>
            </w:pPr>
            <w:r>
              <w:rPr>
                <w:rFonts w:ascii="Calibri" w:cs="Calibri" w:eastAsia="Calibri" w:hAnsi="Calibri"/>
                <w:color w:val="5F5E5A"/>
                <w:sz w:val="20"/>
                <w:szCs w:val="20"/>
              </w:rPr>
              <w:t xml:space="preserve">Register company: sp. z o.o. in Poland or e-Residency Estonia.</w:t>
            </w:r>
          </w:p>
          <w:p>
            <w:pPr>
              <w:pStyle w:val="ListParagraph"/>
              <w:numPr>
                <w:ilvl w:val="0"/>
                <w:numId w:val="2"/>
              </w:numPr>
              <w:spacing w:after="30" w:before="30"/>
            </w:pPr>
            <w:r>
              <w:rPr>
                <w:rFonts w:ascii="Calibri" w:cs="Calibri" w:eastAsia="Calibri" w:hAnsi="Calibri"/>
                <w:color w:val="5F5E5A"/>
                <w:sz w:val="20"/>
                <w:szCs w:val="20"/>
              </w:rPr>
              <w:t xml:space="preserve">File EUIPO trademark (covers all 27 EU member states).</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Borders>
              <w:top w:val="none" w:color="FFFFFF" w:sz="0"/>
              <w:left w:val="none" w:color="FFFFFF" w:sz="0"/>
              <w:bottom w:val="none" w:color="FFFFFF" w:sz="0"/>
              <w:right w:val="none" w:color="FFFFFF" w:sz="0"/>
            </w:tcBorders>
            <w:shd w:fill="B4B2A9" w:val="clear"/>
            <w:tcMar>
              <w:top w:type="dxa" w:w="0"/>
              <w:left w:type="dxa" w:w="0"/>
              <w:bottom w:type="dxa" w:w="0"/>
              <w:right w:type="dxa" w:w="0"/>
            </w:tcMar>
            <w:vAlign w:val="center"/>
          </w:tcPr>
          <w:p>
            <w:pPr>
              <w:jc w:val="center"/>
            </w:pPr>
            <w:r>
              <w:rPr>
                <w:rFonts w:ascii="Calibri" w:cs="Calibri" w:eastAsia="Calibri" w:hAnsi="Calibri"/>
                <w:b/>
                <w:bCs/>
                <w:color w:val="FFFFFF"/>
                <w:sz w:val="36"/>
                <w:szCs w:val="36"/>
              </w:rPr>
              <w:t xml:space="preserve">5</w:t>
            </w:r>
          </w:p>
        </w:tc>
        <w:tc>
          <w:tcPr>
            <w:tcBorders>
              <w:top w:val="none" w:color="FFFFFF" w:sz="0"/>
              <w:left w:val="single" w:color="D3D1C7" w:sz="4"/>
              <w:bottom w:val="single" w:color="D3D1C7" w:sz="1"/>
              <w:right w:val="none" w:color="FFFFFF" w:sz="0"/>
            </w:tcBorders>
            <w:shd w:fill="FFFFFF" w:val="clear"/>
            <w:tcMar>
              <w:top w:type="dxa" w:w="120"/>
              <w:left w:type="dxa" w:w="180"/>
              <w:bottom w:type="dxa" w:w="120"/>
              <w:right w:type="dxa" w:w="80"/>
            </w:tcMar>
          </w:tcPr>
          <w:p>
            <w:pPr>
              <w:spacing w:after="40" w:before="0"/>
            </w:pPr>
            <w:r>
              <w:rPr>
                <w:rFonts w:ascii="Calibri" w:cs="Calibri" w:eastAsia="Calibri" w:hAnsi="Calibri"/>
                <w:b/>
                <w:bCs/>
                <w:color w:val="B4B2A9"/>
                <w:sz w:val="17"/>
                <w:szCs w:val="17"/>
              </w:rPr>
              <w:t xml:space="preserve">THEN DO THIS  </w:t>
            </w:r>
            <w:r>
              <w:rPr>
                <w:rFonts w:ascii="Calibri" w:cs="Calibri" w:eastAsia="Calibri" w:hAnsi="Calibri"/>
                <w:color w:val="B4B2A9"/>
                <w:sz w:val="17"/>
                <w:szCs w:val="17"/>
              </w:rPr>
              <w:t xml:space="preserve">Week 3–4</w:t>
            </w:r>
          </w:p>
          <w:p>
            <w:pPr>
              <w:spacing w:after="80" w:before="0"/>
            </w:pPr>
            <w:r>
              <w:rPr>
                <w:rFonts w:ascii="Calibri" w:cs="Calibri" w:eastAsia="Calibri" w:hAnsi="Calibri"/>
                <w:b/>
                <w:bCs/>
                <w:color w:val="111110"/>
                <w:sz w:val="24"/>
                <w:szCs w:val="24"/>
              </w:rPr>
              <w:t xml:space="preserve">Build a landing page — not a product</w:t>
            </w:r>
          </w:p>
          <w:p>
            <w:pPr>
              <w:pStyle w:val="ListParagraph"/>
              <w:numPr>
                <w:ilvl w:val="0"/>
                <w:numId w:val="2"/>
              </w:numPr>
              <w:spacing w:after="30" w:before="30"/>
            </w:pPr>
            <w:r>
              <w:rPr>
                <w:rFonts w:ascii="Calibri" w:cs="Calibri" w:eastAsia="Calibri" w:hAnsi="Calibri"/>
                <w:b/>
                <w:bCs/>
                <w:color w:val="2C2C2A"/>
                <w:sz w:val="20"/>
                <w:szCs w:val="20"/>
              </w:rPr>
              <w:t xml:space="preserve">One page only: </w:t>
            </w:r>
            <w:r>
              <w:rPr>
                <w:rFonts w:ascii="Calibri" w:cs="Calibri" w:eastAsia="Calibri" w:hAnsi="Calibri"/>
                <w:color w:val="5F5E5A"/>
                <w:sz w:val="20"/>
                <w:szCs w:val="20"/>
              </w:rPr>
              <w:t xml:space="preserve">Value proposition, demo video of existing MVP, and email capture.</w:t>
            </w:r>
          </w:p>
          <w:p>
            <w:pPr>
              <w:pStyle w:val="ListParagraph"/>
              <w:numPr>
                <w:ilvl w:val="0"/>
                <w:numId w:val="2"/>
              </w:numPr>
              <w:spacing w:after="30" w:before="30"/>
            </w:pPr>
            <w:r>
              <w:rPr>
                <w:rFonts w:ascii="Calibri" w:cs="Calibri" w:eastAsia="Calibri" w:hAnsi="Calibri"/>
                <w:color w:val="5F5E5A"/>
                <w:sz w:val="20"/>
                <w:szCs w:val="20"/>
              </w:rPr>
              <w:t xml:space="preserve">Goal: 100 waitlist signups before writing new code.</w:t>
            </w:r>
          </w:p>
          <w:p>
            <w:pPr>
              <w:pStyle w:val="ListParagraph"/>
              <w:numPr>
                <w:ilvl w:val="0"/>
                <w:numId w:val="2"/>
              </w:numPr>
              <w:spacing w:after="30" w:before="30"/>
            </w:pPr>
            <w:r>
              <w:rPr>
                <w:rFonts w:ascii="Calibri" w:cs="Calibri" w:eastAsia="Calibri" w:hAnsi="Calibri"/>
                <w:b/>
                <w:bCs/>
                <w:color w:val="2C2C2A"/>
                <w:sz w:val="20"/>
                <w:szCs w:val="20"/>
              </w:rPr>
              <w:t xml:space="preserve">Technology: </w:t>
            </w:r>
            <w:r>
              <w:rPr>
                <w:rFonts w:ascii="Calibri" w:cs="Calibri" w:eastAsia="Calibri" w:hAnsi="Calibri"/>
                <w:color w:val="5F5E5A"/>
                <w:sz w:val="20"/>
                <w:szCs w:val="20"/>
              </w:rPr>
              <w:t xml:space="preserve">Framer, Webflow, or Next.js. Deploy in under one week.</w:t>
            </w:r>
          </w:p>
          <w:p>
            <w:pPr>
              <w:pStyle w:val="ListParagraph"/>
              <w:numPr>
                <w:ilvl w:val="0"/>
                <w:numId w:val="2"/>
              </w:numPr>
              <w:spacing w:after="30" w:before="30"/>
            </w:pPr>
            <w:r>
              <w:rPr>
                <w:rFonts w:ascii="Calibri" w:cs="Calibri" w:eastAsia="Calibri" w:hAnsi="Calibri"/>
                <w:color w:val="5F5E5A"/>
                <w:sz w:val="20"/>
                <w:szCs w:val="20"/>
              </w:rPr>
              <w:t xml:space="preserve">Post on LinkedIn every day for 30 days about the problem — not about your product.</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Borders>
              <w:top w:val="none" w:color="FFFFFF" w:sz="0"/>
              <w:left w:val="none" w:color="FFFFFF" w:sz="0"/>
              <w:bottom w:val="none" w:color="FFFFFF" w:sz="0"/>
              <w:right w:val="none" w:color="FFFFFF" w:sz="0"/>
            </w:tcBorders>
            <w:shd w:fill="B4B2A9" w:val="clear"/>
            <w:tcMar>
              <w:top w:type="dxa" w:w="0"/>
              <w:left w:type="dxa" w:w="0"/>
              <w:bottom w:type="dxa" w:w="0"/>
              <w:right w:type="dxa" w:w="0"/>
            </w:tcMar>
            <w:vAlign w:val="center"/>
          </w:tcPr>
          <w:p>
            <w:pPr>
              <w:jc w:val="center"/>
            </w:pPr>
            <w:r>
              <w:rPr>
                <w:rFonts w:ascii="Calibri" w:cs="Calibri" w:eastAsia="Calibri" w:hAnsi="Calibri"/>
                <w:b/>
                <w:bCs/>
                <w:color w:val="FFFFFF"/>
                <w:sz w:val="36"/>
                <w:szCs w:val="36"/>
              </w:rPr>
              <w:t xml:space="preserve">6</w:t>
            </w:r>
          </w:p>
        </w:tc>
        <w:tc>
          <w:tcPr>
            <w:tcBorders>
              <w:top w:val="none" w:color="FFFFFF" w:sz="0"/>
              <w:left w:val="single" w:color="D3D1C7" w:sz="4"/>
              <w:bottom w:val="single" w:color="D3D1C7" w:sz="1"/>
              <w:right w:val="none" w:color="FFFFFF" w:sz="0"/>
            </w:tcBorders>
            <w:shd w:fill="FFFFFF" w:val="clear"/>
            <w:tcMar>
              <w:top w:type="dxa" w:w="120"/>
              <w:left w:type="dxa" w:w="180"/>
              <w:bottom w:type="dxa" w:w="120"/>
              <w:right w:type="dxa" w:w="80"/>
            </w:tcMar>
          </w:tcPr>
          <w:p>
            <w:pPr>
              <w:spacing w:after="40" w:before="0"/>
            </w:pPr>
            <w:r>
              <w:rPr>
                <w:rFonts w:ascii="Calibri" w:cs="Calibri" w:eastAsia="Calibri" w:hAnsi="Calibri"/>
                <w:b/>
                <w:bCs/>
                <w:color w:val="B4B2A9"/>
                <w:sz w:val="17"/>
                <w:szCs w:val="17"/>
              </w:rPr>
              <w:t xml:space="preserve">THEN DO THIS  </w:t>
            </w:r>
            <w:r>
              <w:rPr>
                <w:rFonts w:ascii="Calibri" w:cs="Calibri" w:eastAsia="Calibri" w:hAnsi="Calibri"/>
                <w:color w:val="B4B2A9"/>
                <w:sz w:val="17"/>
                <w:szCs w:val="17"/>
              </w:rPr>
              <w:t xml:space="preserve">Week 4–6</w:t>
            </w:r>
          </w:p>
          <w:p>
            <w:pPr>
              <w:spacing w:after="80" w:before="0"/>
            </w:pPr>
            <w:r>
              <w:rPr>
                <w:rFonts w:ascii="Calibri" w:cs="Calibri" w:eastAsia="Calibri" w:hAnsi="Calibri"/>
                <w:b/>
                <w:bCs/>
                <w:color w:val="111110"/>
                <w:sz w:val="24"/>
                <w:szCs w:val="24"/>
              </w:rPr>
              <w:t xml:space="preserve">Recruit 3 pilot customers using your existing MVP</w:t>
            </w:r>
          </w:p>
          <w:p>
            <w:pPr>
              <w:pStyle w:val="ListParagraph"/>
              <w:numPr>
                <w:ilvl w:val="0"/>
                <w:numId w:val="2"/>
              </w:numPr>
              <w:spacing w:after="30" w:before="30"/>
            </w:pPr>
            <w:r>
              <w:rPr>
                <w:rFonts w:ascii="Calibri" w:cs="Calibri" w:eastAsia="Calibri" w:hAnsi="Calibri"/>
                <w:color w:val="5F5E5A"/>
                <w:sz w:val="20"/>
                <w:szCs w:val="20"/>
              </w:rPr>
              <w:t xml:space="preserve">Use the existing Python/Dash MVP. It does not need to be beautiful. It needs to work.</w:t>
            </w:r>
          </w:p>
          <w:p>
            <w:pPr>
              <w:pStyle w:val="ListParagraph"/>
              <w:numPr>
                <w:ilvl w:val="0"/>
                <w:numId w:val="2"/>
              </w:numPr>
              <w:spacing w:after="30" w:before="30"/>
            </w:pPr>
            <w:r>
              <w:rPr>
                <w:rFonts w:ascii="Calibri" w:cs="Calibri" w:eastAsia="Calibri" w:hAnsi="Calibri"/>
                <w:b/>
                <w:bCs/>
                <w:color w:val="2C2C2A"/>
                <w:sz w:val="20"/>
                <w:szCs w:val="20"/>
              </w:rPr>
              <w:t xml:space="preserve">Offer: </w:t>
            </w:r>
            <w:r>
              <w:rPr>
                <w:rFonts w:ascii="Calibri" w:cs="Calibri" w:eastAsia="Calibri" w:hAnsi="Calibri"/>
                <w:color w:val="5F5E5A"/>
                <w:sz w:val="20"/>
                <w:szCs w:val="20"/>
              </w:rPr>
              <w:t xml:space="preserve">Free access in exchange for weekly 30-minute feedback calls and a signed case study release.</w:t>
            </w:r>
          </w:p>
          <w:p>
            <w:pPr>
              <w:pStyle w:val="ListParagraph"/>
              <w:numPr>
                <w:ilvl w:val="0"/>
                <w:numId w:val="2"/>
              </w:numPr>
              <w:spacing w:after="30" w:before="30"/>
            </w:pPr>
            <w:r>
              <w:rPr>
                <w:rFonts w:ascii="Calibri" w:cs="Calibri" w:eastAsia="Calibri" w:hAnsi="Calibri"/>
                <w:b/>
                <w:bCs/>
                <w:color w:val="2C2C2A"/>
                <w:sz w:val="20"/>
                <w:szCs w:val="20"/>
              </w:rPr>
              <w:t xml:space="preserve">Target: </w:t>
            </w:r>
            <w:r>
              <w:rPr>
                <w:rFonts w:ascii="Calibri" w:cs="Calibri" w:eastAsia="Calibri" w:hAnsi="Calibri"/>
                <w:color w:val="5F5E5A"/>
                <w:sz w:val="20"/>
                <w:szCs w:val="20"/>
              </w:rPr>
              <w:t xml:space="preserve">Mid-size colocation operators with public net-zero commitments and EU regulatory exposure.</w:t>
            </w:r>
          </w:p>
          <w:p>
            <w:pPr>
              <w:pStyle w:val="ListParagraph"/>
              <w:numPr>
                <w:ilvl w:val="0"/>
                <w:numId w:val="2"/>
              </w:numPr>
              <w:spacing w:after="30" w:before="30"/>
            </w:pPr>
            <w:r>
              <w:rPr>
                <w:rFonts w:ascii="Calibri" w:cs="Calibri" w:eastAsia="Calibri" w:hAnsi="Calibri"/>
                <w:color w:val="5F5E5A"/>
                <w:sz w:val="20"/>
                <w:szCs w:val="20"/>
              </w:rPr>
              <w:t xml:space="preserve">One pilot is luck. Two is a pattern. Three is a business.</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Borders>
              <w:top w:val="none" w:color="FFFFFF" w:sz="0"/>
              <w:left w:val="none" w:color="FFFFFF" w:sz="0"/>
              <w:bottom w:val="none" w:color="FFFFFF" w:sz="0"/>
              <w:right w:val="none" w:color="FFFFFF" w:sz="0"/>
            </w:tcBorders>
            <w:shd w:fill="B4B2A9" w:val="clear"/>
            <w:tcMar>
              <w:top w:type="dxa" w:w="0"/>
              <w:left w:type="dxa" w:w="0"/>
              <w:bottom w:type="dxa" w:w="0"/>
              <w:right w:type="dxa" w:w="0"/>
            </w:tcMar>
            <w:vAlign w:val="center"/>
          </w:tcPr>
          <w:p>
            <w:pPr>
              <w:jc w:val="center"/>
            </w:pPr>
            <w:r>
              <w:rPr>
                <w:rFonts w:ascii="Calibri" w:cs="Calibri" w:eastAsia="Calibri" w:hAnsi="Calibri"/>
                <w:b/>
                <w:bCs/>
                <w:color w:val="FFFFFF"/>
                <w:sz w:val="36"/>
                <w:szCs w:val="36"/>
              </w:rPr>
              <w:t xml:space="preserve">7</w:t>
            </w:r>
          </w:p>
        </w:tc>
        <w:tc>
          <w:tcPr>
            <w:tcBorders>
              <w:top w:val="none" w:color="FFFFFF" w:sz="0"/>
              <w:left w:val="single" w:color="D3D1C7" w:sz="4"/>
              <w:bottom w:val="single" w:color="D3D1C7" w:sz="1"/>
              <w:right w:val="none" w:color="FFFFFF" w:sz="0"/>
            </w:tcBorders>
            <w:shd w:fill="FFFFFF" w:val="clear"/>
            <w:tcMar>
              <w:top w:type="dxa" w:w="120"/>
              <w:left w:type="dxa" w:w="180"/>
              <w:bottom w:type="dxa" w:w="120"/>
              <w:right w:type="dxa" w:w="80"/>
            </w:tcMar>
          </w:tcPr>
          <w:p>
            <w:pPr>
              <w:spacing w:after="40" w:before="0"/>
            </w:pPr>
            <w:r>
              <w:rPr>
                <w:rFonts w:ascii="Calibri" w:cs="Calibri" w:eastAsia="Calibri" w:hAnsi="Calibri"/>
                <w:b/>
                <w:bCs/>
                <w:color w:val="B4B2A9"/>
                <w:sz w:val="17"/>
                <w:szCs w:val="17"/>
              </w:rPr>
              <w:t xml:space="preserve">ONLY THEN  </w:t>
            </w:r>
            <w:r>
              <w:rPr>
                <w:rFonts w:ascii="Calibri" w:cs="Calibri" w:eastAsia="Calibri" w:hAnsi="Calibri"/>
                <w:color w:val="B4B2A9"/>
                <w:sz w:val="17"/>
                <w:szCs w:val="17"/>
              </w:rPr>
              <w:t xml:space="preserve">Month 2–4</w:t>
            </w:r>
          </w:p>
          <w:p>
            <w:pPr>
              <w:spacing w:after="80" w:before="0"/>
            </w:pPr>
            <w:r>
              <w:rPr>
                <w:rFonts w:ascii="Calibri" w:cs="Calibri" w:eastAsia="Calibri" w:hAnsi="Calibri"/>
                <w:b/>
                <w:bCs/>
                <w:color w:val="111110"/>
                <w:sz w:val="24"/>
                <w:szCs w:val="24"/>
              </w:rPr>
              <w:t xml:space="preserve">Rebuild the product properly</w:t>
            </w:r>
          </w:p>
          <w:p>
            <w:pPr>
              <w:pStyle w:val="ListParagraph"/>
              <w:numPr>
                <w:ilvl w:val="0"/>
                <w:numId w:val="2"/>
              </w:numPr>
              <w:spacing w:after="30" w:before="30"/>
            </w:pPr>
            <w:r>
              <w:rPr>
                <w:rFonts w:ascii="Calibri" w:cs="Calibri" w:eastAsia="Calibri" w:hAnsi="Calibri"/>
                <w:b/>
                <w:bCs/>
                <w:color w:val="2C2C2A"/>
                <w:sz w:val="20"/>
                <w:szCs w:val="20"/>
              </w:rPr>
              <w:t xml:space="preserve">Stack: </w:t>
            </w:r>
            <w:r>
              <w:rPr>
                <w:rFonts w:ascii="Calibri" w:cs="Calibri" w:eastAsia="Calibri" w:hAnsi="Calibri"/>
                <w:color w:val="5F5E5A"/>
                <w:sz w:val="20"/>
                <w:szCs w:val="20"/>
              </w:rPr>
              <w:t xml:space="preserve">Next.js 14 + TypeScript, Deck.gl + Mapbox GL, FastAPI (keeps your ML models), PostgreSQL + PostGIS, Supabase auth, Electricity Maps API.</w:t>
            </w:r>
          </w:p>
          <w:p>
            <w:pPr>
              <w:pStyle w:val="ListParagraph"/>
              <w:numPr>
                <w:ilvl w:val="0"/>
                <w:numId w:val="2"/>
              </w:numPr>
              <w:spacing w:after="30" w:before="30"/>
            </w:pPr>
            <w:r>
              <w:rPr>
                <w:rFonts w:ascii="Calibri" w:cs="Calibri" w:eastAsia="Calibri" w:hAnsi="Calibri"/>
                <w:color w:val="5F5E5A"/>
                <w:sz w:val="20"/>
                <w:szCs w:val="20"/>
              </w:rPr>
              <w:t xml:space="preserve">Build only what your pilots asked for. Every extra feature is a distraction.</w:t>
            </w:r>
          </w:p>
          <w:p>
            <w:pPr>
              <w:pStyle w:val="ListParagraph"/>
              <w:numPr>
                <w:ilvl w:val="0"/>
                <w:numId w:val="2"/>
              </w:numPr>
              <w:spacing w:after="30" w:before="30"/>
            </w:pPr>
            <w:r>
              <w:rPr>
                <w:rFonts w:ascii="Calibri" w:cs="Calibri" w:eastAsia="Calibri" w:hAnsi="Calibri"/>
                <w:color w:val="5F5E5A"/>
                <w:sz w:val="20"/>
                <w:szCs w:val="20"/>
              </w:rPr>
              <w:t xml:space="preserve">Deploy to Vercel (frontend) + Railway/Fly.io (API). Zero DevOps overhead.</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Borders>
              <w:top w:val="none" w:color="FFFFFF" w:sz="0"/>
              <w:left w:val="none" w:color="FFFFFF" w:sz="0"/>
              <w:bottom w:val="none" w:color="FFFFFF" w:sz="0"/>
              <w:right w:val="none" w:color="FFFFFF" w:sz="0"/>
            </w:tcBorders>
            <w:shd w:fill="B4B2A9" w:val="clear"/>
            <w:tcMar>
              <w:top w:type="dxa" w:w="0"/>
              <w:left w:type="dxa" w:w="0"/>
              <w:bottom w:type="dxa" w:w="0"/>
              <w:right w:type="dxa" w:w="0"/>
            </w:tcMar>
            <w:vAlign w:val="center"/>
          </w:tcPr>
          <w:p>
            <w:pPr>
              <w:jc w:val="center"/>
            </w:pPr>
            <w:r>
              <w:rPr>
                <w:rFonts w:ascii="Calibri" w:cs="Calibri" w:eastAsia="Calibri" w:hAnsi="Calibri"/>
                <w:b/>
                <w:bCs/>
                <w:color w:val="FFFFFF"/>
                <w:sz w:val="36"/>
                <w:szCs w:val="36"/>
              </w:rPr>
              <w:t xml:space="preserve">8</w:t>
            </w:r>
          </w:p>
        </w:tc>
        <w:tc>
          <w:tcPr>
            <w:tcBorders>
              <w:top w:val="none" w:color="FFFFFF" w:sz="0"/>
              <w:left w:val="single" w:color="D3D1C7" w:sz="4"/>
              <w:bottom w:val="single" w:color="D3D1C7" w:sz="1"/>
              <w:right w:val="none" w:color="FFFFFF" w:sz="0"/>
            </w:tcBorders>
            <w:shd w:fill="FFFFFF" w:val="clear"/>
            <w:tcMar>
              <w:top w:type="dxa" w:w="120"/>
              <w:left w:type="dxa" w:w="180"/>
              <w:bottom w:type="dxa" w:w="120"/>
              <w:right w:type="dxa" w:w="80"/>
            </w:tcMar>
          </w:tcPr>
          <w:p>
            <w:pPr>
              <w:spacing w:after="40" w:before="0"/>
            </w:pPr>
            <w:r>
              <w:rPr>
                <w:rFonts w:ascii="Calibri" w:cs="Calibri" w:eastAsia="Calibri" w:hAnsi="Calibri"/>
                <w:b/>
                <w:bCs/>
                <w:color w:val="B4B2A9"/>
                <w:sz w:val="17"/>
                <w:szCs w:val="17"/>
              </w:rPr>
              <w:t xml:space="preserve">ONLY THEN  </w:t>
            </w:r>
            <w:r>
              <w:rPr>
                <w:rFonts w:ascii="Calibri" w:cs="Calibri" w:eastAsia="Calibri" w:hAnsi="Calibri"/>
                <w:color w:val="B4B2A9"/>
                <w:sz w:val="17"/>
                <w:szCs w:val="17"/>
              </w:rPr>
              <w:t xml:space="preserve">Month 3–5</w:t>
            </w:r>
          </w:p>
          <w:p>
            <w:pPr>
              <w:spacing w:after="80" w:before="0"/>
            </w:pPr>
            <w:r>
              <w:rPr>
                <w:rFonts w:ascii="Calibri" w:cs="Calibri" w:eastAsia="Calibri" w:hAnsi="Calibri"/>
                <w:b/>
                <w:bCs/>
                <w:color w:val="111110"/>
                <w:sz w:val="24"/>
                <w:szCs w:val="24"/>
              </w:rPr>
              <w:t xml:space="preserve">Apply to accelerators</w:t>
            </w:r>
          </w:p>
          <w:p>
            <w:pPr>
              <w:pStyle w:val="ListParagraph"/>
              <w:numPr>
                <w:ilvl w:val="0"/>
                <w:numId w:val="2"/>
              </w:numPr>
              <w:spacing w:after="30" w:before="30"/>
            </w:pPr>
            <w:r>
              <w:rPr>
                <w:rFonts w:ascii="Calibri" w:cs="Calibri" w:eastAsia="Calibri" w:hAnsi="Calibri"/>
                <w:b/>
                <w:bCs/>
                <w:color w:val="2C2C2A"/>
                <w:sz w:val="20"/>
                <w:szCs w:val="20"/>
              </w:rPr>
              <w:t xml:space="preserve">Priority targets: </w:t>
            </w:r>
            <w:r>
              <w:rPr>
                <w:rFonts w:ascii="Calibri" w:cs="Calibri" w:eastAsia="Calibri" w:hAnsi="Calibri"/>
                <w:color w:val="5F5E5A"/>
                <w:sz w:val="20"/>
                <w:szCs w:val="20"/>
              </w:rPr>
              <w:t xml:space="preserve">Antler Poland (rolling), Y Combinator S26 (January–March), Entrepreneur First, climate-focused funds.</w:t>
            </w:r>
          </w:p>
          <w:p>
            <w:pPr>
              <w:pStyle w:val="ListParagraph"/>
              <w:numPr>
                <w:ilvl w:val="0"/>
                <w:numId w:val="2"/>
              </w:numPr>
              <w:spacing w:after="30" w:before="30"/>
            </w:pPr>
            <w:r>
              <w:rPr>
                <w:rFonts w:ascii="Calibri" w:cs="Calibri" w:eastAsia="Calibri" w:hAnsi="Calibri"/>
                <w:color w:val="5F5E5A"/>
                <w:sz w:val="20"/>
                <w:szCs w:val="20"/>
              </w:rPr>
              <w:t xml:space="preserve">With 3 pilots and real feedback you have a story. Without them you have a prototype.</w:t>
            </w:r>
          </w:p>
          <w:p>
            <w:pPr>
              <w:pStyle w:val="ListParagraph"/>
              <w:numPr>
                <w:ilvl w:val="0"/>
                <w:numId w:val="2"/>
              </w:numPr>
              <w:spacing w:after="30" w:before="30"/>
            </w:pPr>
            <w:r>
              <w:rPr>
                <w:rFonts w:ascii="Calibri" w:cs="Calibri" w:eastAsia="Calibri" w:hAnsi="Calibri"/>
                <w:color w:val="5F5E5A"/>
                <w:sz w:val="20"/>
                <w:szCs w:val="20"/>
              </w:rPr>
              <w:t xml:space="preserve">The difference between accepted and rejected is almost always: do you have paying users?</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Borders>
              <w:top w:val="none" w:color="FFFFFF" w:sz="0"/>
              <w:left w:val="none" w:color="FFFFFF" w:sz="0"/>
              <w:bottom w:val="none" w:color="FFFFFF" w:sz="0"/>
              <w:right w:val="none" w:color="FFFFFF" w:sz="0"/>
            </w:tcBorders>
            <w:shd w:fill="B4B2A9" w:val="clear"/>
            <w:tcMar>
              <w:top w:type="dxa" w:w="0"/>
              <w:left w:type="dxa" w:w="0"/>
              <w:bottom w:type="dxa" w:w="0"/>
              <w:right w:type="dxa" w:w="0"/>
            </w:tcMar>
            <w:vAlign w:val="center"/>
          </w:tcPr>
          <w:p>
            <w:pPr>
              <w:jc w:val="center"/>
            </w:pPr>
            <w:r>
              <w:rPr>
                <w:rFonts w:ascii="Calibri" w:cs="Calibri" w:eastAsia="Calibri" w:hAnsi="Calibri"/>
                <w:b/>
                <w:bCs/>
                <w:color w:val="FFFFFF"/>
                <w:sz w:val="36"/>
                <w:szCs w:val="36"/>
              </w:rPr>
              <w:t xml:space="preserve">9</w:t>
            </w:r>
          </w:p>
        </w:tc>
        <w:tc>
          <w:tcPr>
            <w:tcBorders>
              <w:top w:val="none" w:color="FFFFFF" w:sz="0"/>
              <w:left w:val="single" w:color="D3D1C7" w:sz="4"/>
              <w:bottom w:val="single" w:color="D3D1C7" w:sz="1"/>
              <w:right w:val="none" w:color="FFFFFF" w:sz="0"/>
            </w:tcBorders>
            <w:shd w:fill="FFFFFF" w:val="clear"/>
            <w:tcMar>
              <w:top w:type="dxa" w:w="120"/>
              <w:left w:type="dxa" w:w="180"/>
              <w:bottom w:type="dxa" w:w="120"/>
              <w:right w:type="dxa" w:w="80"/>
            </w:tcMar>
          </w:tcPr>
          <w:p>
            <w:pPr>
              <w:spacing w:after="40" w:before="0"/>
            </w:pPr>
            <w:r>
              <w:rPr>
                <w:rFonts w:ascii="Calibri" w:cs="Calibri" w:eastAsia="Calibri" w:hAnsi="Calibri"/>
                <w:b/>
                <w:bCs/>
                <w:color w:val="B4B2A9"/>
                <w:sz w:val="17"/>
                <w:szCs w:val="17"/>
              </w:rPr>
              <w:t xml:space="preserve">ONLY THEN  </w:t>
            </w:r>
            <w:r>
              <w:rPr>
                <w:rFonts w:ascii="Calibri" w:cs="Calibri" w:eastAsia="Calibri" w:hAnsi="Calibri"/>
                <w:color w:val="B4B2A9"/>
                <w:sz w:val="17"/>
                <w:szCs w:val="17"/>
              </w:rPr>
              <w:t xml:space="preserve">Month 5–8</w:t>
            </w:r>
          </w:p>
          <w:p>
            <w:pPr>
              <w:spacing w:after="80" w:before="0"/>
            </w:pPr>
            <w:r>
              <w:rPr>
                <w:rFonts w:ascii="Calibri" w:cs="Calibri" w:eastAsia="Calibri" w:hAnsi="Calibri"/>
                <w:b/>
                <w:bCs/>
                <w:color w:val="111110"/>
                <w:sz w:val="24"/>
                <w:szCs w:val="24"/>
              </w:rPr>
              <w:t xml:space="preserve">Raise pre-seed funding</w:t>
            </w:r>
          </w:p>
          <w:p>
            <w:pPr>
              <w:pStyle w:val="ListParagraph"/>
              <w:numPr>
                <w:ilvl w:val="0"/>
                <w:numId w:val="2"/>
              </w:numPr>
              <w:spacing w:after="30" w:before="30"/>
            </w:pPr>
            <w:r>
              <w:rPr>
                <w:rFonts w:ascii="Calibri" w:cs="Calibri" w:eastAsia="Calibri" w:hAnsi="Calibri"/>
                <w:b/>
                <w:bCs/>
                <w:color w:val="2C2C2A"/>
                <w:sz w:val="20"/>
                <w:szCs w:val="20"/>
              </w:rPr>
              <w:t xml:space="preserve">Target: </w:t>
            </w:r>
            <w:r>
              <w:rPr>
                <w:rFonts w:ascii="Calibri" w:cs="Calibri" w:eastAsia="Calibri" w:hAnsi="Calibri"/>
                <w:color w:val="5F5E5A"/>
                <w:sz w:val="20"/>
                <w:szCs w:val="20"/>
              </w:rPr>
              <w:t xml:space="preserve">$500K–$1.5M as a SAFE note (YC standard form).</w:t>
            </w:r>
          </w:p>
          <w:p>
            <w:pPr>
              <w:pStyle w:val="ListParagraph"/>
              <w:numPr>
                <w:ilvl w:val="0"/>
                <w:numId w:val="2"/>
              </w:numPr>
              <w:spacing w:after="30" w:before="30"/>
            </w:pPr>
            <w:r>
              <w:rPr>
                <w:rFonts w:ascii="Calibri" w:cs="Calibri" w:eastAsia="Calibri" w:hAnsi="Calibri"/>
                <w:b/>
                <w:bCs/>
                <w:color w:val="2C2C2A"/>
                <w:sz w:val="20"/>
                <w:szCs w:val="20"/>
              </w:rPr>
              <w:t xml:space="preserve">Target investors: </w:t>
            </w:r>
            <w:r>
              <w:rPr>
                <w:rFonts w:ascii="Calibri" w:cs="Calibri" w:eastAsia="Calibri" w:hAnsi="Calibri"/>
                <w:color w:val="5F5E5A"/>
                <w:sz w:val="20"/>
                <w:szCs w:val="20"/>
              </w:rPr>
              <w:t xml:space="preserve">Pale Blue Dot, World Fund, DCVC (climate specialists), Antler, Seedcamp, strategic angels from DC operations or ESG consulting.</w:t>
            </w:r>
          </w:p>
          <w:p>
            <w:pPr>
              <w:pStyle w:val="ListParagraph"/>
              <w:numPr>
                <w:ilvl w:val="0"/>
                <w:numId w:val="2"/>
              </w:numPr>
              <w:spacing w:after="30" w:before="30"/>
            </w:pPr>
            <w:r>
              <w:rPr>
                <w:rFonts w:ascii="Calibri" w:cs="Calibri" w:eastAsia="Calibri" w:hAnsi="Calibri"/>
                <w:b/>
                <w:bCs/>
                <w:color w:val="2C2C2A"/>
                <w:sz w:val="20"/>
                <w:szCs w:val="20"/>
              </w:rPr>
              <w:t xml:space="preserve">Use of funds: </w:t>
            </w:r>
            <w:r>
              <w:rPr>
                <w:rFonts w:ascii="Calibri" w:cs="Calibri" w:eastAsia="Calibri" w:hAnsi="Calibri"/>
                <w:color w:val="5F5E5A"/>
                <w:sz w:val="20"/>
                <w:szCs w:val="20"/>
              </w:rPr>
              <w:t xml:space="preserve">40% first hire, 25% data/API costs, 20% sales and marketing, 15% legal and reserve.</w:t>
            </w:r>
          </w:p>
        </w:tc>
      </w:tr>
    </w:tbl>
    <w:p>
      <w:pPr>
        <w:spacing w:after="0" w:before="120"/>
      </w:pPr>
      <w:r>
        <w:rPr>
          <w:rFonts w:ascii="Calibri" w:cs="Calibri" w:eastAsia="Calibri" w:hAnsi="Calibri"/>
          <w:color w:val="2C2C2A"/>
          <w:sz w:val="22"/>
          <w:szCs w:val="22"/>
        </w:rPr>
        <w:t xml:space="preserve"/>
      </w:r>
    </w:p>
    <w:p>
      <w:r>
        <w:br w:type="page"/>
      </w:r>
    </w:p>
    <w:p>
      <w:pPr>
        <w:pBdr>
          <w:bottom w:val="single" w:color="1D9E75" w:sz="6" w:space="4"/>
        </w:pBdr>
        <w:spacing w:after="80" w:before="480"/>
      </w:pPr>
      <w:r>
        <w:rPr>
          <w:rFonts w:ascii="Calibri" w:cs="Calibri" w:eastAsia="Calibri" w:hAnsi="Calibri"/>
          <w:b/>
          <w:bCs/>
          <w:color w:val="1D9E75"/>
          <w:sz w:val="28"/>
          <w:szCs w:val="28"/>
        </w:rPr>
        <w:t xml:space="preserve">3  </w:t>
      </w:r>
      <w:r>
        <w:rPr>
          <w:rFonts w:ascii="Calibri" w:cs="Calibri" w:eastAsia="Calibri" w:hAnsi="Calibri"/>
          <w:b/>
          <w:bCs/>
          <w:color w:val="0A4A38"/>
          <w:sz w:val="28"/>
          <w:szCs w:val="28"/>
        </w:rPr>
        <w:t xml:space="preserve">The competitive landscape</w:t>
      </w:r>
    </w:p>
    <w:p>
      <w:pPr>
        <w:spacing w:after="100" w:before="60"/>
      </w:pPr>
      <w:r>
        <w:rPr>
          <w:rFonts w:ascii="Calibri" w:cs="Calibri" w:eastAsia="Calibri" w:hAnsi="Calibri"/>
          <w:color w:val="2C2C2A"/>
          <w:sz w:val="22"/>
          <w:szCs w:val="22"/>
        </w:rPr>
        <w:t xml:space="preserve">Before talking to any potential customer, you need to understand what tools they are already using and exactly why those tools are failing them. Here is the full picture.</w:t>
      </w:r>
    </w:p>
    <w:p>
      <w:pPr>
        <w:spacing w:after="0" w:before="80"/>
      </w:pPr>
      <w:r>
        <w:rPr>
          <w:rFonts w:ascii="Calibri" w:cs="Calibri" w:eastAsia="Calibri" w:hAnsi="Calibri"/>
          <w:color w:val="2C2C2A"/>
          <w:sz w:val="22"/>
          <w:szCs w:val="22"/>
        </w:rPr>
        <w:t xml:space="preserve"/>
      </w:r>
    </w:p>
    <w:p>
      <w:pPr>
        <w:spacing w:after="80" w:before="280"/>
      </w:pPr>
      <w:r>
        <w:rPr>
          <w:rFonts w:ascii="Calibri" w:cs="Calibri" w:eastAsia="Calibri" w:hAnsi="Calibri"/>
          <w:b/>
          <w:bCs/>
          <w:color w:val="2C2C2A"/>
          <w:sz w:val="23"/>
          <w:szCs w:val="23"/>
        </w:rPr>
        <w:t xml:space="preserve">3.1  The market split — where competitors sit</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tcPr>
          <w:p>
            <w:pPr>
              <w:spacing w:after="60" w:before="0"/>
            </w:pPr>
            <w:r>
              <w:rPr>
                <w:rFonts w:ascii="Calibri" w:cs="Calibri" w:eastAsia="Calibri" w:hAnsi="Calibri"/>
                <w:b/>
                <w:bCs/>
                <w:color w:val="2C2C2A"/>
                <w:sz w:val="20"/>
                <w:szCs w:val="20"/>
              </w:rPr>
              <w:t xml:space="preserve">Raw data tools — developer buyer</w:t>
            </w:r>
          </w:p>
          <w:p>
            <w:pPr>
              <w:spacing w:after="60" w:before="0"/>
            </w:pPr>
            <w:r>
              <w:rPr>
                <w:rFonts w:ascii="Calibri" w:cs="Calibri" w:eastAsia="Calibri" w:hAnsi="Calibri"/>
                <w:color w:val="5F5E5A"/>
                <w:sz w:val="19"/>
                <w:szCs w:val="19"/>
              </w:rPr>
              <w:t xml:space="preserve">WattTime  ·  Climatiq  ·  Electricity Maps  ·  Cloud Carbon Footprint</w:t>
            </w:r>
          </w:p>
          <w:p>
            <w:r>
              <w:rPr>
                <w:rFonts w:ascii="Calibri" w:cs="Calibri" w:eastAsia="Calibri" w:hAnsi="Calibri"/>
                <w:i/>
                <w:iCs/>
                <w:color w:val="5F5E5A"/>
                <w:sz w:val="19"/>
                <w:szCs w:val="19"/>
              </w:rPr>
              <w:t xml:space="preserve">API-only. No visual interface. No recommendations. Requires a data scientist to use. No DC-level profiling.</w:t>
            </w:r>
          </w:p>
        </w:tc>
        <w:tc>
          <w:tcPr>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tcPr>
          <w:p>
            <w:pPr>
              <w:spacing w:after="60" w:before="0"/>
            </w:pPr>
            <w:r>
              <w:rPr>
                <w:rFonts w:ascii="Calibri" w:cs="Calibri" w:eastAsia="Calibri" w:hAnsi="Calibri"/>
                <w:b/>
                <w:bCs/>
                <w:color w:val="2C2C2A"/>
                <w:sz w:val="20"/>
                <w:szCs w:val="20"/>
              </w:rPr>
              <w:t xml:space="preserve">Reporting platforms — CFO buyer</w:t>
            </w:r>
          </w:p>
          <w:p>
            <w:pPr>
              <w:spacing w:after="60" w:before="0"/>
            </w:pPr>
            <w:r>
              <w:rPr>
                <w:rFonts w:ascii="Calibri" w:cs="Calibri" w:eastAsia="Calibri" w:hAnsi="Calibri"/>
                <w:color w:val="5F5E5A"/>
                <w:sz w:val="19"/>
                <w:szCs w:val="19"/>
              </w:rPr>
              <w:t xml:space="preserve">Watershed  ·  Persefoni  ·  Sweep  ·  Salesforce Net Zero</w:t>
            </w:r>
          </w:p>
          <w:p>
            <w:r>
              <w:rPr>
                <w:rFonts w:ascii="Calibri" w:cs="Calibri" w:eastAsia="Calibri" w:hAnsi="Calibri"/>
                <w:i/>
                <w:iCs/>
                <w:color w:val="5F5E5A"/>
                <w:sz w:val="19"/>
                <w:szCs w:val="19"/>
              </w:rPr>
              <w:t xml:space="preserve">All industries. Reports on the past. Built for compliance teams. No DC-specific intelligence. No infrastructure mapping.</w:t>
            </w:r>
          </w:p>
        </w:tc>
      </w:tr>
      <w:tr>
        <w:tc>
          <w:tcPr>
            <w:gridSpan w:val="2"/>
            <w:tcBorders>
              <w:top w:val="single" w:color="1D9E75" w:sz="8"/>
              <w:left w:val="none" w:color="FFFFFF" w:sz="0"/>
              <w:bottom w:val="none" w:color="FFFFFF" w:sz="0"/>
              <w:right w:val="none" w:color="FFFFFF" w:sz="0"/>
            </w:tcBorders>
            <w:shd w:fill="E1F5EE" w:val="clear"/>
            <w:tcMar>
              <w:top w:type="dxa" w:w="120"/>
              <w:left w:type="dxa" w:w="160"/>
              <w:bottom w:type="dxa" w:w="120"/>
              <w:right w:type="dxa" w:w="160"/>
            </w:tcMar>
          </w:tcPr>
          <w:p>
            <w:pPr>
              <w:spacing w:after="60" w:before="0"/>
            </w:pPr>
            <w:r>
              <w:rPr>
                <w:rFonts w:ascii="Calibri" w:cs="Calibri" w:eastAsia="Calibri" w:hAnsi="Calibri"/>
                <w:b/>
                <w:bCs/>
                <w:color w:val="0F6E56"/>
                <w:sz w:val="20"/>
                <w:szCs w:val="20"/>
              </w:rPr>
              <w:t xml:space="preserve">YOUR POSITION  —  Infrastructure intelligence, operator buyer</w:t>
            </w:r>
          </w:p>
          <w:p>
            <w:pPr>
              <w:spacing w:after="60" w:before="0"/>
            </w:pPr>
            <w:r>
              <w:rPr>
                <w:rFonts w:ascii="Calibri" w:cs="Calibri" w:eastAsia="Calibri" w:hAnsi="Calibri"/>
                <w:b/>
                <w:bCs/>
                <w:color w:val="1D9E75"/>
                <w:sz w:val="22"/>
                <w:szCs w:val="22"/>
              </w:rPr>
              <w:t xml:space="preserve">Flaer</w:t>
            </w:r>
          </w:p>
          <w:p>
            <w:r>
              <w:rPr>
                <w:rFonts w:ascii="Calibri" w:cs="Calibri" w:eastAsia="Calibri" w:hAnsi="Calibri"/>
                <w:i/>
                <w:iCs/>
                <w:color w:val="0A4A38"/>
                <w:sz w:val="19"/>
                <w:szCs w:val="19"/>
              </w:rPr>
              <w:t xml:space="preserve">Global DC mapping + ML forecasting + prescriptive recommendations + EU compliance. Built for the VP of Infrastructure. Tells them what to do next — not just what happened last quarter.</w:t>
            </w:r>
          </w:p>
        </w:tc>
      </w:tr>
    </w:tbl>
    <w:p>
      <w:pPr>
        <w:spacing w:after="0" w:before="120"/>
      </w:pPr>
      <w:r>
        <w:rPr>
          <w:rFonts w:ascii="Calibri" w:cs="Calibri" w:eastAsia="Calibri" w:hAnsi="Calibri"/>
          <w:color w:val="2C2C2A"/>
          <w:sz w:val="22"/>
          <w:szCs w:val="22"/>
        </w:rPr>
        <w:t xml:space="preserve"/>
      </w:r>
    </w:p>
    <w:p>
      <w:pPr>
        <w:spacing w:after="80" w:before="280"/>
      </w:pPr>
      <w:r>
        <w:rPr>
          <w:rFonts w:ascii="Calibri" w:cs="Calibri" w:eastAsia="Calibri" w:hAnsi="Calibri"/>
          <w:b/>
          <w:bCs/>
          <w:color w:val="2C2C2A"/>
          <w:sz w:val="23"/>
          <w:szCs w:val="23"/>
        </w:rPr>
        <w:t xml:space="preserve">3.2  Competitor detail</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3226"/>
      </w:tblGrid>
      <w:tr>
        <w:trPr>
          <w:tblHeader/>
        </w:trPr>
        <w:tc>
          <w:tcPr>
            <w:tcW w:type="dxa" w:w="17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Competitor</w:t>
            </w:r>
          </w:p>
        </w:tc>
        <w:tc>
          <w:tcPr>
            <w:tcW w:type="dxa" w:w="2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What they do</w:t>
            </w:r>
          </w:p>
        </w:tc>
        <w:tc>
          <w:tcPr>
            <w:tcW w:type="dxa" w:w="17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Pricing</w:t>
            </w:r>
          </w:p>
        </w:tc>
        <w:tc>
          <w:tcPr>
            <w:tcW w:type="dxa" w:w="3226"/>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Where they fail / your gap</w:t>
            </w:r>
          </w:p>
        </w:tc>
      </w:tr>
      <w:tr>
        <w:tc>
          <w:tcPr>
            <w:tcW w:type="dxa" w:w="1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WattTime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Real-time marginal carbon intensity for electric grids. Updated every 5 minutes. Used by Google, Microsoft, Amazon.</w:t>
            </w:r>
          </w:p>
        </w:tc>
        <w:tc>
          <w:tcPr>
            <w:tcW w:type="dxa" w:w="1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Free basic + PRO subscription. Enterprise custom.</w:t>
            </w:r>
          </w:p>
        </w:tc>
        <w:tc>
          <w:tcPr>
            <w:tcW w:type="dxa" w:w="32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No DC profiling, no forecasting, no recommendations. Pure API — no product for decision-makers. 1B+ devices use their data.</w:t>
            </w:r>
          </w:p>
        </w:tc>
      </w:tr>
      <w:tr>
        <w:tc>
          <w:tcPr>
            <w:tcW w:type="dxa" w:w="17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Electricity Maps</w:t>
            </w:r>
          </w:p>
        </w:tc>
        <w:tc>
          <w:tcPr>
            <w:tcW w:type="dxa" w:w="2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Real-time + historical grid carbon intensity + power mix for 50+ countries. 24-hour forecasts.</w:t>
            </w:r>
          </w:p>
        </w:tc>
        <w:tc>
          <w:tcPr>
            <w:tcW w:type="dxa" w:w="17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Free (non-commercial). ~€200–500/month commercial.</w:t>
            </w:r>
          </w:p>
        </w:tc>
        <w:tc>
          <w:tcPr>
            <w:tcW w:type="dxa" w:w="32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Same gap as WattTime. Your primary live data source to integrate and build on top of.</w:t>
            </w:r>
          </w:p>
        </w:tc>
      </w:tr>
      <w:tr>
        <w:tc>
          <w:tcPr>
            <w:tcW w:type="dxa" w:w="1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Climatiq</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AI-powered carbon calculation engine. Largest emissions database. Embeds via API.</w:t>
            </w:r>
          </w:p>
        </w:tc>
        <w:tc>
          <w:tcPr>
            <w:tcW w:type="dxa" w:w="1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Free tier (limited). Enterprise custom, quote-based.</w:t>
            </w:r>
          </w:p>
        </w:tc>
        <w:tc>
          <w:tcPr>
            <w:tcW w:type="dxa" w:w="32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No DC intelligence. No visual interface. A calculation engine, not a platform. They calculate — you strategize.</w:t>
            </w:r>
          </w:p>
        </w:tc>
      </w:tr>
      <w:tr>
        <w:tc>
          <w:tcPr>
            <w:tcW w:type="dxa" w:w="17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Watershed</w:t>
            </w:r>
          </w:p>
        </w:tc>
        <w:tc>
          <w:tcPr>
            <w:tcW w:type="dxa" w:w="2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Enterprise carbon accounting across Scope 1, 2, 3. Footprint reporting, supply chain, offset marketplace.</w:t>
            </w:r>
          </w:p>
        </w:tc>
        <w:tc>
          <w:tcPr>
            <w:tcW w:type="dxa" w:w="17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$50K–$200K+/year. Quote-based, no self-serve.</w:t>
            </w:r>
          </w:p>
        </w:tc>
        <w:tc>
          <w:tcPr>
            <w:tcW w:type="dxa" w:w="32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Generic — covers all industries. No DC mapping. No ML forecasting. Buyer is CFO. Yours is CTO. Zero overlap.</w:t>
            </w:r>
          </w:p>
        </w:tc>
      </w:tr>
      <w:tr>
        <w:tc>
          <w:tcPr>
            <w:tcW w:type="dxa" w:w="1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Persefoni</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ERP of Carbon — enterprise carbon accounting and disclosure. Targets financial institutions.</w:t>
            </w:r>
          </w:p>
        </w:tc>
        <w:tc>
          <w:tcPr>
            <w:tcW w:type="dxa" w:w="1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~$55K/year (SME) to ~$260K/year (enterprise). Free Pro SMB tier.</w:t>
            </w:r>
          </w:p>
        </w:tc>
        <w:tc>
          <w:tcPr>
            <w:tcW w:type="dxa" w:w="32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No DC specificity. Reports the past, doesn't forecast. $190M raised for $4.3M revenue — a 44:1 ratio. Now acquired by Diligent.</w:t>
            </w:r>
          </w:p>
        </w:tc>
      </w:tr>
      <w:tr>
        <w:tc>
          <w:tcPr>
            <w:tcW w:type="dxa" w:w="17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Schneider EcoStruxure</w:t>
            </w:r>
          </w:p>
        </w:tc>
        <w:tc>
          <w:tcPr>
            <w:tcW w:type="dxa" w:w="2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On-site DC hardware management. PUE, cooling, power monitoring. Requires Schneider hardware.</w:t>
            </w:r>
          </w:p>
        </w:tc>
        <w:tc>
          <w:tcPr>
            <w:tcW w:type="dxa" w:w="17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Enterprise license. Hundreds of thousands per year.</w:t>
            </w:r>
          </w:p>
        </w:tc>
        <w:tc>
          <w:tcPr>
            <w:tcW w:type="dxa" w:w="32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Closed ecosystem. No global benchmarking. No ML forecasting. Threat level: LOW.</w:t>
            </w:r>
          </w:p>
        </w:tc>
      </w:tr>
      <w:tr>
        <w:tc>
          <w:tcPr>
            <w:tcW w:type="dxa" w:w="1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Cloud Carbon Footprint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Open-source tool to measure cloud carbon via AWS, GCP, Azure billing data.</w:t>
            </w:r>
          </w:p>
        </w:tc>
        <w:tc>
          <w:tcPr>
            <w:tcW w:type="dxa" w:w="1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Free. Open source. Self-hosted.</w:t>
            </w:r>
          </w:p>
        </w:tc>
        <w:tc>
          <w:tcPr>
            <w:tcW w:type="dxa" w:w="32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Requires technical setup. No DC mapping. No forecasting. CCF users are your warmest prospects — they already feel the pain.</w:t>
            </w:r>
          </w:p>
        </w:tc>
      </w:tr>
    </w:tbl>
    <w:p>
      <w:pPr>
        <w:spacing w:after="0" w:before="80"/>
      </w:pPr>
      <w:r>
        <w:rPr>
          <w:rFonts w:ascii="Calibri" w:cs="Calibri" w:eastAsia="Calibri" w:hAnsi="Calibri"/>
          <w:color w:val="2C2C2A"/>
          <w:sz w:val="22"/>
          <w:szCs w:val="22"/>
        </w:rPr>
        <w:t xml:space="preserve"/>
      </w:r>
    </w:p>
    <w:p>
      <w:pPr>
        <w:pBdr>
          <w:bottom w:val="single" w:color="1D9E75" w:sz="6" w:space="4"/>
        </w:pBdr>
        <w:spacing w:after="80" w:before="480"/>
      </w:pPr>
      <w:r>
        <w:rPr>
          <w:rFonts w:ascii="Calibri" w:cs="Calibri" w:eastAsia="Calibri" w:hAnsi="Calibri"/>
          <w:b/>
          <w:bCs/>
          <w:color w:val="1D9E75"/>
          <w:sz w:val="28"/>
          <w:szCs w:val="28"/>
        </w:rPr>
        <w:t xml:space="preserve">4  </w:t>
      </w:r>
      <w:r>
        <w:rPr>
          <w:rFonts w:ascii="Calibri" w:cs="Calibri" w:eastAsia="Calibri" w:hAnsi="Calibri"/>
          <w:b/>
          <w:bCs/>
          <w:color w:val="0A4A38"/>
          <w:sz w:val="28"/>
          <w:szCs w:val="28"/>
        </w:rPr>
        <w:t xml:space="preserve">Your four genuine gaps</w:t>
      </w:r>
    </w:p>
    <w:p>
      <w:pPr>
        <w:spacing w:after="100" w:before="60"/>
      </w:pPr>
      <w:r>
        <w:rPr>
          <w:rFonts w:ascii="Calibri" w:cs="Calibri" w:eastAsia="Calibri" w:hAnsi="Calibri"/>
          <w:color w:val="2C2C2A"/>
          <w:sz w:val="22"/>
          <w:szCs w:val="22"/>
        </w:rPr>
        <w:t xml:space="preserve">After mapping every competitor, four gaps emerge that nobody is filling. Your wedge is one of them.</w:t>
      </w:r>
    </w:p>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E1F5EE" w:val="clear"/>
            <w:tcMar>
              <w:top w:type="dxa" w:w="120"/>
              <w:left w:type="dxa" w:w="180"/>
              <w:bottom w:type="dxa" w:w="120"/>
              <w:right w:type="dxa" w:w="160"/>
            </w:tcMar>
          </w:tcPr>
          <w:p>
            <w:pPr>
              <w:spacing w:after="40" w:before="0"/>
            </w:pPr>
            <w:r>
              <w:rPr>
                <w:rFonts w:ascii="Calibri" w:cs="Calibri" w:eastAsia="Calibri" w:hAnsi="Calibri"/>
                <w:b/>
                <w:bCs/>
                <w:color w:val="1D9E75"/>
                <w:sz w:val="18"/>
                <w:szCs w:val="18"/>
              </w:rPr>
              <w:t xml:space="preserve">Gap 1</w:t>
            </w:r>
          </w:p>
          <w:p>
            <w:pPr>
              <w:spacing w:after="40" w:before="0"/>
            </w:pPr>
            <w:r>
              <w:rPr>
                <w:rFonts w:ascii="Calibri" w:cs="Calibri" w:eastAsia="Calibri" w:hAnsi="Calibri"/>
                <w:b/>
                <w:bCs/>
                <w:color w:val="0A4A38"/>
                <w:sz w:val="23"/>
                <w:szCs w:val="23"/>
              </w:rPr>
              <w:t xml:space="preserve">No global DC intelligence map exists</w:t>
            </w:r>
          </w:p>
          <w:p>
            <w:pPr>
              <w:spacing w:after="0" w:before="0"/>
            </w:pPr>
            <w:r>
              <w:rPr>
                <w:rFonts w:ascii="Calibri" w:cs="Calibri" w:eastAsia="Calibri" w:hAnsi="Calibri"/>
                <w:color w:val="2C2C2A"/>
                <w:sz w:val="20"/>
                <w:szCs w:val="20"/>
              </w:rPr>
              <w:t xml:space="preserve">WattTime maps grid regions. Watershed maps company-level footprints. Nobody maps individual data center facilities globally, benchmarks them against each other, and shows operators how their facility compares worldwide. This is your most defensible first wedge.</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E1F5EE" w:val="clear"/>
            <w:tcMar>
              <w:top w:type="dxa" w:w="120"/>
              <w:left w:type="dxa" w:w="180"/>
              <w:bottom w:type="dxa" w:w="120"/>
              <w:right w:type="dxa" w:w="160"/>
            </w:tcMar>
          </w:tcPr>
          <w:p>
            <w:pPr>
              <w:spacing w:after="40" w:before="0"/>
            </w:pPr>
            <w:r>
              <w:rPr>
                <w:rFonts w:ascii="Calibri" w:cs="Calibri" w:eastAsia="Calibri" w:hAnsi="Calibri"/>
                <w:b/>
                <w:bCs/>
                <w:color w:val="1D9E75"/>
                <w:sz w:val="18"/>
                <w:szCs w:val="18"/>
              </w:rPr>
              <w:t xml:space="preserve">Gap 2</w:t>
            </w:r>
          </w:p>
          <w:p>
            <w:pPr>
              <w:spacing w:after="40" w:before="0"/>
            </w:pPr>
            <w:r>
              <w:rPr>
                <w:rFonts w:ascii="Calibri" w:cs="Calibri" w:eastAsia="Calibri" w:hAnsi="Calibri"/>
                <w:b/>
                <w:bCs/>
                <w:color w:val="0A4A38"/>
                <w:sz w:val="23"/>
                <w:szCs w:val="23"/>
              </w:rPr>
              <w:t xml:space="preserve">No 10-year ML emissions forecasting at DC level</w:t>
            </w:r>
          </w:p>
          <w:p>
            <w:pPr>
              <w:spacing w:after="0" w:before="0"/>
            </w:pPr>
            <w:r>
              <w:rPr>
                <w:rFonts w:ascii="Calibri" w:cs="Calibri" w:eastAsia="Calibri" w:hAnsi="Calibri"/>
                <w:color w:val="2C2C2A"/>
                <w:sz w:val="20"/>
                <w:szCs w:val="20"/>
              </w:rPr>
              <w:t xml:space="preserve">Every competitor reports the past or present. Nobody forecasts what a data center's emissions will look like in 2030 or 2035 under different climate scenarios. Your ML model does exactly this. Nothing else on the market does it at individual facility level.</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E1F5EE" w:val="clear"/>
            <w:tcMar>
              <w:top w:type="dxa" w:w="120"/>
              <w:left w:type="dxa" w:w="180"/>
              <w:bottom w:type="dxa" w:w="120"/>
              <w:right w:type="dxa" w:w="160"/>
            </w:tcMar>
          </w:tcPr>
          <w:p>
            <w:pPr>
              <w:spacing w:after="40" w:before="0"/>
            </w:pPr>
            <w:r>
              <w:rPr>
                <w:rFonts w:ascii="Calibri" w:cs="Calibri" w:eastAsia="Calibri" w:hAnsi="Calibri"/>
                <w:b/>
                <w:bCs/>
                <w:color w:val="1D9E75"/>
                <w:sz w:val="18"/>
                <w:szCs w:val="18"/>
              </w:rPr>
              <w:t xml:space="preserve">Gap 3</w:t>
            </w:r>
          </w:p>
          <w:p>
            <w:pPr>
              <w:spacing w:after="40" w:before="0"/>
            </w:pPr>
            <w:r>
              <w:rPr>
                <w:rFonts w:ascii="Calibri" w:cs="Calibri" w:eastAsia="Calibri" w:hAnsi="Calibri"/>
                <w:b/>
                <w:bCs/>
                <w:color w:val="0A4A38"/>
                <w:sz w:val="23"/>
                <w:szCs w:val="23"/>
              </w:rPr>
              <w:t xml:space="preserve">No prescriptive recommendations engine</w:t>
            </w:r>
          </w:p>
          <w:p>
            <w:pPr>
              <w:spacing w:after="0" w:before="0"/>
            </w:pPr>
            <w:r>
              <w:rPr>
                <w:rFonts w:ascii="Calibri" w:cs="Calibri" w:eastAsia="Calibri" w:hAnsi="Calibri"/>
                <w:color w:val="2C2C2A"/>
                <w:sz w:val="20"/>
                <w:szCs w:val="20"/>
              </w:rPr>
              <w:t xml:space="preserve">Data APIs give numbers. Carbon platforms give reports. Nobody says: 'Move 30% of workloads to Dublin on Tuesday afternoons and reduce emissions by 18%.' Prescriptive, ranked, ROI-quantified recommendations for DC operators is a completely open space.</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E1F5EE" w:val="clear"/>
            <w:tcMar>
              <w:top w:type="dxa" w:w="120"/>
              <w:left w:type="dxa" w:w="180"/>
              <w:bottom w:type="dxa" w:w="120"/>
              <w:right w:type="dxa" w:w="160"/>
            </w:tcMar>
          </w:tcPr>
          <w:p>
            <w:pPr>
              <w:spacing w:after="40" w:before="0"/>
            </w:pPr>
            <w:r>
              <w:rPr>
                <w:rFonts w:ascii="Calibri" w:cs="Calibri" w:eastAsia="Calibri" w:hAnsi="Calibri"/>
                <w:b/>
                <w:bCs/>
                <w:color w:val="1D9E75"/>
                <w:sz w:val="18"/>
                <w:szCs w:val="18"/>
              </w:rPr>
              <w:t xml:space="preserve">Gap 4</w:t>
            </w:r>
          </w:p>
          <w:p>
            <w:pPr>
              <w:spacing w:after="40" w:before="0"/>
            </w:pPr>
            <w:r>
              <w:rPr>
                <w:rFonts w:ascii="Calibri" w:cs="Calibri" w:eastAsia="Calibri" w:hAnsi="Calibri"/>
                <w:b/>
                <w:bCs/>
                <w:color w:val="0A4A38"/>
                <w:sz w:val="23"/>
                <w:szCs w:val="23"/>
              </w:rPr>
              <w:t xml:space="preserve">EU regulatory compliance is underserved</w:t>
            </w:r>
          </w:p>
          <w:p>
            <w:pPr>
              <w:spacing w:after="0" w:before="0"/>
            </w:pPr>
            <w:r>
              <w:rPr>
                <w:rFonts w:ascii="Calibri" w:cs="Calibri" w:eastAsia="Calibri" w:hAnsi="Calibri"/>
                <w:color w:val="2C2C2A"/>
                <w:sz w:val="20"/>
                <w:szCs w:val="20"/>
              </w:rPr>
              <w:t xml:space="preserve">The EU Energy Efficiency Directive requires DCs above 500kW to register and report annually. CSRD affects 50,000+ companies from 2025–2026. Most compliance tools are US-built and US-centric. You are building from Poland — inside the EU — with a regulatory proximity advantage that cannot easily be replicated.</w:t>
            </w:r>
          </w:p>
        </w:tc>
      </w:tr>
    </w:tbl>
    <w:p>
      <w:pPr>
        <w:spacing w:after="0" w:before="80"/>
      </w:pPr>
      <w:r>
        <w:rPr>
          <w:rFonts w:ascii="Calibri" w:cs="Calibri" w:eastAsia="Calibri" w:hAnsi="Calibri"/>
          <w:color w:val="2C2C2A"/>
          <w:sz w:val="22"/>
          <w:szCs w:val="22"/>
        </w:rPr>
        <w:t xml:space="preserve"/>
      </w:r>
    </w:p>
    <w:p>
      <w:r>
        <w:br w:type="page"/>
      </w:r>
    </w:p>
    <w:p>
      <w:pPr>
        <w:pBdr>
          <w:bottom w:val="single" w:color="1D9E75" w:sz="6" w:space="4"/>
        </w:pBdr>
        <w:spacing w:after="80" w:before="480"/>
      </w:pPr>
      <w:r>
        <w:rPr>
          <w:rFonts w:ascii="Calibri" w:cs="Calibri" w:eastAsia="Calibri" w:hAnsi="Calibri"/>
          <w:b/>
          <w:bCs/>
          <w:color w:val="1D9E75"/>
          <w:sz w:val="28"/>
          <w:szCs w:val="28"/>
        </w:rPr>
        <w:t xml:space="preserve">5  </w:t>
      </w:r>
      <w:r>
        <w:rPr>
          <w:rFonts w:ascii="Calibri" w:cs="Calibri" w:eastAsia="Calibri" w:hAnsi="Calibri"/>
          <w:b/>
          <w:bCs/>
          <w:color w:val="0A4A38"/>
          <w:sz w:val="28"/>
          <w:szCs w:val="28"/>
        </w:rPr>
        <w:t xml:space="preserve">Competitor revenue intelligence</w:t>
      </w:r>
    </w:p>
    <w:p>
      <w:pPr>
        <w:spacing w:after="100" w:before="60"/>
      </w:pPr>
      <w:r>
        <w:rPr>
          <w:rFonts w:ascii="Calibri" w:cs="Calibri" w:eastAsia="Calibri" w:hAnsi="Calibri"/>
          <w:color w:val="2C2C2A"/>
          <w:sz w:val="22"/>
          <w:szCs w:val="22"/>
        </w:rPr>
        <w:t xml:space="preserve">Real numbers — revenue, funding, pricing, and capital efficiency for every major player. Use this when talking to investors or sizing your opportunity.</w:t>
      </w:r>
    </w:p>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spacing w:after="40" w:before="0"/>
              <w:jc w:val="center"/>
            </w:pPr>
            <w:r>
              <w:rPr>
                <w:rFonts w:ascii="Calibri" w:cs="Calibri" w:eastAsia="Calibri" w:hAnsi="Calibri"/>
                <w:b/>
                <w:bCs/>
                <w:color w:val="0F6E56"/>
                <w:sz w:val="34"/>
                <w:szCs w:val="34"/>
              </w:rPr>
              <w:t xml:space="preserve">$15–19B</w:t>
            </w:r>
          </w:p>
          <w:p>
            <w:pPr>
              <w:spacing w:after="30" w:before="0"/>
              <w:jc w:val="center"/>
            </w:pPr>
            <w:r>
              <w:rPr>
                <w:rFonts w:ascii="Calibri" w:cs="Calibri" w:eastAsia="Calibri" w:hAnsi="Calibri"/>
                <w:b/>
                <w:bCs/>
                <w:color w:val="1D9E75"/>
                <w:sz w:val="19"/>
                <w:szCs w:val="19"/>
              </w:rPr>
              <w:t xml:space="preserve">Market size 2024</w:t>
            </w:r>
          </w:p>
          <w:p>
            <w:pPr>
              <w:spacing w:after="0" w:before="0"/>
              <w:jc w:val="center"/>
            </w:pPr>
            <w:r>
              <w:rPr>
                <w:rFonts w:ascii="Calibri" w:cs="Calibri" w:eastAsia="Calibri" w:hAnsi="Calibri"/>
                <w:color w:val="1D9E75"/>
                <w:sz w:val="17"/>
                <w:szCs w:val="17"/>
              </w:rPr>
              <w:t xml:space="preserve">Carbon accounting software</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$100B+</w:t>
            </w:r>
          </w:p>
          <w:p>
            <w:pPr>
              <w:spacing w:after="30" w:before="0"/>
              <w:jc w:val="center"/>
            </w:pPr>
            <w:r>
              <w:rPr>
                <w:rFonts w:ascii="Calibri" w:cs="Calibri" w:eastAsia="Calibri" w:hAnsi="Calibri"/>
                <w:b/>
                <w:bCs/>
                <w:color w:val="5F5E5A"/>
                <w:sz w:val="19"/>
                <w:szCs w:val="19"/>
              </w:rPr>
              <w:t xml:space="preserve">Projected by 2032</w:t>
            </w:r>
          </w:p>
          <w:p>
            <w:pPr>
              <w:spacing w:after="0" w:before="0"/>
              <w:jc w:val="center"/>
            </w:pPr>
            <w:r>
              <w:rPr>
                <w:rFonts w:ascii="Calibri" w:cs="Calibri" w:eastAsia="Calibri" w:hAnsi="Calibri"/>
                <w:color w:val="B4B2A9"/>
                <w:sz w:val="17"/>
                <w:szCs w:val="17"/>
              </w:rPr>
              <w:t xml:space="preserve">21.8% CAGR</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$17.7B</w:t>
            </w:r>
          </w:p>
          <w:p>
            <w:pPr>
              <w:spacing w:after="30" w:before="0"/>
              <w:jc w:val="center"/>
            </w:pPr>
            <w:r>
              <w:rPr>
                <w:rFonts w:ascii="Calibri" w:cs="Calibri" w:eastAsia="Calibri" w:hAnsi="Calibri"/>
                <w:b/>
                <w:bCs/>
                <w:color w:val="5F5E5A"/>
                <w:sz w:val="19"/>
                <w:szCs w:val="19"/>
              </w:rPr>
              <w:t xml:space="preserve">VC invested in 2023</w:t>
            </w:r>
          </w:p>
          <w:p>
            <w:pPr>
              <w:spacing w:after="0" w:before="0"/>
              <w:jc w:val="center"/>
            </w:pPr>
            <w:r>
              <w:rPr>
                <w:rFonts w:ascii="Calibri" w:cs="Calibri" w:eastAsia="Calibri" w:hAnsi="Calibri"/>
                <w:color w:val="B4B2A9"/>
                <w:sz w:val="17"/>
                <w:szCs w:val="17"/>
              </w:rPr>
              <w:t xml:space="preserve">Carbon &amp; emissions tech</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50,000</w:t>
            </w:r>
          </w:p>
          <w:p>
            <w:pPr>
              <w:spacing w:after="30" w:before="0"/>
              <w:jc w:val="center"/>
            </w:pPr>
            <w:r>
              <w:rPr>
                <w:rFonts w:ascii="Calibri" w:cs="Calibri" w:eastAsia="Calibri" w:hAnsi="Calibri"/>
                <w:b/>
                <w:bCs/>
                <w:color w:val="5F5E5A"/>
                <w:sz w:val="19"/>
                <w:szCs w:val="19"/>
              </w:rPr>
              <w:t xml:space="preserve">EU companies under CSRD</w:t>
            </w:r>
          </w:p>
          <w:p>
            <w:pPr>
              <w:spacing w:after="0" w:before="0"/>
              <w:jc w:val="center"/>
            </w:pPr>
            <w:r>
              <w:rPr>
                <w:rFonts w:ascii="Calibri" w:cs="Calibri" w:eastAsia="Calibri" w:hAnsi="Calibri"/>
                <w:color w:val="B4B2A9"/>
                <w:sz w:val="17"/>
                <w:szCs w:val="17"/>
              </w:rPr>
              <w:t xml:space="preserve">By 2025–2026</w:t>
            </w:r>
          </w:p>
        </w:tc>
      </w:tr>
    </w:tbl>
    <w:p>
      <w:pPr>
        <w:spacing w:after="0" w:before="120"/>
      </w:pPr>
      <w:r>
        <w:rPr>
          <w:rFonts w:ascii="Calibri" w:cs="Calibri" w:eastAsia="Calibri" w:hAnsi="Calibri"/>
          <w:color w:val="2C2C2A"/>
          <w:sz w:val="22"/>
          <w:szCs w:val="22"/>
        </w:rPr>
        <w:t xml:space="preserve"/>
      </w:r>
    </w:p>
    <w:p>
      <w:pPr>
        <w:spacing w:after="80" w:before="280"/>
      </w:pPr>
      <w:r>
        <w:rPr>
          <w:rFonts w:ascii="Calibri" w:cs="Calibri" w:eastAsia="Calibri" w:hAnsi="Calibri"/>
          <w:b/>
          <w:bCs/>
          <w:color w:val="2C2C2A"/>
          <w:sz w:val="23"/>
          <w:szCs w:val="23"/>
        </w:rPr>
        <w:t xml:space="preserve">5.1  Watershed — the market leader</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spacing w:after="40" w:before="0"/>
              <w:jc w:val="center"/>
            </w:pPr>
            <w:r>
              <w:rPr>
                <w:rFonts w:ascii="Calibri" w:cs="Calibri" w:eastAsia="Calibri" w:hAnsi="Calibri"/>
                <w:b/>
                <w:bCs/>
                <w:color w:val="0F6E56"/>
                <w:sz w:val="34"/>
                <w:szCs w:val="34"/>
              </w:rPr>
              <w:t xml:space="preserve">$108M</w:t>
            </w:r>
          </w:p>
          <w:p>
            <w:pPr>
              <w:spacing w:after="30" w:before="0"/>
              <w:jc w:val="center"/>
            </w:pPr>
            <w:r>
              <w:rPr>
                <w:rFonts w:ascii="Calibri" w:cs="Calibri" w:eastAsia="Calibri" w:hAnsi="Calibri"/>
                <w:b/>
                <w:bCs/>
                <w:color w:val="1D9E75"/>
                <w:sz w:val="19"/>
                <w:szCs w:val="19"/>
              </w:rPr>
              <w:t xml:space="preserve">Revenue (Sep 2025)</w:t>
            </w:r>
          </w:p>
          <w:p>
            <w:pPr>
              <w:spacing w:after="0" w:before="0"/>
              <w:jc w:val="center"/>
            </w:pPr>
            <w:r>
              <w:rPr>
                <w:rFonts w:ascii="Calibri" w:cs="Calibri" w:eastAsia="Calibri" w:hAnsi="Calibri"/>
                <w:color w:val="1D9E75"/>
                <w:sz w:val="17"/>
                <w:szCs w:val="17"/>
              </w:rPr>
              <w:t xml:space="preserve">Up from $77M in 2024</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$1.8B</w:t>
            </w:r>
          </w:p>
          <w:p>
            <w:pPr>
              <w:spacing w:after="30" w:before="0"/>
              <w:jc w:val="center"/>
            </w:pPr>
            <w:r>
              <w:rPr>
                <w:rFonts w:ascii="Calibri" w:cs="Calibri" w:eastAsia="Calibri" w:hAnsi="Calibri"/>
                <w:b/>
                <w:bCs/>
                <w:color w:val="5F5E5A"/>
                <w:sz w:val="19"/>
                <w:szCs w:val="19"/>
              </w:rPr>
              <w:t xml:space="preserve">Valuation</w:t>
            </w:r>
          </w:p>
          <w:p>
            <w:pPr>
              <w:spacing w:after="0" w:before="0"/>
              <w:jc w:val="center"/>
            </w:pPr>
            <w:r>
              <w:rPr>
                <w:rFonts w:ascii="Calibri" w:cs="Calibri" w:eastAsia="Calibri" w:hAnsi="Calibri"/>
                <w:color w:val="B4B2A9"/>
                <w:sz w:val="17"/>
                <w:szCs w:val="17"/>
              </w:rPr>
              <w:t xml:space="preserve">Series C, Feb 2024</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$225M</w:t>
            </w:r>
          </w:p>
          <w:p>
            <w:pPr>
              <w:spacing w:after="30" w:before="0"/>
              <w:jc w:val="center"/>
            </w:pPr>
            <w:r>
              <w:rPr>
                <w:rFonts w:ascii="Calibri" w:cs="Calibri" w:eastAsia="Calibri" w:hAnsi="Calibri"/>
                <w:b/>
                <w:bCs/>
                <w:color w:val="5F5E5A"/>
                <w:sz w:val="19"/>
                <w:szCs w:val="19"/>
              </w:rPr>
              <w:t xml:space="preserve">Total raised</w:t>
            </w:r>
          </w:p>
          <w:p>
            <w:pPr>
              <w:spacing w:after="0" w:before="0"/>
              <w:jc w:val="center"/>
            </w:pPr>
            <w:r>
              <w:rPr>
                <w:rFonts w:ascii="Calibri" w:cs="Calibri" w:eastAsia="Calibri" w:hAnsi="Calibri"/>
                <w:color w:val="B4B2A9"/>
                <w:sz w:val="17"/>
                <w:szCs w:val="17"/>
              </w:rPr>
              <w:t xml:space="preserve">Sequoia · Kleiner Perkins</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500+</w:t>
            </w:r>
          </w:p>
          <w:p>
            <w:pPr>
              <w:spacing w:after="30" w:before="0"/>
              <w:jc w:val="center"/>
            </w:pPr>
            <w:r>
              <w:rPr>
                <w:rFonts w:ascii="Calibri" w:cs="Calibri" w:eastAsia="Calibri" w:hAnsi="Calibri"/>
                <w:b/>
                <w:bCs/>
                <w:color w:val="5F5E5A"/>
                <w:sz w:val="19"/>
                <w:szCs w:val="19"/>
              </w:rPr>
              <w:t xml:space="preserve">Customers (2024)</w:t>
            </w:r>
          </w:p>
          <w:p>
            <w:pPr>
              <w:spacing w:after="0" w:before="0"/>
              <w:jc w:val="center"/>
            </w:pPr>
            <w:r>
              <w:rPr>
                <w:rFonts w:ascii="Calibri" w:cs="Calibri" w:eastAsia="Calibri" w:hAnsi="Calibri"/>
                <w:color w:val="B4B2A9"/>
                <w:sz w:val="17"/>
                <w:szCs w:val="17"/>
              </w:rPr>
              <w:t xml:space="preserve">BlackRock, Walmart, FedEx, Visa</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spacing w:after="40" w:before="0"/>
              <w:jc w:val="center"/>
            </w:pPr>
            <w:r>
              <w:rPr>
                <w:rFonts w:ascii="Calibri" w:cs="Calibri" w:eastAsia="Calibri" w:hAnsi="Calibri"/>
                <w:b/>
                <w:bCs/>
                <w:color w:val="0F6E56"/>
                <w:sz w:val="34"/>
                <w:szCs w:val="34"/>
              </w:rPr>
              <w:t xml:space="preserve">~550</w:t>
            </w:r>
          </w:p>
          <w:p>
            <w:pPr>
              <w:spacing w:after="30" w:before="0"/>
              <w:jc w:val="center"/>
            </w:pPr>
            <w:r>
              <w:rPr>
                <w:rFonts w:ascii="Calibri" w:cs="Calibri" w:eastAsia="Calibri" w:hAnsi="Calibri"/>
                <w:b/>
                <w:bCs/>
                <w:color w:val="1D9E75"/>
                <w:sz w:val="19"/>
                <w:szCs w:val="19"/>
              </w:rPr>
              <w:t xml:space="preserve">Employees</w:t>
            </w:r>
          </w:p>
          <w:p>
            <w:pPr>
              <w:spacing w:after="0" w:before="0"/>
              <w:jc w:val="center"/>
            </w:pPr>
            <w:r>
              <w:rPr>
                <w:rFonts w:ascii="Calibri" w:cs="Calibri" w:eastAsia="Calibri" w:hAnsi="Calibri"/>
                <w:color w:val="1D9E75"/>
                <w:sz w:val="17"/>
                <w:szCs w:val="17"/>
              </w:rPr>
              <w:t xml:space="preserve">+34% growth YoY</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~$197K</w:t>
            </w:r>
          </w:p>
          <w:p>
            <w:pPr>
              <w:spacing w:after="30" w:before="0"/>
              <w:jc w:val="center"/>
            </w:pPr>
            <w:r>
              <w:rPr>
                <w:rFonts w:ascii="Calibri" w:cs="Calibri" w:eastAsia="Calibri" w:hAnsi="Calibri"/>
                <w:b/>
                <w:bCs/>
                <w:color w:val="5F5E5A"/>
                <w:sz w:val="19"/>
                <w:szCs w:val="19"/>
              </w:rPr>
              <w:t xml:space="preserve">Revenue / employee</w:t>
            </w:r>
          </w:p>
          <w:p>
            <w:pPr>
              <w:spacing w:after="0" w:before="0"/>
              <w:jc w:val="center"/>
            </w:pPr>
            <w:r>
              <w:rPr>
                <w:rFonts w:ascii="Calibri" w:cs="Calibri" w:eastAsia="Calibri" w:hAnsi="Calibri"/>
                <w:color w:val="B4B2A9"/>
                <w:sz w:val="17"/>
                <w:szCs w:val="17"/>
              </w:rPr>
              <w:t xml:space="preserve">Healthy for enterprise SaaS</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~$216K</w:t>
            </w:r>
          </w:p>
          <w:p>
            <w:pPr>
              <w:spacing w:after="30" w:before="0"/>
              <w:jc w:val="center"/>
            </w:pPr>
            <w:r>
              <w:rPr>
                <w:rFonts w:ascii="Calibri" w:cs="Calibri" w:eastAsia="Calibri" w:hAnsi="Calibri"/>
                <w:b/>
                <w:bCs/>
                <w:color w:val="5F5E5A"/>
                <w:sz w:val="19"/>
                <w:szCs w:val="19"/>
              </w:rPr>
              <w:t xml:space="preserve">Revenue / customer</w:t>
            </w:r>
          </w:p>
          <w:p>
            <w:pPr>
              <w:spacing w:after="0" w:before="0"/>
              <w:jc w:val="center"/>
            </w:pPr>
            <w:r>
              <w:rPr>
                <w:rFonts w:ascii="Calibri" w:cs="Calibri" w:eastAsia="Calibri" w:hAnsi="Calibri"/>
                <w:color w:val="B4B2A9"/>
                <w:sz w:val="17"/>
                <w:szCs w:val="17"/>
              </w:rPr>
              <w:t xml:space="preserve">$108M ÷ 500 customers</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1.9 GT</w:t>
            </w:r>
          </w:p>
          <w:p>
            <w:pPr>
              <w:spacing w:after="30" w:before="0"/>
              <w:jc w:val="center"/>
            </w:pPr>
            <w:r>
              <w:rPr>
                <w:rFonts w:ascii="Calibri" w:cs="Calibri" w:eastAsia="Calibri" w:hAnsi="Calibri"/>
                <w:b/>
                <w:bCs/>
                <w:color w:val="5F5E5A"/>
                <w:sz w:val="19"/>
                <w:szCs w:val="19"/>
              </w:rPr>
              <w:t xml:space="preserve">CO₂ under management</w:t>
            </w:r>
          </w:p>
          <w:p>
            <w:pPr>
              <w:spacing w:after="0" w:before="0"/>
              <w:jc w:val="center"/>
            </w:pPr>
            <w:r>
              <w:rPr>
                <w:rFonts w:ascii="Calibri" w:cs="Calibri" w:eastAsia="Calibri" w:hAnsi="Calibri"/>
                <w:color w:val="B4B2A9"/>
                <w:sz w:val="17"/>
                <w:szCs w:val="17"/>
              </w:rPr>
              <w:t xml:space="preserve">More than Japan's annual</w:t>
            </w:r>
          </w:p>
        </w:tc>
      </w:tr>
    </w:tbl>
    <w:p>
      <w:pPr>
        <w:spacing w:after="0" w:before="80"/>
      </w:pPr>
      <w:r>
        <w:rPr>
          <w:rFonts w:ascii="Calibri" w:cs="Calibri" w:eastAsia="Calibri" w:hAnsi="Calibri"/>
          <w:color w:val="2C2C2A"/>
          <w:sz w:val="22"/>
          <w:szCs w:val="22"/>
        </w:rPr>
        <w:t xml:space="preserve"/>
      </w:r>
    </w:p>
    <w:p>
      <w:pPr>
        <w:spacing w:after="100" w:before="60"/>
      </w:pPr>
      <w:r>
        <w:rPr>
          <w:rFonts w:ascii="Calibri" w:cs="Calibri" w:eastAsia="Calibri" w:hAnsi="Calibri"/>
          <w:color w:val="2C2C2A"/>
          <w:sz w:val="22"/>
          <w:szCs w:val="22"/>
        </w:rPr>
        <w:t xml:space="preserve">Revenue model: Annual enterprise SaaS contracts, quote-based, estimated $50K–$200K+ per customer per year. Second stream: marketplace commission on carbon removal offset purchases. Founded by three ex-Stripe employees. Named Verdantix Leader 2026.</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E1F5EE" w:val="clear"/>
            <w:tcMar>
              <w:top w:type="dxa" w:w="120"/>
              <w:left w:type="dxa" w:w="180"/>
              <w:bottom w:type="dxa" w:w="120"/>
              <w:right w:type="dxa" w:w="160"/>
            </w:tcMar>
          </w:tcPr>
          <w:p>
            <w:pPr>
              <w:spacing w:after="60" w:before="0"/>
            </w:pPr>
            <w:r>
              <w:rPr>
                <w:rFonts w:ascii="Calibri" w:cs="Calibri" w:eastAsia="Calibri" w:hAnsi="Calibri"/>
                <w:b/>
                <w:bCs/>
                <w:color w:val="1D9E75"/>
                <w:sz w:val="20"/>
                <w:szCs w:val="20"/>
              </w:rPr>
              <w:t xml:space="preserve">Watershed's blind spot — your entry point</w:t>
            </w:r>
          </w:p>
          <w:p>
            <w:pPr>
              <w:spacing w:after="0" w:before="0"/>
            </w:pPr>
            <w:r>
              <w:rPr>
                <w:rFonts w:ascii="Calibri" w:cs="Calibri" w:eastAsia="Calibri" w:hAnsi="Calibri"/>
                <w:color w:val="0A4A38"/>
                <w:sz w:val="21"/>
                <w:szCs w:val="21"/>
              </w:rPr>
              <w:t xml:space="preserve">Generic across all industries. No DC-specific intelligence, no infrastructure mapping, no real-time grid data, no 10-year ML forecasting. Designed for CFOs reporting to investors. Your buyer is the CTO and VP of Infrastructure. Zero overlap — you are not competing with Watershed, you are filling the gap they left open.</w:t>
            </w:r>
          </w:p>
        </w:tc>
      </w:tr>
    </w:tbl>
    <w:p>
      <w:pPr>
        <w:spacing w:after="0" w:before="120"/>
      </w:pPr>
      <w:r>
        <w:rPr>
          <w:rFonts w:ascii="Calibri" w:cs="Calibri" w:eastAsia="Calibri" w:hAnsi="Calibri"/>
          <w:color w:val="2C2C2A"/>
          <w:sz w:val="22"/>
          <w:szCs w:val="22"/>
        </w:rPr>
        <w:t xml:space="preserve"/>
      </w:r>
    </w:p>
    <w:p>
      <w:pPr>
        <w:spacing w:after="80" w:before="280"/>
      </w:pPr>
      <w:r>
        <w:rPr>
          <w:rFonts w:ascii="Calibri" w:cs="Calibri" w:eastAsia="Calibri" w:hAnsi="Calibri"/>
          <w:b/>
          <w:bCs/>
          <w:color w:val="2C2C2A"/>
          <w:sz w:val="23"/>
          <w:szCs w:val="23"/>
        </w:rPr>
        <w:t xml:space="preserve">5.2  Persefoni — the cautionary tale</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spacing w:after="40" w:before="0"/>
              <w:jc w:val="center"/>
            </w:pPr>
            <w:r>
              <w:rPr>
                <w:rFonts w:ascii="Calibri" w:cs="Calibri" w:eastAsia="Calibri" w:hAnsi="Calibri"/>
                <w:b/>
                <w:bCs/>
                <w:color w:val="0F6E56"/>
                <w:sz w:val="34"/>
                <w:szCs w:val="34"/>
              </w:rPr>
              <w:t xml:space="preserve">$4.3M</w:t>
            </w:r>
          </w:p>
          <w:p>
            <w:pPr>
              <w:spacing w:after="30" w:before="0"/>
              <w:jc w:val="center"/>
            </w:pPr>
            <w:r>
              <w:rPr>
                <w:rFonts w:ascii="Calibri" w:cs="Calibri" w:eastAsia="Calibri" w:hAnsi="Calibri"/>
                <w:b/>
                <w:bCs/>
                <w:color w:val="1D9E75"/>
                <w:sz w:val="19"/>
                <w:szCs w:val="19"/>
              </w:rPr>
              <w:t xml:space="preserve">Revenue (2024)</w:t>
            </w:r>
          </w:p>
          <w:p>
            <w:pPr>
              <w:spacing w:after="0" w:before="0"/>
              <w:jc w:val="center"/>
            </w:pPr>
            <w:r>
              <w:rPr>
                <w:rFonts w:ascii="Calibri" w:cs="Calibri" w:eastAsia="Calibri" w:hAnsi="Calibri"/>
                <w:color w:val="1D9E75"/>
                <w:sz w:val="17"/>
                <w:szCs w:val="17"/>
              </w:rPr>
              <w:t xml:space="preserve">Up from $3.4M in 2023</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$190M</w:t>
            </w:r>
          </w:p>
          <w:p>
            <w:pPr>
              <w:spacing w:after="30" w:before="0"/>
              <w:jc w:val="center"/>
            </w:pPr>
            <w:r>
              <w:rPr>
                <w:rFonts w:ascii="Calibri" w:cs="Calibri" w:eastAsia="Calibri" w:hAnsi="Calibri"/>
                <w:b/>
                <w:bCs/>
                <w:color w:val="5F5E5A"/>
                <w:sz w:val="19"/>
                <w:szCs w:val="19"/>
              </w:rPr>
              <w:t xml:space="preserve">Total raised</w:t>
            </w:r>
          </w:p>
          <w:p>
            <w:pPr>
              <w:spacing w:after="0" w:before="0"/>
              <w:jc w:val="center"/>
            </w:pPr>
            <w:r>
              <w:rPr>
                <w:rFonts w:ascii="Calibri" w:cs="Calibri" w:eastAsia="Calibri" w:hAnsi="Calibri"/>
                <w:color w:val="B4B2A9"/>
                <w:sz w:val="17"/>
                <w:szCs w:val="17"/>
              </w:rPr>
              <w:t xml:space="preserve">Acquired by Diligent Oct 2025</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44:1</w:t>
            </w:r>
          </w:p>
          <w:p>
            <w:pPr>
              <w:spacing w:after="30" w:before="0"/>
              <w:jc w:val="center"/>
            </w:pPr>
            <w:r>
              <w:rPr>
                <w:rFonts w:ascii="Calibri" w:cs="Calibri" w:eastAsia="Calibri" w:hAnsi="Calibri"/>
                <w:b/>
                <w:bCs/>
                <w:color w:val="5F5E5A"/>
                <w:sz w:val="19"/>
                <w:szCs w:val="19"/>
              </w:rPr>
              <w:t xml:space="preserve">Capital : revenue ratio</w:t>
            </w:r>
          </w:p>
          <w:p>
            <w:pPr>
              <w:spacing w:after="0" w:before="0"/>
              <w:jc w:val="center"/>
            </w:pPr>
            <w:r>
              <w:rPr>
                <w:rFonts w:ascii="Calibri" w:cs="Calibri" w:eastAsia="Calibri" w:hAnsi="Calibri"/>
                <w:color w:val="B4B2A9"/>
                <w:sz w:val="17"/>
                <w:szCs w:val="17"/>
              </w:rPr>
              <w:t xml:space="preserve">A cautionary number</w:t>
            </w:r>
          </w:p>
        </w:tc>
        <w:tc>
          <w:tcPr>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40" w:before="0"/>
              <w:jc w:val="center"/>
            </w:pPr>
            <w:r>
              <w:rPr>
                <w:rFonts w:ascii="Calibri" w:cs="Calibri" w:eastAsia="Calibri" w:hAnsi="Calibri"/>
                <w:b/>
                <w:bCs/>
                <w:color w:val="2C2C2A"/>
                <w:sz w:val="34"/>
                <w:szCs w:val="34"/>
              </w:rPr>
              <w:t xml:space="preserve">8,000+</w:t>
            </w:r>
          </w:p>
          <w:p>
            <w:pPr>
              <w:spacing w:after="30" w:before="0"/>
              <w:jc w:val="center"/>
            </w:pPr>
            <w:r>
              <w:rPr>
                <w:rFonts w:ascii="Calibri" w:cs="Calibri" w:eastAsia="Calibri" w:hAnsi="Calibri"/>
                <w:b/>
                <w:bCs/>
                <w:color w:val="5F5E5A"/>
                <w:sz w:val="19"/>
                <w:szCs w:val="19"/>
              </w:rPr>
              <w:t xml:space="preserve">Free Pro users</w:t>
            </w:r>
          </w:p>
          <w:p>
            <w:pPr>
              <w:spacing w:after="0" w:before="0"/>
              <w:jc w:val="center"/>
            </w:pPr>
            <w:r>
              <w:rPr>
                <w:rFonts w:ascii="Calibri" w:cs="Calibri" w:eastAsia="Calibri" w:hAnsi="Calibri"/>
                <w:color w:val="B4B2A9"/>
                <w:sz w:val="17"/>
                <w:szCs w:val="17"/>
              </w:rPr>
              <w:t xml:space="preserve">Across 100+ countries</w:t>
            </w:r>
          </w:p>
        </w:tc>
      </w:tr>
    </w:tbl>
    <w:p>
      <w:pPr>
        <w:spacing w:after="0" w:before="80"/>
      </w:pPr>
      <w:r>
        <w:rPr>
          <w:rFonts w:ascii="Calibri" w:cs="Calibri" w:eastAsia="Calibri" w:hAnsi="Calibri"/>
          <w:color w:val="2C2C2A"/>
          <w:sz w:val="22"/>
          <w:szCs w:val="22"/>
        </w:rPr>
        <w:t xml:space="preserve"/>
      </w:r>
    </w:p>
    <w:p>
      <w:pPr>
        <w:spacing w:after="100" w:before="60"/>
      </w:pPr>
      <w:r>
        <w:rPr>
          <w:rFonts w:ascii="Calibri" w:cs="Calibri" w:eastAsia="Calibri" w:hAnsi="Calibri"/>
          <w:color w:val="2C2C2A"/>
          <w:sz w:val="22"/>
          <w:szCs w:val="22"/>
        </w:rPr>
        <w:t xml:space="preserve">Pricing: Free Pro tier for SMBs. Paid tiers scale by client revenue size — ~$55K/year for organisations under $250M revenue, up to ~$260K/year for the largest enterprises. Multi-year contracts standard. Sells through AWS Marketplace.</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854F0B"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FAEEDA" w:val="clear"/>
            <w:tcMar>
              <w:top w:type="dxa" w:w="120"/>
              <w:left w:type="dxa" w:w="180"/>
              <w:bottom w:type="dxa" w:w="120"/>
              <w:right w:type="dxa" w:w="160"/>
            </w:tcMar>
          </w:tcPr>
          <w:p>
            <w:pPr>
              <w:spacing w:after="60" w:before="0"/>
            </w:pPr>
            <w:r>
              <w:rPr>
                <w:rFonts w:ascii="Calibri" w:cs="Calibri" w:eastAsia="Calibri" w:hAnsi="Calibri"/>
                <w:b/>
                <w:bCs/>
                <w:color w:val="854F0B"/>
                <w:sz w:val="20"/>
                <w:szCs w:val="20"/>
              </w:rPr>
              <w:t xml:space="preserve">Warning — do not repeat this mistake</w:t>
            </w:r>
          </w:p>
          <w:p>
            <w:pPr>
              <w:spacing w:after="0" w:before="0"/>
            </w:pPr>
            <w:r>
              <w:rPr>
                <w:rFonts w:ascii="Calibri" w:cs="Calibri" w:eastAsia="Calibri" w:hAnsi="Calibri"/>
                <w:color w:val="854F0B"/>
                <w:sz w:val="21"/>
                <w:szCs w:val="21"/>
              </w:rPr>
              <w:t xml:space="preserve">Persefoni raised $190M and generated $4.3M — a 44:1 capital-to-revenue ratio. Your advantage is that you cannot burn $190M. Build a model that works lean. Charge $299/month from your very first pilot. Every month of free access without paid commitment is a month of data you are giving away.</w:t>
            </w:r>
          </w:p>
        </w:tc>
      </w:tr>
    </w:tbl>
    <w:p>
      <w:pPr>
        <w:spacing w:after="0" w:before="120"/>
      </w:pPr>
      <w:r>
        <w:rPr>
          <w:rFonts w:ascii="Calibri" w:cs="Calibri" w:eastAsia="Calibri" w:hAnsi="Calibri"/>
          <w:color w:val="2C2C2A"/>
          <w:sz w:val="22"/>
          <w:szCs w:val="22"/>
        </w:rPr>
        <w:t xml:space="preserve"/>
      </w:r>
    </w:p>
    <w:p>
      <w:pPr>
        <w:spacing w:after="80" w:before="280"/>
      </w:pPr>
      <w:r>
        <w:rPr>
          <w:rFonts w:ascii="Calibri" w:cs="Calibri" w:eastAsia="Calibri" w:hAnsi="Calibri"/>
          <w:b/>
          <w:bCs/>
          <w:color w:val="2C2C2A"/>
          <w:sz w:val="23"/>
          <w:szCs w:val="23"/>
        </w:rPr>
        <w:t xml:space="preserve">5.3  Data providers — your suppliers</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3826"/>
      </w:tblGrid>
      <w:tr>
        <w:trPr>
          <w:tblHeader/>
        </w:trPr>
        <w:tc>
          <w:tcPr>
            <w:tcW w:type="dxa" w:w="15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Company</w:t>
            </w:r>
          </w:p>
        </w:tc>
        <w:tc>
          <w:tcPr>
            <w:tcW w:type="dxa" w:w="2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Revenue model</w:t>
            </w:r>
          </w:p>
        </w:tc>
        <w:tc>
          <w:tcPr>
            <w:tcW w:type="dxa" w:w="15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Funding / revenue</w:t>
            </w:r>
          </w:p>
        </w:tc>
        <w:tc>
          <w:tcPr>
            <w:tcW w:type="dxa" w:w="3826"/>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Your relationship</w:t>
            </w:r>
          </w:p>
        </w:tc>
      </w:tr>
      <w:tr>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WattTime</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Freemium PRO API + enterprise contracts + nonprofit grants.</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Nonprofit / grant-funded</w:t>
            </w:r>
          </w:p>
        </w:tc>
        <w:tc>
          <w:tcPr>
            <w:tcW w:type="dxa" w:w="38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Supplier. Integrate their PRO API. Build the visual product layer they will never build.</w:t>
            </w:r>
          </w:p>
        </w:tc>
      </w:tr>
      <w:tr>
        <w:tc>
          <w:tcPr>
            <w:tcW w:type="dxa" w:w="15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Electricity Maps</w:t>
            </w:r>
          </w:p>
        </w:tc>
        <w:tc>
          <w:tcPr>
            <w:tcW w:type="dxa" w:w="22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Free (non-commercial). Commercial from ~€200–500/month. Enterprise custom.</w:t>
            </w:r>
          </w:p>
        </w:tc>
        <w:tc>
          <w:tcPr>
            <w:tcW w:type="dxa" w:w="15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€5M Series A · ~€2–4M est.</w:t>
            </w:r>
          </w:p>
        </w:tc>
        <w:tc>
          <w:tcPr>
            <w:tcW w:type="dxa" w:w="38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Your primary live data source. €200–500/month unlocks 50+ countries of real-time grid carbon intensity.</w:t>
            </w:r>
          </w:p>
        </w:tc>
      </w:tr>
      <w:tr>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Climatiq</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Freemium API tiers. Enterprise embedding licences for product teams.</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$19.6M raised · ~$3–5M est.</w:t>
            </w:r>
          </w:p>
        </w:tc>
        <w:tc>
          <w:tcPr>
            <w:tcW w:type="dxa" w:w="38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Consider integrating their emissions factor database rather than building your own from scratch.</w:t>
            </w:r>
          </w:p>
        </w:tc>
      </w:tr>
    </w:tbl>
    <w:p>
      <w:pPr>
        <w:spacing w:after="0" w:before="120"/>
      </w:pPr>
      <w:r>
        <w:rPr>
          <w:rFonts w:ascii="Calibri" w:cs="Calibri" w:eastAsia="Calibri" w:hAnsi="Calibri"/>
          <w:color w:val="2C2C2A"/>
          <w:sz w:val="22"/>
          <w:szCs w:val="22"/>
        </w:rPr>
        <w:t xml:space="preserve"/>
      </w:r>
    </w:p>
    <w:p>
      <w:pPr>
        <w:spacing w:after="80" w:before="280"/>
      </w:pPr>
      <w:r>
        <w:rPr>
          <w:rFonts w:ascii="Calibri" w:cs="Calibri" w:eastAsia="Calibri" w:hAnsi="Calibri"/>
          <w:b/>
          <w:bCs/>
          <w:color w:val="2C2C2A"/>
          <w:sz w:val="23"/>
          <w:szCs w:val="23"/>
        </w:rPr>
        <w:t xml:space="preserve">5.4  Your revenue benchmarks</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3826"/>
      </w:tblGrid>
      <w:tr>
        <w:trPr>
          <w:tblHeader/>
        </w:trPr>
        <w:tc>
          <w:tcPr>
            <w:tcW w:type="dxa" w:w="2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Metric</w:t>
            </w:r>
          </w:p>
        </w:tc>
        <w:tc>
          <w:tcPr>
            <w:tcW w:type="dxa" w:w="16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Year 1</w:t>
            </w:r>
          </w:p>
        </w:tc>
        <w:tc>
          <w:tcPr>
            <w:tcW w:type="dxa" w:w="16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Year 2</w:t>
            </w:r>
          </w:p>
        </w:tc>
        <w:tc>
          <w:tcPr>
            <w:tcW w:type="dxa" w:w="3826"/>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How to get there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Paying customers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3–10</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20–50</w:t>
            </w:r>
          </w:p>
        </w:tc>
        <w:tc>
          <w:tcPr>
            <w:tcW w:type="dxa" w:w="38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Pilot conversions + referrals + outbound via LinkedIn + accelerator network.</w:t>
            </w:r>
          </w:p>
        </w:tc>
      </w:tr>
      <w:tr>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ARPU per year</w:t>
            </w:r>
          </w:p>
        </w:tc>
        <w:tc>
          <w:tcPr>
            <w:tcW w:type="dxa" w:w="1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$3,600</w:t>
            </w:r>
          </w:p>
        </w:tc>
        <w:tc>
          <w:tcPr>
            <w:tcW w:type="dxa" w:w="1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$6–12K</w:t>
            </w:r>
          </w:p>
        </w:tc>
        <w:tc>
          <w:tcPr>
            <w:tcW w:type="dxa" w:w="38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Start at $299/month. Add enterprise tier ($30K+/year) once you have 10 paid customers.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ARR target</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$10–36K</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$200–500K</w:t>
            </w:r>
          </w:p>
        </w:tc>
        <w:tc>
          <w:tcPr>
            <w:tcW w:type="dxa" w:w="38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$200K+ ARR with 3–6 months of traction is fundable for a pre-seed raise of $500K–$1.5M.</w:t>
            </w:r>
          </w:p>
        </w:tc>
      </w:tr>
      <w:tr>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Comparable at stage</w:t>
            </w:r>
          </w:p>
        </w:tc>
        <w:tc>
          <w:tcPr>
            <w:tcW w:type="dxa" w:w="1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Persefoni Year 1</w:t>
            </w:r>
          </w:p>
        </w:tc>
        <w:tc>
          <w:tcPr>
            <w:tcW w:type="dxa" w:w="1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Persefoni Year 2–3</w:t>
            </w:r>
          </w:p>
        </w:tc>
        <w:tc>
          <w:tcPr>
            <w:tcW w:type="dxa" w:w="38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Persefoni hit $1.8M ARR in 2021 (Year 1). You can exceed that — regulatory pressure is stronger now and EU positioning removes a key sales barrier.</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E1F5EE" w:val="clear"/>
            <w:tcMar>
              <w:top w:type="dxa" w:w="120"/>
              <w:left w:type="dxa" w:w="180"/>
              <w:bottom w:type="dxa" w:w="120"/>
              <w:right w:type="dxa" w:w="160"/>
            </w:tcMar>
          </w:tcPr>
          <w:p>
            <w:pPr>
              <w:spacing w:after="60" w:before="0"/>
            </w:pPr>
            <w:r>
              <w:rPr>
                <w:rFonts w:ascii="Calibri" w:cs="Calibri" w:eastAsia="Calibri" w:hAnsi="Calibri"/>
                <w:b/>
                <w:bCs/>
                <w:color w:val="1D9E75"/>
                <w:sz w:val="20"/>
                <w:szCs w:val="20"/>
              </w:rPr>
              <w:t xml:space="preserve">The single most useful number</w:t>
            </w:r>
          </w:p>
          <w:p>
            <w:pPr>
              <w:spacing w:after="0" w:before="0"/>
            </w:pPr>
            <w:r>
              <w:rPr>
                <w:rFonts w:ascii="Calibri" w:cs="Calibri" w:eastAsia="Calibri" w:hAnsi="Calibri"/>
                <w:color w:val="0A4A38"/>
                <w:sz w:val="21"/>
                <w:szCs w:val="21"/>
              </w:rPr>
              <w:t xml:space="preserve">Watershed earns ~$216K per customer per year. Even at 1/60th of that — $3,600/year per customer — 100 customers gives you $360K ARR. That is a completely fundable business. The market is proven. The gap is real. The only question is speed.</w:t>
            </w:r>
          </w:p>
        </w:tc>
      </w:tr>
    </w:tbl>
    <w:p>
      <w:pPr>
        <w:spacing w:after="0" w:before="120"/>
      </w:pPr>
      <w:r>
        <w:rPr>
          <w:rFonts w:ascii="Calibri" w:cs="Calibri" w:eastAsia="Calibri" w:hAnsi="Calibri"/>
          <w:color w:val="2C2C2A"/>
          <w:sz w:val="22"/>
          <w:szCs w:val="22"/>
        </w:rPr>
        <w:t xml:space="preserve"/>
      </w:r>
    </w:p>
    <w:p>
      <w:r>
        <w:br w:type="page"/>
      </w:r>
    </w:p>
    <w:p>
      <w:pPr>
        <w:pBdr>
          <w:bottom w:val="single" w:color="1D9E75" w:sz="6" w:space="4"/>
        </w:pBdr>
        <w:spacing w:after="80" w:before="480"/>
      </w:pPr>
      <w:r>
        <w:rPr>
          <w:rFonts w:ascii="Calibri" w:cs="Calibri" w:eastAsia="Calibri" w:hAnsi="Calibri"/>
          <w:b/>
          <w:bCs/>
          <w:color w:val="1D9E75"/>
          <w:sz w:val="28"/>
          <w:szCs w:val="28"/>
        </w:rPr>
        <w:t xml:space="preserve">6  </w:t>
      </w:r>
      <w:r>
        <w:rPr>
          <w:rFonts w:ascii="Calibri" w:cs="Calibri" w:eastAsia="Calibri" w:hAnsi="Calibri"/>
          <w:b/>
          <w:bCs/>
          <w:color w:val="0A4A38"/>
          <w:sz w:val="28"/>
          <w:szCs w:val="28"/>
        </w:rPr>
        <w:t xml:space="preserve">What makes you genuinely different</w:t>
      </w:r>
    </w:p>
    <w:p>
      <w:pPr>
        <w:spacing w:after="100" w:before="60"/>
      </w:pPr>
      <w:r>
        <w:rPr>
          <w:rFonts w:ascii="Calibri" w:cs="Calibri" w:eastAsia="Calibri" w:hAnsi="Calibri"/>
          <w:color w:val="2C2C2A"/>
          <w:sz w:val="22"/>
          <w:szCs w:val="22"/>
        </w:rPr>
        <w:t xml:space="preserve">Eight specific things you do that no competitor does — each one backed by evidence from the competitive landscape.</w:t>
      </w:r>
    </w:p>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6066"/>
      </w:tblGrid>
      <w:tr>
        <w:trPr>
          <w:tblHeader/>
        </w:trPr>
        <w:tc>
          <w:tcPr>
            <w:tcW w:type="dxa" w:w="5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w:t>
            </w:r>
          </w:p>
        </w:tc>
        <w:tc>
          <w:tcPr>
            <w:tcW w:type="dxa" w:w="2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Differentiator</w:t>
            </w:r>
          </w:p>
        </w:tc>
        <w:tc>
          <w:tcPr>
            <w:tcW w:type="dxa" w:w="6066"/>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Evidence and explanation</w:t>
            </w:r>
          </w:p>
        </w:tc>
      </w:tr>
      <w:tr>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1</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Global DC mapping at facility level</w:t>
            </w:r>
          </w:p>
        </w:tc>
        <w:tc>
          <w:tcPr>
            <w:tcW w:type="dxa" w:w="606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WattTime maps grid regions. Watershed maps company-level footprints. Nobody maps individual data center facilities globally and benchmarks them against each other. Your most defensible first wedge.</w:t>
            </w:r>
          </w:p>
        </w:tc>
      </w:tr>
      <w:tr>
        <w:tc>
          <w:tcPr>
            <w:tcW w:type="dxa" w:w="56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2</w:t>
            </w:r>
          </w:p>
        </w:tc>
        <w:tc>
          <w:tcPr>
            <w:tcW w:type="dxa" w:w="2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10-year ML emissions forecasting</w:t>
            </w:r>
          </w:p>
        </w:tc>
        <w:tc>
          <w:tcPr>
            <w:tcW w:type="dxa" w:w="606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Every competitor reports the past or present. Your ML model forecasts what a data center's emissions will look like in 2030 and 2035 under SSP2 and SSP5-8.5 climate scenarios. Nothing else does this at DC level.</w:t>
            </w:r>
          </w:p>
        </w:tc>
      </w:tr>
      <w:tr>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3</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Prescriptive, ROI-quantified recommendations</w:t>
            </w:r>
          </w:p>
        </w:tc>
        <w:tc>
          <w:tcPr>
            <w:tcW w:type="dxa" w:w="606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'Move workloads to Dublin on Tuesday afternoons: reduce emissions 18%.' Nobody else produces prescriptive, ranked, financially quantified recommendations for DC operators. This is completely open space.</w:t>
            </w:r>
          </w:p>
        </w:tc>
      </w:tr>
      <w:tr>
        <w:tc>
          <w:tcPr>
            <w:tcW w:type="dxa" w:w="56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4</w:t>
            </w:r>
          </w:p>
        </w:tc>
        <w:tc>
          <w:tcPr>
            <w:tcW w:type="dxa" w:w="2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Infrastructure-specific — not generic</w:t>
            </w:r>
          </w:p>
        </w:tc>
        <w:tc>
          <w:tcPr>
            <w:tcW w:type="dxa" w:w="606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Every carbon platform serves all industries. You serve specifically data centers — which makes your data model, benchmarks, and recommendations more accurate and more relevant than anything a general platform can produce.</w:t>
            </w:r>
          </w:p>
        </w:tc>
      </w:tr>
      <w:tr>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5</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EU-native, DC-specific compliance</w:t>
            </w:r>
          </w:p>
        </w:tc>
        <w:tc>
          <w:tcPr>
            <w:tcW w:type="dxa" w:w="606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Built from inside the EU by a Polish founder. EU Energy Efficiency Directive (DCs above 500kW), CSRD, and AI Act energy reporting are your home territory. Watershed and Persefoni are US-built. This is a structural advantage that cannot be purchased.</w:t>
            </w:r>
          </w:p>
        </w:tc>
      </w:tr>
      <w:tr>
        <w:tc>
          <w:tcPr>
            <w:tcW w:type="dxa" w:w="56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6</w:t>
            </w:r>
          </w:p>
        </w:tc>
        <w:tc>
          <w:tcPr>
            <w:tcW w:type="dxa" w:w="2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Water + energy + carbon in one platform</w:t>
            </w:r>
          </w:p>
        </w:tc>
        <w:tc>
          <w:tcPr>
            <w:tcW w:type="dxa" w:w="606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Data centers have three interconnected environmental metrics. No competitor tracks all three at DC level in a single product. You do — which matters for EU reporting requirements covering all three.</w:t>
            </w:r>
          </w:p>
        </w:tc>
      </w:tr>
      <w:tr>
        <w:tc>
          <w:tcPr>
            <w:tcW w:type="dxa" w:w="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7</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Hardware-agnostic and cloud-agnostic</w:t>
            </w:r>
          </w:p>
        </w:tc>
        <w:tc>
          <w:tcPr>
            <w:tcW w:type="dxa" w:w="606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Schneider requires Schneider hardware. Microsoft requires Azure. You work for any data center on any infrastructure. True independence is a significant procurement advantage in enterprise sales.</w:t>
            </w:r>
          </w:p>
        </w:tc>
      </w:tr>
      <w:tr>
        <w:tc>
          <w:tcPr>
            <w:tcW w:type="dxa" w:w="56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8</w:t>
            </w:r>
          </w:p>
        </w:tc>
        <w:tc>
          <w:tcPr>
            <w:tcW w:type="dxa" w:w="2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From data to decision in one product</w:t>
            </w:r>
          </w:p>
        </w:tc>
        <w:tc>
          <w:tcPr>
            <w:tcW w:type="dxa" w:w="606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Current workflow without you: WattTime + Climatiq + Watershed + consultants = four vendors, four contracts, four months, one fragmented picture. You replace all four with one product for one buyer.</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E1F5EE" w:val="clear"/>
            <w:tcMar>
              <w:top w:type="dxa" w:w="120"/>
              <w:left w:type="dxa" w:w="180"/>
              <w:bottom w:type="dxa" w:w="120"/>
              <w:right w:type="dxa" w:w="160"/>
            </w:tcMar>
          </w:tcPr>
          <w:p>
            <w:pPr>
              <w:spacing w:after="60" w:before="0"/>
            </w:pPr>
            <w:r>
              <w:rPr>
                <w:rFonts w:ascii="Calibri" w:cs="Calibri" w:eastAsia="Calibri" w:hAnsi="Calibri"/>
                <w:b/>
                <w:bCs/>
                <w:color w:val="1D9E75"/>
                <w:sz w:val="20"/>
                <w:szCs w:val="20"/>
              </w:rPr>
              <w:t xml:space="preserve">Your one-sentence differentiator — memorise this</w:t>
            </w:r>
          </w:p>
          <w:p>
            <w:pPr>
              <w:spacing w:after="0" w:before="0"/>
            </w:pPr>
            <w:r>
              <w:rPr>
                <w:rFonts w:ascii="Calibri" w:cs="Calibri" w:eastAsia="Calibri" w:hAnsi="Calibri"/>
                <w:color w:val="0A4A38"/>
                <w:sz w:val="21"/>
                <w:szCs w:val="21"/>
              </w:rPr>
              <w:t xml:space="preserve">WattTime gives you the signal. Watershed gives you the report. We give you the intelligence in between: the map, the forecast, and the specific action that reduces your data center's carbon footprint before your next board meeting.</w:t>
            </w:r>
          </w:p>
        </w:tc>
      </w:tr>
    </w:tbl>
    <w:p>
      <w:r>
        <w:br w:type="page"/>
      </w:r>
    </w:p>
    <w:p>
      <w:pPr>
        <w:pBdr>
          <w:bottom w:val="single" w:color="1D9E75" w:sz="6" w:space="4"/>
        </w:pBdr>
        <w:spacing w:after="80" w:before="480"/>
      </w:pPr>
      <w:r>
        <w:rPr>
          <w:rFonts w:ascii="Calibri" w:cs="Calibri" w:eastAsia="Calibri" w:hAnsi="Calibri"/>
          <w:b/>
          <w:bCs/>
          <w:color w:val="1D9E75"/>
          <w:sz w:val="28"/>
          <w:szCs w:val="28"/>
        </w:rPr>
        <w:t xml:space="preserve">7  </w:t>
      </w:r>
      <w:r>
        <w:rPr>
          <w:rFonts w:ascii="Calibri" w:cs="Calibri" w:eastAsia="Calibri" w:hAnsi="Calibri"/>
          <w:b/>
          <w:bCs/>
          <w:color w:val="0A4A38"/>
          <w:sz w:val="28"/>
          <w:szCs w:val="28"/>
        </w:rPr>
        <w:t xml:space="preserve">90-day action checklist</w:t>
      </w:r>
    </w:p>
    <w:p>
      <w:pPr>
        <w:spacing w:after="100" w:before="60"/>
      </w:pPr>
      <w:r>
        <w:rPr>
          <w:rFonts w:ascii="Calibri" w:cs="Calibri" w:eastAsia="Calibri" w:hAnsi="Calibri"/>
          <w:color w:val="2C2C2A"/>
          <w:sz w:val="22"/>
          <w:szCs w:val="22"/>
        </w:rPr>
        <w:t xml:space="preserve">Ordered by dependency and strategic impact. Complete in sequence — each step enables the next.</w:t>
      </w:r>
    </w:p>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926"/>
      </w:tblGrid>
      <w:tr>
        <w:trPr>
          <w:tblHeader/>
        </w:trPr>
        <w:tc>
          <w:tcPr>
            <w:tcW w:type="dxa" w:w="5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
            </w:r>
          </w:p>
        </w:tc>
        <w:tc>
          <w:tcPr>
            <w:tcW w:type="dxa" w:w="26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Action</w:t>
            </w:r>
          </w:p>
        </w:tc>
        <w:tc>
          <w:tcPr>
            <w:tcW w:type="dxa" w:w="5926"/>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Details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Sign up for competitor tools</w:t>
            </w:r>
          </w:p>
        </w:tc>
        <w:tc>
          <w:tcPr>
            <w:tcW w:type="dxa" w:w="59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WattTime, Climatiq, Electricity Maps (all free tiers), Cloud Carbon Footprint (open source). Use all four for one week and document where each breaks.</w:t>
            </w:r>
          </w:p>
        </w:tc>
      </w:tr>
      <w:tr>
        <w:tc>
          <w:tcPr>
            <w:tcW w:type="dxa" w:w="5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Book 10 customer conversations</w:t>
            </w:r>
          </w:p>
        </w:tc>
        <w:tc>
          <w:tcPr>
            <w:tcW w:type="dxa" w:w="59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LinkedIn: search 'Head of Sustainability' + cloud or data center companies. Request 30-minute calls. Do not pitch — only listen.</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Write your wedge sentence</w:t>
            </w:r>
          </w:p>
        </w:tc>
        <w:tc>
          <w:tcPr>
            <w:tcW w:type="dxa" w:w="59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'We help [who] do [what] better than [alternative].' One sentence. If you cannot write it, book more conversations.</w:t>
            </w:r>
          </w:p>
        </w:tc>
      </w:tr>
      <w:tr>
        <w:tc>
          <w:tcPr>
            <w:tcW w:type="dxa" w:w="5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Run trademark clearance</w:t>
            </w:r>
          </w:p>
        </w:tc>
        <w:tc>
          <w:tcPr>
            <w:tcW w:type="dxa" w:w="59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 or Voltn — USPTO TESS + EUIPO. Budget €200–500 for attorney review.</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Register domain</w:t>
            </w:r>
          </w:p>
        </w:tc>
        <w:tc>
          <w:tcPr>
            <w:tcW w:type="dxa" w:w="59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.io and .com for your chosen name. Register both immediately.</w:t>
            </w:r>
          </w:p>
        </w:tc>
      </w:tr>
      <w:tr>
        <w:tc>
          <w:tcPr>
            <w:tcW w:type="dxa" w:w="5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Register company</w:t>
            </w:r>
          </w:p>
        </w:tc>
        <w:tc>
          <w:tcPr>
            <w:tcW w:type="dxa" w:w="59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sp. z o.o. in Poland, or e-Residency Estonia for EU-wide flexibility.</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Build landing page</w:t>
            </w:r>
          </w:p>
        </w:tc>
        <w:tc>
          <w:tcPr>
            <w:tcW w:type="dxa" w:w="59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One page: value proposition + demo video + email capture. Deploy in under one week. Goal: 100 waitlist signups.</w:t>
            </w:r>
          </w:p>
        </w:tc>
      </w:tr>
      <w:tr>
        <w:tc>
          <w:tcPr>
            <w:tcW w:type="dxa" w:w="5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Post daily on LinkedIn</w:t>
            </w:r>
          </w:p>
        </w:tc>
        <w:tc>
          <w:tcPr>
            <w:tcW w:type="dxa" w:w="59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30 consecutive days about the problem, not your product. Data center sustainability statistics, EU regulations, customer pain points.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Recruit 3 pilot partners</w:t>
            </w:r>
          </w:p>
        </w:tc>
        <w:tc>
          <w:tcPr>
            <w:tcW w:type="dxa" w:w="59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Free access for weekly feedback + case study release. Target: mid-size colocation operators with EU regulatory exposure.</w:t>
            </w:r>
          </w:p>
        </w:tc>
      </w:tr>
      <w:tr>
        <w:tc>
          <w:tcPr>
            <w:tcW w:type="dxa" w:w="5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Apply to Antler Poland</w:t>
            </w:r>
          </w:p>
        </w:tc>
        <w:tc>
          <w:tcPr>
            <w:tcW w:type="dxa" w:w="59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Rolling applications. Check current deadline at antler.co/location/poland.</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Apply to Y Combinator S26</w:t>
            </w:r>
          </w:p>
        </w:tc>
        <w:tc>
          <w:tcPr>
            <w:tcW w:type="dxa" w:w="59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Applications open January–March. Pilots help significantly.</w:t>
            </w:r>
          </w:p>
        </w:tc>
      </w:tr>
      <w:tr>
        <w:tc>
          <w:tcPr>
            <w:tcW w:type="dxa" w:w="5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Draft 10-slide pitch deck</w:t>
            </w:r>
          </w:p>
        </w:tc>
        <w:tc>
          <w:tcPr>
            <w:tcW w:type="dxa" w:w="59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Problem / Solution / Market / Traction / Technology / Team / Business model / Competition / Roadmap / Ask.</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Publish first public analysis</w:t>
            </w:r>
          </w:p>
        </w:tc>
        <w:tc>
          <w:tcPr>
            <w:tcW w:type="dxa" w:w="59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Run AIrth analysis on a major public cloud region (AWS eu-west-1 or Google europe-west). Publish findings as a blog post and LinkedIn article.</w:t>
            </w:r>
          </w:p>
        </w:tc>
      </w:tr>
      <w:tr>
        <w:tc>
          <w:tcPr>
            <w:tcW w:type="dxa" w:w="5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 ]</w:t>
            </w:r>
          </w:p>
        </w:tc>
        <w:tc>
          <w:tcPr>
            <w:tcW w:type="dxa" w:w="2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File EUIPO trademark</w:t>
            </w:r>
          </w:p>
        </w:tc>
        <w:tc>
          <w:tcPr>
            <w:tcW w:type="dxa" w:w="59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After trademark clearance. Covers all 27 EU member states in one application.</w:t>
            </w:r>
          </w:p>
        </w:tc>
      </w:tr>
    </w:tbl>
    <w:p>
      <w:pPr>
        <w:spacing w:after="0" w:before="120"/>
      </w:pPr>
      <w:r>
        <w:rPr>
          <w:rFonts w:ascii="Calibri" w:cs="Calibri" w:eastAsia="Calibri" w:hAnsi="Calibri"/>
          <w:color w:val="2C2C2A"/>
          <w:sz w:val="22"/>
          <w:szCs w:val="22"/>
        </w:rPr>
        <w:t xml:space="preserve"/>
      </w:r>
    </w:p>
    <w:p>
      <w:r>
        <w:br w:type="page"/>
      </w:r>
    </w:p>
    <w:p>
      <w:pPr>
        <w:pBdr>
          <w:bottom w:val="single" w:color="1D9E75" w:sz="6" w:space="4"/>
        </w:pBdr>
        <w:spacing w:after="80" w:before="480"/>
      </w:pPr>
      <w:r>
        <w:rPr>
          <w:rFonts w:ascii="Calibri" w:cs="Calibri" w:eastAsia="Calibri" w:hAnsi="Calibri"/>
          <w:b/>
          <w:bCs/>
          <w:color w:val="1D9E75"/>
          <w:sz w:val="28"/>
          <w:szCs w:val="28"/>
        </w:rPr>
        <w:t xml:space="preserve">8  </w:t>
      </w:r>
      <w:r>
        <w:rPr>
          <w:rFonts w:ascii="Calibri" w:cs="Calibri" w:eastAsia="Calibri" w:hAnsi="Calibri"/>
          <w:b/>
          <w:bCs/>
          <w:color w:val="0A4A38"/>
          <w:sz w:val="28"/>
          <w:szCs w:val="28"/>
        </w:rPr>
        <w:t xml:space="preserve">Brand name: Flaer — research &amp; registration path</w:t>
      </w:r>
    </w:p>
    <w:p>
      <w:pPr>
        <w:spacing w:after="100" w:before="60"/>
      </w:pPr>
      <w:r>
        <w:rPr>
          <w:rFonts w:ascii="Calibri" w:cs="Calibri" w:eastAsia="Calibri" w:hAnsi="Calibri"/>
          <w:color w:val="2C2C2A"/>
          <w:sz w:val="22"/>
          <w:szCs w:val="22"/>
        </w:rPr>
        <w:t xml:space="preserve">Full trademark, domain, and competitive brand research for Flaer — the recommended name for this startup. Based on this research, the name is conditionally usable in Class 42 (software/SaaS) but requires a professional clearance search and immediate action.</w:t>
      </w:r>
    </w:p>
    <w:p>
      <w:pPr>
        <w:spacing w:after="0" w:before="80"/>
      </w:pPr>
      <w:r>
        <w:rPr>
          <w:rFonts w:ascii="Calibri" w:cs="Calibri" w:eastAsia="Calibri" w:hAnsi="Calibri"/>
          <w:color w:val="2C2C2A"/>
          <w:sz w:val="22"/>
          <w:szCs w:val="22"/>
        </w:rPr>
        <w:t xml:space="preserve"/>
      </w:r>
    </w:p>
    <w:p>
      <w:pPr>
        <w:spacing w:after="80" w:before="280"/>
      </w:pPr>
      <w:r>
        <w:rPr>
          <w:rFonts w:ascii="Calibri" w:cs="Calibri" w:eastAsia="Calibri" w:hAnsi="Calibri"/>
          <w:b/>
          <w:bCs/>
          <w:color w:val="2C2C2A"/>
          <w:sz w:val="23"/>
          <w:szCs w:val="23"/>
        </w:rPr>
        <w:t xml:space="preserve">8.1  Why Flaer</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3D1C7" w:sz="1"/>
              <w:left w:val="single" w:color="D3D1C7" w:sz="1"/>
              <w:bottom w:val="single" w:color="D3D1C7" w:sz="1"/>
              <w:right w:val="single" w:color="D3D1C7" w:sz="1"/>
            </w:tcBorders>
            <w:tcMar>
              <w:top w:type="dxa" w:w="100"/>
              <w:left w:type="dxa" w:w="140"/>
              <w:bottom w:type="dxa" w:w="100"/>
              <w:right w:type="dxa" w:w="140"/>
            </w:tcMar>
          </w:tcPr>
          <w:p>
            <w:pPr>
              <w:spacing w:after="60" w:before="0"/>
            </w:pPr>
            <w:r>
              <w:rPr>
                <w:rFonts w:ascii="Calibri" w:cs="Calibri" w:eastAsia="Calibri" w:hAnsi="Calibri"/>
                <w:b/>
                <w:bCs/>
                <w:color w:val="2C2C2A"/>
                <w:sz w:val="19"/>
                <w:szCs w:val="19"/>
              </w:rPr>
              <w:t xml:space="preserve">The story behind the name</w:t>
            </w:r>
          </w:p>
          <w:p>
            <w:r>
              <w:rPr>
                <w:rFonts w:ascii="Calibri" w:cs="Calibri" w:eastAsia="Calibri" w:hAnsi="Calibri"/>
                <w:color w:val="5F5E5A"/>
                <w:sz w:val="20"/>
                <w:szCs w:val="20"/>
              </w:rPr>
              <w:t xml:space="preserve">A flare is the exact right metaphor for what this platform does: the moment something invisible becomes visible. A flare fired into the dark says look here. Your product does exactly this — it makes invisible carbon emissions visible and actionable. The -ae- spelling separates it from the common word and makes it registrable.</w:t>
            </w:r>
          </w:p>
        </w:tc>
        <w:tc>
          <w:tcPr>
            <w:tcBorders>
              <w:top w:val="single" w:color="D3D1C7" w:sz="1"/>
              <w:left w:val="single" w:color="D3D1C7" w:sz="1"/>
              <w:bottom w:val="single" w:color="D3D1C7" w:sz="1"/>
              <w:right w:val="single" w:color="D3D1C7" w:sz="1"/>
            </w:tcBorders>
            <w:tcMar>
              <w:top w:type="dxa" w:w="100"/>
              <w:left w:type="dxa" w:w="140"/>
              <w:bottom w:type="dxa" w:w="100"/>
              <w:right w:type="dxa" w:w="140"/>
            </w:tcMar>
          </w:tcPr>
          <w:p>
            <w:pPr>
              <w:spacing w:after="60" w:before="0"/>
            </w:pPr>
            <w:r>
              <w:rPr>
                <w:rFonts w:ascii="Calibri" w:cs="Calibri" w:eastAsia="Calibri" w:hAnsi="Calibri"/>
                <w:b/>
                <w:bCs/>
                <w:color w:val="2C2C2A"/>
                <w:sz w:val="19"/>
                <w:szCs w:val="19"/>
              </w:rPr>
              <w:t xml:space="preserve">Why it beats AIrth</w:t>
            </w:r>
          </w:p>
          <w:p>
            <w:r>
              <w:rPr>
                <w:rFonts w:ascii="Calibri" w:cs="Calibri" w:eastAsia="Calibri" w:hAnsi="Calibri"/>
                <w:color w:val="5F5E5A"/>
                <w:sz w:val="20"/>
                <w:szCs w:val="20"/>
              </w:rPr>
              <w:t xml:space="preserve">AIrth is clever on paper but breaks in conversation — people say 'earth', 'ay-irth', or 'ay-earth' and nobody knows which is right. Flaer: one syllable, hits like a word, lands immediately. Say both in a sentence: 'We use Flaer for carbon intelligence.' Clean, done, moves on. No explanation needed.</w:t>
            </w:r>
          </w:p>
        </w:tc>
      </w:tr>
    </w:tbl>
    <w:p>
      <w:pPr>
        <w:spacing w:after="0" w:before="120"/>
      </w:pPr>
      <w:r>
        <w:rPr>
          <w:rFonts w:ascii="Calibri" w:cs="Calibri" w:eastAsia="Calibri" w:hAnsi="Calibri"/>
          <w:color w:val="2C2C2A"/>
          <w:sz w:val="22"/>
          <w:szCs w:val="22"/>
        </w:rPr>
        <w:t xml:space="preserve"/>
      </w:r>
    </w:p>
    <w:p>
      <w:pPr>
        <w:spacing w:after="80" w:before="280"/>
      </w:pPr>
      <w:r>
        <w:rPr>
          <w:rFonts w:ascii="Calibri" w:cs="Calibri" w:eastAsia="Calibri" w:hAnsi="Calibri"/>
          <w:b/>
          <w:bCs/>
          <w:color w:val="2C2C2A"/>
          <w:sz w:val="23"/>
          <w:szCs w:val="23"/>
        </w:rPr>
        <w:t xml:space="preserve">8.2  Trademark research findings</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626"/>
      </w:tblGrid>
      <w:tr>
        <w:trPr>
          <w:tblHeader/>
        </w:trPr>
        <w:tc>
          <w:tcPr>
            <w:tcW w:type="dxa" w:w="16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Name / mark</w:t>
            </w:r>
          </w:p>
        </w:tc>
        <w:tc>
          <w:tcPr>
            <w:tcW w:type="dxa" w:w="2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Status</w:t>
            </w:r>
          </w:p>
        </w:tc>
        <w:tc>
          <w:tcPr>
            <w:tcW w:type="dxa" w:w="1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Owner / sector</w:t>
            </w:r>
          </w:p>
        </w:tc>
        <w:tc>
          <w:tcPr>
            <w:tcW w:type="dxa" w:w="3626"/>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Risk for Flaer (Class 42 SaaS)</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 (exact)</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Active — furniture brand</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Sobha Group, launched Milan Design Week April 2026. Active website and Wallpaper* press coverage.</w:t>
            </w:r>
          </w:p>
        </w:tc>
        <w:tc>
          <w:tcPr>
            <w:tcW w:type="dxa" w:w="36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MEDIUM-HIGH. Same exact spelling, just launched globally. Different sector (furniture vs SaaS) — coexistence possible but a USPTO examiner may flag it. A clearance attorney must assess this before filing.</w:t>
            </w:r>
          </w:p>
        </w:tc>
      </w:tr>
      <w:tr>
        <w:tc>
          <w:tcPr>
            <w:tcW w:type="dxa" w:w="1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 (exact)</w:t>
            </w:r>
          </w:p>
        </w:tc>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Active — influencer agency</w:t>
            </w:r>
          </w:p>
        </w:tc>
        <w:tc>
          <w:tcPr>
            <w:tcW w:type="dxa" w:w="18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flaeragency.com — tech influencer marketing agency operating in North America.</w:t>
            </w:r>
          </w:p>
        </w:tc>
        <w:tc>
          <w:tcPr>
            <w:tcW w:type="dxa" w:w="36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MEDIUM. Different sector, but this is a tech-adjacent company. Could be cited as potentially confusing in a tech trademark application. Must be assessed.</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FLAIR</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Abandoned (USPTO)</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PAX Scientific — filed Aug 2019 for environmental control instruments. Abandoned Oct 2023, no statement of use filed.</w:t>
            </w:r>
          </w:p>
        </w:tc>
        <w:tc>
          <w:tcPr>
            <w:tcW w:type="dxa" w:w="36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LOW. Filing is dead and abandoned. The abandonment means no live claim. Different spelling (FLAIR vs FLAER) further reduces risk.</w:t>
            </w:r>
          </w:p>
        </w:tc>
      </w:tr>
      <w:tr>
        <w:tc>
          <w:tcPr>
            <w:tcW w:type="dxa" w:w="16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FLEER</w:t>
            </w:r>
          </w:p>
        </w:tc>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Live (USPTO)</w:t>
            </w:r>
          </w:p>
        </w:tc>
        <w:tc>
          <w:tcPr>
            <w:tcW w:type="dxa" w:w="18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The Upper Deck Company — digital and printed trading cards, filed Sep 2023.</w:t>
            </w:r>
          </w:p>
        </w:tc>
        <w:tc>
          <w:tcPr>
            <w:tcW w:type="dxa" w:w="36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VERY LOW. Trading cards vs SaaS — completely different sectors and classes. Different spelling. No conflict.</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FLARE</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Multiple live marks</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Various owners across multiple sectors including cybersecurity (flare.io), consumer goods, and apparel.</w:t>
            </w:r>
          </w:p>
        </w:tc>
        <w:tc>
          <w:tcPr>
            <w:tcW w:type="dxa" w:w="36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LOW-MEDIUM. Different spelling (-are vs -aer). However, the cybersecurity company Flare.io is in the tech space. A USPTO examiner could theoretically raise this — attorney review needed.</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854F0B"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FAEEDA" w:val="clear"/>
            <w:tcMar>
              <w:top w:type="dxa" w:w="120"/>
              <w:left w:type="dxa" w:w="180"/>
              <w:bottom w:type="dxa" w:w="120"/>
              <w:right w:type="dxa" w:w="160"/>
            </w:tcMar>
          </w:tcPr>
          <w:p>
            <w:pPr>
              <w:spacing w:after="60" w:before="0"/>
            </w:pPr>
            <w:r>
              <w:rPr>
                <w:rFonts w:ascii="Calibri" w:cs="Calibri" w:eastAsia="Calibri" w:hAnsi="Calibri"/>
                <w:b/>
                <w:bCs/>
                <w:color w:val="854F0B"/>
                <w:sz w:val="20"/>
                <w:szCs w:val="20"/>
              </w:rPr>
              <w:t xml:space="preserve">Overall trademark verdict</w:t>
            </w:r>
          </w:p>
          <w:p>
            <w:pPr>
              <w:spacing w:after="0" w:before="0"/>
            </w:pPr>
            <w:r>
              <w:rPr>
                <w:rFonts w:ascii="Calibri" w:cs="Calibri" w:eastAsia="Calibri" w:hAnsi="Calibri"/>
                <w:color w:val="854F0B"/>
                <w:sz w:val="21"/>
                <w:szCs w:val="21"/>
              </w:rPr>
              <w:t xml:space="preserve">Flaer is conditionally usable in Class 42 (SaaS / software services). The Sobha Group furniture brand launched at Milan Design Week April 2026 is the primary risk — it uses the exact spelling and has international coverage. A professional trademark clearance search (USPTO TESS + EUIPO + common law) is non-negotiable before filing. Budget €300–600 for an attorney review. The different sectors (furniture vs SaaS) make coexistence legally plausible but not guaranteed.</w:t>
            </w:r>
          </w:p>
        </w:tc>
      </w:tr>
    </w:tbl>
    <w:p>
      <w:pPr>
        <w:spacing w:after="0" w:before="120"/>
      </w:pPr>
      <w:r>
        <w:rPr>
          <w:rFonts w:ascii="Calibri" w:cs="Calibri" w:eastAsia="Calibri" w:hAnsi="Calibri"/>
          <w:color w:val="2C2C2A"/>
          <w:sz w:val="22"/>
          <w:szCs w:val="22"/>
        </w:rPr>
        <w:t xml:space="preserve"/>
      </w:r>
    </w:p>
    <w:p>
      <w:pPr>
        <w:spacing w:after="80" w:before="280"/>
      </w:pPr>
      <w:r>
        <w:rPr>
          <w:rFonts w:ascii="Calibri" w:cs="Calibri" w:eastAsia="Calibri" w:hAnsi="Calibri"/>
          <w:b/>
          <w:bCs/>
          <w:color w:val="2C2C2A"/>
          <w:sz w:val="23"/>
          <w:szCs w:val="23"/>
        </w:rPr>
        <w:t xml:space="preserve">8.3  Domain research findings</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26"/>
      </w:tblGrid>
      <w:tr>
        <w:trPr>
          <w:tblHeader/>
        </w:trPr>
        <w:tc>
          <w:tcPr>
            <w:tcW w:type="dxa" w:w="1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Domain</w:t>
            </w:r>
          </w:p>
        </w:tc>
        <w:tc>
          <w:tcPr>
            <w:tcW w:type="dxa" w:w="2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Status</w:t>
            </w:r>
          </w:p>
        </w:tc>
        <w:tc>
          <w:tcPr>
            <w:tcW w:type="dxa" w:w="2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Priority</w:t>
            </w:r>
          </w:p>
        </w:tc>
        <w:tc>
          <w:tcPr>
            <w:tcW w:type="dxa" w:w="3226"/>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Action</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flaer.io</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Likely available — verify immediately</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HIGHEST</w:t>
            </w:r>
          </w:p>
        </w:tc>
        <w:tc>
          <w:tcPr>
            <w:tcW w:type="dxa" w:w="32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Register first. .io is the standard for SaaS startups. Signals tech credibility. ~$35–50/year at Cloudflare or Namecheap.</w:t>
            </w:r>
          </w:p>
        </w:tc>
      </w:tr>
      <w:tr>
        <w:tc>
          <w:tcPr>
            <w:tcW w:type="dxa" w:w="18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flaer.com</w:t>
            </w:r>
          </w:p>
        </w:tc>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Likely available — verify immediately</w:t>
            </w:r>
          </w:p>
        </w:tc>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HIGH</w:t>
            </w:r>
          </w:p>
        </w:tc>
        <w:tc>
          <w:tcPr>
            <w:tcW w:type="dxa" w:w="32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Register alongside .io. Protects your brand from squatters. ~$10–15/year. Even if you use .io as primary, own the .com.</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flaer.ai</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Check availability</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MEDIUM</w:t>
            </w:r>
          </w:p>
        </w:tc>
        <w:tc>
          <w:tcPr>
            <w:tcW w:type="dxa" w:w="32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The .ai extension is popular for AI-powered products. ~$65–160/year. Nice to own if available but not critical.</w:t>
            </w:r>
          </w:p>
        </w:tc>
      </w:tr>
      <w:tr>
        <w:tc>
          <w:tcPr>
            <w:tcW w:type="dxa" w:w="18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flaer.eu</w:t>
            </w:r>
          </w:p>
        </w:tc>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Check availability</w:t>
            </w:r>
          </w:p>
        </w:tc>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MEDIUM</w:t>
            </w:r>
          </w:p>
        </w:tc>
        <w:tc>
          <w:tcPr>
            <w:tcW w:type="dxa" w:w="32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EU country-code TLD. Relevant given EU regulatory positioning. ~$10–15/year. Register if building EU-first.</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flaer.co / flaer.app</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Check availability</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LOW</w:t>
            </w:r>
          </w:p>
        </w:tc>
        <w:tc>
          <w:tcPr>
            <w:tcW w:type="dxa" w:w="32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Nice to own defensively. Register if cheap and available. Not critical for launch.</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E1F5EE" w:val="clear"/>
            <w:tcMar>
              <w:top w:type="dxa" w:w="120"/>
              <w:left w:type="dxa" w:w="180"/>
              <w:bottom w:type="dxa" w:w="120"/>
              <w:right w:type="dxa" w:w="160"/>
            </w:tcMar>
          </w:tcPr>
          <w:p>
            <w:pPr>
              <w:spacing w:after="60" w:before="0"/>
            </w:pPr>
            <w:r>
              <w:rPr>
                <w:rFonts w:ascii="Calibri" w:cs="Calibri" w:eastAsia="Calibri" w:hAnsi="Calibri"/>
                <w:b/>
                <w:bCs/>
                <w:color w:val="1D9E75"/>
                <w:sz w:val="20"/>
                <w:szCs w:val="20"/>
              </w:rPr>
              <w:t xml:space="preserve">Domain action — do this today</w:t>
            </w:r>
          </w:p>
          <w:p>
            <w:pPr>
              <w:spacing w:after="0" w:before="0"/>
            </w:pPr>
            <w:r>
              <w:rPr>
                <w:rFonts w:ascii="Calibri" w:cs="Calibri" w:eastAsia="Calibri" w:hAnsi="Calibri"/>
                <w:color w:val="0A4A38"/>
                <w:sz w:val="21"/>
                <w:szCs w:val="21"/>
              </w:rPr>
              <w:t xml:space="preserve">Check flaer.io and flaer.com availability right now at Cloudflare Registrar (domains.cloudflare.com) or Namecheap. If available, register both immediately — domains can disappear within hours of being discovered. Total cost: ~$50–65 for the first year. Do not wait for trademark clearance to register the domain — domain registration does not require trademark approval.</w:t>
            </w:r>
          </w:p>
        </w:tc>
      </w:tr>
    </w:tbl>
    <w:p>
      <w:pPr>
        <w:spacing w:after="0" w:before="120"/>
      </w:pPr>
      <w:r>
        <w:rPr>
          <w:rFonts w:ascii="Calibri" w:cs="Calibri" w:eastAsia="Calibri" w:hAnsi="Calibri"/>
          <w:color w:val="2C2C2A"/>
          <w:sz w:val="22"/>
          <w:szCs w:val="22"/>
        </w:rPr>
        <w:t xml:space="preserve"/>
      </w:r>
    </w:p>
    <w:p>
      <w:pPr>
        <w:spacing w:after="80" w:before="280"/>
      </w:pPr>
      <w:r>
        <w:rPr>
          <w:rFonts w:ascii="Calibri" w:cs="Calibri" w:eastAsia="Calibri" w:hAnsi="Calibri"/>
          <w:b/>
          <w:bCs/>
          <w:color w:val="2C2C2A"/>
          <w:sz w:val="23"/>
          <w:szCs w:val="23"/>
        </w:rPr>
        <w:t xml:space="preserve">8.4  Trademark registration path</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000"/>
        <w:gridCol w:w="2626"/>
      </w:tblGrid>
      <w:tr>
        <w:trPr>
          <w:tblHeader/>
        </w:trPr>
        <w:tc>
          <w:tcPr>
            <w:tcW w:type="dxa" w:w="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Step</w:t>
            </w:r>
          </w:p>
        </w:tc>
        <w:tc>
          <w:tcPr>
            <w:tcW w:type="dxa" w:w="2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Action</w:t>
            </w:r>
          </w:p>
        </w:tc>
        <w:tc>
          <w:tcPr>
            <w:tcW w:type="dxa" w:w="4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Details</w:t>
            </w:r>
          </w:p>
        </w:tc>
        <w:tc>
          <w:tcPr>
            <w:tcW w:type="dxa" w:w="2626"/>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Timeline &amp; cost</w:t>
            </w:r>
          </w:p>
        </w:tc>
      </w:tr>
      <w:tr>
        <w:tc>
          <w:tcPr>
            <w:tcW w:type="dxa" w:w="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1</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Register domains</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flaer.io + flaer.com at Cloudflare Registrar. Do this before anything else.</w:t>
            </w:r>
          </w:p>
        </w:tc>
        <w:tc>
          <w:tcPr>
            <w:tcW w:type="dxa" w:w="26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Today · ~€50/year</w:t>
            </w:r>
          </w:p>
        </w:tc>
      </w:tr>
      <w:tr>
        <w:tc>
          <w:tcPr>
            <w:tcW w:type="dxa" w:w="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2</w:t>
            </w:r>
          </w:p>
        </w:tc>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Commission clearance search</w:t>
            </w:r>
          </w:p>
        </w:tc>
        <w:tc>
          <w:tcPr>
            <w:tcW w:type="dxa" w:w="4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Hire a trademark attorney for a full clearance search: USPTO TESS + EUIPO + common law. The Sobha Group conflict must be professionally assessed before filing.</w:t>
            </w:r>
          </w:p>
        </w:tc>
        <w:tc>
          <w:tcPr>
            <w:tcW w:type="dxa" w:w="26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Week 1 · €300–600</w:t>
            </w:r>
          </w:p>
        </w:tc>
      </w:tr>
      <w:tr>
        <w:tc>
          <w:tcPr>
            <w:tcW w:type="dxa" w:w="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3</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File EUIPO application</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If clearance passes, file EUIPO trademark application in Class 42 (SaaS / software services). Covers all 27 EU member states in one application. This is your priority as a Polish founder.</w:t>
            </w:r>
          </w:p>
        </w:tc>
        <w:tc>
          <w:tcPr>
            <w:tcW w:type="dxa" w:w="26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Month 1 · ~€850–1,000 total</w:t>
            </w:r>
          </w:p>
        </w:tc>
      </w:tr>
      <w:tr>
        <w:tc>
          <w:tcPr>
            <w:tcW w:type="dxa" w:w="4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4</w:t>
            </w:r>
          </w:p>
        </w:tc>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File USPTO application</w:t>
            </w:r>
          </w:p>
        </w:tc>
        <w:tc>
          <w:tcPr>
            <w:tcW w:type="dxa" w:w="4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File US trademark in Class 42. Intent-to-use application is fine — you do not need US revenue yet. Processed in 8–12 months.</w:t>
            </w:r>
          </w:p>
        </w:tc>
        <w:tc>
          <w:tcPr>
            <w:tcW w:type="dxa" w:w="26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Month 1–2 · ~$350–500 + attorney fee</w:t>
            </w:r>
          </w:p>
        </w:tc>
      </w:tr>
      <w:tr>
        <w:tc>
          <w:tcPr>
            <w:tcW w:type="dxa" w:w="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5</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Monitor and respond</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Your attorney will monitor for oppositions during the publication period (30 days after USPTO approval). Respond to any office actions.</w:t>
            </w:r>
          </w:p>
        </w:tc>
        <w:tc>
          <w:tcPr>
            <w:tcW w:type="dxa" w:w="26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Ongoing · included in attorney retainer</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E1F5EE" w:val="clear"/>
            <w:tcMar>
              <w:top w:type="dxa" w:w="120"/>
              <w:left w:type="dxa" w:w="180"/>
              <w:bottom w:type="dxa" w:w="120"/>
              <w:right w:type="dxa" w:w="160"/>
            </w:tcMar>
          </w:tcPr>
          <w:p>
            <w:pPr>
              <w:spacing w:after="60" w:before="0"/>
            </w:pPr>
            <w:r>
              <w:rPr>
                <w:rFonts w:ascii="Calibri" w:cs="Calibri" w:eastAsia="Calibri" w:hAnsi="Calibri"/>
                <w:b/>
                <w:bCs/>
                <w:color w:val="1D9E75"/>
                <w:sz w:val="20"/>
                <w:szCs w:val="20"/>
              </w:rPr>
              <w:t xml:space="preserve">Alternative if Flaer is blocked</w:t>
            </w:r>
          </w:p>
          <w:p>
            <w:pPr>
              <w:spacing w:after="0" w:before="0"/>
            </w:pPr>
            <w:r>
              <w:rPr>
                <w:rFonts w:ascii="Calibri" w:cs="Calibri" w:eastAsia="Calibri" w:hAnsi="Calibri"/>
                <w:color w:val="0A4A38"/>
                <w:sz w:val="21"/>
                <w:szCs w:val="21"/>
              </w:rPr>
              <w:t xml:space="preserve">If the trademark attorney finds the Sobha Group conflict unresolvable, the next best name from our research is Voltn — one syllable, ends hard on N, means electrical potential (the unit of every watt your platform tracks), and shows no active conflicts in any sector. Voltn.io is likely free. File the attorney search on both Flaer and Voltn simultaneously to have a backup ready.</w:t>
            </w:r>
          </w:p>
        </w:tc>
      </w:tr>
    </w:tbl>
    <w:p>
      <w:pPr>
        <w:spacing w:after="0" w:before="120"/>
      </w:pPr>
      <w:r>
        <w:rPr>
          <w:rFonts w:ascii="Calibri" w:cs="Calibri" w:eastAsia="Calibri" w:hAnsi="Calibri"/>
          <w:color w:val="2C2C2A"/>
          <w:sz w:val="22"/>
          <w:szCs w:val="22"/>
        </w:rPr>
        <w:t xml:space="preserve"/>
      </w:r>
    </w:p>
    <w:p>
      <w:pPr>
        <w:spacing w:after="80" w:before="280"/>
      </w:pPr>
      <w:r>
        <w:rPr>
          <w:rFonts w:ascii="Calibri" w:cs="Calibri" w:eastAsia="Calibri" w:hAnsi="Calibri"/>
          <w:b/>
          <w:bCs/>
          <w:color w:val="2C2C2A"/>
          <w:sz w:val="23"/>
          <w:szCs w:val="23"/>
        </w:rPr>
        <w:t xml:space="preserve">8.5  Brand identity direction for Flaer</w:t>
      </w:r>
    </w:p>
    <w:p>
      <w:pPr>
        <w:spacing w:after="0" w:before="6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Element</w:t>
            </w:r>
          </w:p>
        </w:tc>
        <w:tc>
          <w:tcPr>
            <w:tcW w:type="dxa" w:w="7026"/>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Recommendation</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Wordmark</w:t>
            </w:r>
          </w:p>
        </w:tc>
        <w:tc>
          <w:tcPr>
            <w:tcW w:type="dxa" w:w="70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 — all caps, clean sans-serif (Inter or DM Sans). The AE ligature can be used as a distinctive visual mark in the logo. Dark green (#0F6E56) on white for enterprise contexts, white on dark for digital.</w:t>
            </w:r>
          </w:p>
        </w:tc>
      </w:tr>
      <w:tr>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Tagline</w:t>
            </w:r>
          </w:p>
        </w:tc>
        <w:tc>
          <w:tcPr>
            <w:tcW w:type="dxa" w:w="70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'Infrastructure carbon intelligence.' or 'The signal your infrastructure has been hiding.' Short, precise, no adjectives.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Primary palette</w:t>
            </w:r>
          </w:p>
        </w:tc>
        <w:tc>
          <w:tcPr>
            <w:tcW w:type="dxa" w:w="70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Forest green #0F6E56 (anchor), teal #1D9E75 (interactive), off-white #F5F5F3 (background). Amber #BA7517 for warnings and threshold indicators.</w:t>
            </w:r>
          </w:p>
        </w:tc>
      </w:tr>
      <w:tr>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Typography</w:t>
            </w:r>
          </w:p>
        </w:tc>
        <w:tc>
          <w:tcPr>
            <w:tcW w:type="dxa" w:w="70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Inter or DM Sans for UI — clean, readable at any size. Playfair Display for marketing headlines to convey authority. Never Comic Sans.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Domain strategy</w:t>
            </w:r>
          </w:p>
        </w:tc>
        <w:tc>
          <w:tcPr>
            <w:tcW w:type="dxa" w:w="70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flaer.io as primary (tech credibility). flaer.com redirects to .io. Email: hello@flaer.io, press@flaer.io.</w:t>
            </w:r>
          </w:p>
        </w:tc>
      </w:tr>
      <w:tr>
        <w:tc>
          <w:tcPr>
            <w:tcW w:type="dxa" w:w="2000"/>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Social handles</w:t>
            </w:r>
          </w:p>
        </w:tc>
        <w:tc>
          <w:tcPr>
            <w:tcW w:type="dxa" w:w="7026"/>
            <w:tcBorders>
              <w:top w:val="single" w:color="D3D1C7" w:sz="1"/>
              <w:left w:val="single" w:color="D3D1C7" w:sz="1"/>
              <w:bottom w:val="single" w:color="D3D1C7" w:sz="1"/>
              <w:right w:val="single" w:color="D3D1C7" w:sz="1"/>
            </w:tcBorders>
            <w:shd w:fill="F8F7F4"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@flaer on LinkedIn (check availability), @flaer_hq on X/Twitter, github.com/flaer. Claim all handles immediately after domain registration.</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b/>
                <w:bCs/>
                <w:color w:val="2C2C2A"/>
                <w:sz w:val="20"/>
                <w:szCs w:val="20"/>
              </w:rPr>
              <w:t xml:space="preserve">Voice and tone</w:t>
            </w:r>
          </w:p>
        </w:tc>
        <w:tc>
          <w:tcPr>
            <w:tcW w:type="dxa" w:w="7026"/>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60" w:before="60"/>
            </w:pPr>
            <w:r>
              <w:rPr>
                <w:rFonts w:ascii="Calibri" w:cs="Calibri" w:eastAsia="Calibri" w:hAnsi="Calibri"/>
                <w:color w:val="2C2C2A"/>
                <w:sz w:val="20"/>
                <w:szCs w:val="20"/>
              </w:rPr>
              <w:t xml:space="preserve">Direct, data-confident, no jargon. The audience is sustainability professionals — not ML engineers. 'Flaer shows you what to do.' Not 'Flaer leverages AI-powered predictive analytics.'</w:t>
            </w:r>
          </w:p>
        </w:tc>
      </w:tr>
    </w:tbl>
    <w:p>
      <w:pPr>
        <w:spacing w:after="0" w:before="80"/>
      </w:pPr>
      <w:r>
        <w:rPr>
          <w:rFonts w:ascii="Calibri" w:cs="Calibri" w:eastAsia="Calibri" w:hAnsi="Calibri"/>
          <w:color w:val="2C2C2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pPr>
              <w:spacing w:after="60" w:before="60"/>
            </w:pPr>
            <w:r>
              <w:rPr>
                <w:rFonts w:ascii="Calibri" w:cs="Calibri" w:eastAsia="Calibri" w:hAnsi="Calibri"/>
                <w:color w:val="2C2C2A"/>
                <w:sz w:val="22"/>
                <w:szCs w:val="22"/>
              </w:rPr>
              <w:t xml:space="preserve"> </w:t>
            </w:r>
          </w:p>
        </w:tc>
        <w:tc>
          <w:tcPr>
            <w:tcBorders>
              <w:top w:val="none" w:color="FFFFFF" w:sz="0"/>
              <w:left w:val="none" w:color="FFFFFF" w:sz="0"/>
              <w:bottom w:val="none" w:color="FFFFFF" w:sz="0"/>
              <w:right w:val="none" w:color="FFFFFF" w:sz="0"/>
            </w:tcBorders>
            <w:shd w:fill="E1F5EE" w:val="clear"/>
            <w:tcMar>
              <w:top w:type="dxa" w:w="120"/>
              <w:left w:type="dxa" w:w="180"/>
              <w:bottom w:type="dxa" w:w="120"/>
              <w:right w:type="dxa" w:w="160"/>
            </w:tcMar>
          </w:tcPr>
          <w:p>
            <w:pPr>
              <w:spacing w:after="60" w:before="0"/>
            </w:pPr>
            <w:r>
              <w:rPr>
                <w:rFonts w:ascii="Calibri" w:cs="Calibri" w:eastAsia="Calibri" w:hAnsi="Calibri"/>
                <w:b/>
                <w:bCs/>
                <w:color w:val="1D9E75"/>
                <w:sz w:val="20"/>
                <w:szCs w:val="20"/>
              </w:rPr>
              <w:t xml:space="preserve">If you do one thing from this document</w:t>
            </w:r>
          </w:p>
          <w:p>
            <w:pPr>
              <w:spacing w:after="0" w:before="0"/>
            </w:pPr>
            <w:r>
              <w:rPr>
                <w:rFonts w:ascii="Calibri" w:cs="Calibri" w:eastAsia="Calibri" w:hAnsi="Calibri"/>
                <w:color w:val="0A4A38"/>
                <w:sz w:val="21"/>
                <w:szCs w:val="21"/>
              </w:rPr>
              <w:t xml:space="preserve">Book 10 customer conversations before writing a single new line of code. Everything else — the name, the rebuild, the fundraise — depends on what you learn in those conversations. Most founders skip this because it feels slower than coding. It is actually the fastest path to a product anyone will pay for.</w:t>
            </w:r>
          </w:p>
        </w:tc>
      </w:tr>
    </w:tbl>
    <w:p>
      <w:pPr>
        <w:spacing w:after="0" w:before="240"/>
      </w:pPr>
      <w:r>
        <w:rPr>
          <w:rFonts w:ascii="Calibri" w:cs="Calibri" w:eastAsia="Calibri" w:hAnsi="Calibri"/>
          <w:color w:val="2C2C2A"/>
          <w:sz w:val="22"/>
          <w:szCs w:val="22"/>
        </w:rPr>
        <w:t xml:space="preserve"/>
      </w:r>
    </w:p>
    <w:p>
      <w:pPr>
        <w:pBdr>
          <w:top w:val="single" w:color="D3D1C7" w:sz="3" w:space="8"/>
        </w:pBdr>
        <w:spacing w:after="0" w:before="200"/>
        <w:jc w:val="center"/>
      </w:pPr>
      <w:r>
        <w:rPr>
          <w:rFonts w:ascii="Calibri" w:cs="Calibri" w:eastAsia="Calibri" w:hAnsi="Calibri"/>
          <w:color w:val="B4B2A9"/>
          <w:sz w:val="18"/>
          <w:szCs w:val="18"/>
        </w:rPr>
        <w:t xml:space="preserve">flaer.io  ·  Warsaw, Poland  ·  April 2026</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3" w:space="4"/>
      </w:pBdr>
      <w:tabs>
        <w:tab w:val="right" w:pos="9026"/>
      </w:tabs>
    </w:pPr>
    <w:r>
      <w:rPr>
        <w:rFonts w:ascii="Calibri" w:cs="Calibri" w:eastAsia="Calibri" w:hAnsi="Calibri"/>
        <w:color w:val="B4B2A9"/>
        <w:sz w:val="18"/>
        <w:szCs w:val="18"/>
      </w:rPr>
      <w:t xml:space="preserve">flaer.io  ·  Warsaw, Poland</w:t>
    </w:r>
    <w:r>
      <w:rPr>
        <w:rFonts w:ascii="Calibri" w:cs="Calibri" w:eastAsia="Calibri" w:hAnsi="Calibri"/>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3" w:space="4"/>
      </w:pBdr>
      <w:tabs>
        <w:tab w:val="right" w:pos="9026"/>
      </w:tabs>
    </w:pPr>
    <w:r>
      <w:rPr>
        <w:rFonts w:ascii="Calibri" w:cs="Calibri" w:eastAsia="Calibri" w:hAnsi="Calibri"/>
        <w:color w:val="B4B2A9"/>
        <w:sz w:val="18"/>
        <w:szCs w:val="18"/>
      </w:rPr>
      <w:t xml:space="preserve">Flaer  —  Pre-Launch Strategy</w:t>
    </w:r>
    <w:r>
      <w:rPr>
        <w:rFonts w:ascii="Calibri" w:cs="Calibri" w:eastAsia="Calibri" w:hAnsi="Calibri"/>
        <w:sz w:val="18"/>
        <w:szCs w:val="18"/>
      </w:rPr>
      <w:t xml:space="preserve">	</w:t>
    </w:r>
    <w:r>
      <w:rPr>
        <w:rFonts w:ascii="Calibri" w:cs="Calibri" w:eastAsia="Calibri" w:hAnsi="Calibri"/>
        <w:color w:val="B4B2A9"/>
        <w:sz w:val="18"/>
        <w:szCs w:val="18"/>
      </w:rPr>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rFonts w:ascii="Calibri" w:cs="Calibri" w:eastAsia="Calibri" w:hAnsi="Calibri"/>
        <w:color w:val="B4B2A9"/>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2026-04-14T23:48:29.039Z</dcterms:created>
  <dcterms:modified xsi:type="dcterms:W3CDTF">2026-04-14T23:48:29.040Z</dcterms:modified>
</cp:coreProperties>
</file>

<file path=docProps/custom.xml><?xml version="1.0" encoding="utf-8"?>
<Properties xmlns="http://schemas.openxmlformats.org/officeDocument/2006/custom-properties" xmlns:vt="http://schemas.openxmlformats.org/officeDocument/2006/docPropsVTypes"/>
</file>