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InGen Week 3 Brand Messaging Framework</w:t>
      </w:r>
    </w:p>
    <w:p>
      <w:r>
        <w:t>Xuan Li | Strategy proposal | 13 October 2026</w:t>
      </w:r>
    </w:p>
    <w:p>
      <w:pPr>
        <w:pStyle w:val="Heading1"/>
      </w:pPr>
      <w:r>
        <w:t>Executive recommendation</w:t>
      </w:r>
    </w:p>
    <w:p>
      <w:r>
        <w:t>Keep the brand promise consistent and vary the decision each platform helps its audience make. Use the hierarchy below as proposed editorial language for review. It does not turn development intentions into delivered benefits or general robotics research into product-specific proof.</w:t>
      </w:r>
    </w:p>
    <w:p>
      <w:pPr>
        <w:pStyle w:val="Heading2"/>
      </w:pPr>
      <w:r>
        <w:t>Level 1 Core brand promise</w:t>
      </w:r>
    </w:p>
    <w:p>
      <w:r>
        <w:t>Proposed promise: We aim to make physical AI useful in people’s lives, with clear human roles and evidence that makes its capabilities understandable.</w:t>
      </w:r>
    </w:p>
    <w:p>
      <w:pPr>
        <w:pStyle w:val="Heading2"/>
      </w:pPr>
      <w:r>
        <w:t>Level 2 Platform value propositions</w:t>
      </w:r>
    </w:p>
    <w:tbl>
      <w:tblPr>
        <w:tblW w:type="auto" w:w="0"/>
        <w:tblLayout w:type="fixed"/>
        <w:tblLook w:firstColumn="1" w:firstRow="1" w:lastColumn="0" w:lastRow="0" w:noHBand="0" w:noVBand="1" w:val="04A0"/>
      </w:tblPr>
      <w:tblGrid>
        <w:gridCol w:w="1944"/>
        <w:gridCol w:w="7848"/>
      </w:tblGrid>
      <w:tr>
        <w:trPr>
          <w:cantSplit/>
          <w:tblHeader/>
        </w:trPr>
        <w:tc>
          <w:tcPr>
            <w:tcW w:type="dxa" w:w="5112"/>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Platform</w:t>
            </w:r>
          </w:p>
        </w:tc>
        <w:tc>
          <w:tcPr>
            <w:tcW w:type="dxa" w:w="5112"/>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Proposed value proposition</w:t>
            </w:r>
          </w:p>
        </w:tc>
      </w:tr>
      <w:tr>
        <w:trPr>
          <w:cantSplit/>
        </w:trPr>
        <w:tc>
          <w:tcPr>
            <w:tcW w:type="dxa" w:w="1944"/>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Fari</w:t>
            </w:r>
          </w:p>
        </w:tc>
        <w:tc>
          <w:tcPr>
            <w:tcW w:type="dxa" w:w="7848"/>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Fari is being developed to support older adults in everyday life, with user choice central to the proposed experience.</w:t>
            </w:r>
          </w:p>
        </w:tc>
      </w:tr>
      <w:tr>
        <w:trPr>
          <w:cantSplit/>
        </w:trPr>
        <w:tc>
          <w:tcPr>
            <w:tcW w:type="dxa" w:w="194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Senpai</w:t>
            </w:r>
          </w:p>
        </w:tc>
        <w:tc>
          <w:tcPr>
            <w:tcW w:type="dxa" w:w="7848"/>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Senpai is being developed as an educational companion intended to support teacher-directed learning.</w:t>
            </w:r>
          </w:p>
        </w:tc>
      </w:tr>
      <w:tr>
        <w:trPr>
          <w:cantSplit/>
        </w:trPr>
        <w:tc>
          <w:tcPr>
            <w:tcW w:type="dxa" w:w="1944"/>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Aido Rover</w:t>
            </w:r>
          </w:p>
        </w:tc>
        <w:tc>
          <w:tcPr>
            <w:tcW w:type="dxa" w:w="7848"/>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Aido Rover research explores outdoor patrol and inspection support for enterprise security teams.</w:t>
            </w:r>
          </w:p>
        </w:tc>
      </w:tr>
      <w:tr>
        <w:trPr>
          <w:cantSplit/>
        </w:trPr>
        <w:tc>
          <w:tcPr>
            <w:tcW w:type="dxa" w:w="194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Sentinel Prime AI</w:t>
            </w:r>
          </w:p>
        </w:tc>
        <w:tc>
          <w:tcPr>
            <w:tcW w:type="dxa" w:w="7848"/>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Sentinel Prime AI addresses enterprise security intelligence, with proposed messaging centered on workflow fit and verifiable evidence.</w:t>
            </w:r>
          </w:p>
        </w:tc>
      </w:tr>
      <w:tr>
        <w:trPr>
          <w:cantSplit/>
        </w:trPr>
        <w:tc>
          <w:tcPr>
            <w:tcW w:type="dxa" w:w="1944"/>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Aido Humanoid</w:t>
            </w:r>
          </w:p>
        </w:tc>
        <w:tc>
          <w:tcPr>
            <w:tcW w:type="dxa" w:w="7848"/>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Aido Humanoid research explores future robotic capabilities through questions that should be evaluated with transparent methods and limits.</w:t>
            </w:r>
          </w:p>
        </w:tc>
      </w:tr>
    </w:tbl>
    <w:p>
      <w:pPr>
        <w:pStyle w:val="Heading2"/>
      </w:pPr>
      <w:r>
        <w:t>How to read the evidence</w:t>
      </w:r>
    </w:p>
    <w:p>
      <w:r>
        <w:t>EVIDENCE states an attributed public fact or research finding. PROOF NEEDED identifies a missing product artifact, test or permission. PROPOSED COPY is wording for review, not a released claim. The following five pages cover Levels 3–5: three key messages, proof for each, and a platform-specific tone guide.</w:t>
      </w:r>
    </w:p>
    <w:p>
      <w:r>
        <w:t>When a source documents a design goal, use “being developed,” “intended” or “proposed.” Operational status alone does not support an effectiveness claim. Never transfer one platform’s customer evidence to another. Do not invent testimonials, pilot results, certifications or partnerships.</w:t>
      </w:r>
    </w:p>
    <w:p>
      <w:r>
        <w:br w:type="page"/>
      </w:r>
    </w:p>
    <w:p>
      <w:pPr>
        <w:pStyle w:val="Heading1"/>
      </w:pPr>
      <w:r>
        <w:t>Fari messaging</w:t>
      </w:r>
    </w:p>
    <w:p>
      <w:r>
        <w:t>Audience: Older adults and family caregivers. Status: In development; not yet commercially available [I1].</w:t>
      </w:r>
    </w:p>
    <w:p>
      <w:pPr>
        <w:pStyle w:val="Heading2"/>
      </w:pPr>
      <w:r>
        <w:t>Level 3 and Level 4 Key messages and proof</w:t>
      </w:r>
    </w:p>
    <w:p>
      <w:pPr>
        <w:pStyle w:val="Heading2"/>
      </w:pPr>
      <w:r>
        <w:t>Message 1  Start with an interaction the older adult would welcome.</w:t>
      </w:r>
    </w:p>
    <w:p>
      <w:r>
        <w:rPr>
          <w:b/>
          <w:color w:val="225A55"/>
        </w:rPr>
        <w:t xml:space="preserve">EVIDENCE  </w:t>
      </w:r>
      <w:r>
        <w:t>Task-dependent preferences in the Smarr study support asking about individual tasks [R1].</w:t>
      </w:r>
    </w:p>
    <w:p>
      <w:r>
        <w:rPr>
          <w:b/>
        </w:rPr>
        <w:t xml:space="preserve">PROOF NEEDED  </w:t>
      </w:r>
      <w:r>
        <w:t>A product-approved concept showing one optional interaction, followed by user comprehension review.</w:t>
      </w:r>
    </w:p>
    <w:p>
      <w:r>
        <w:rPr>
          <w:b/>
        </w:rPr>
        <w:t xml:space="preserve">PROPOSED COPY  </w:t>
      </w:r>
      <w:r>
        <w:t>Choose one kind of support you would like to explore.</w:t>
      </w:r>
    </w:p>
    <w:p>
      <w:pPr>
        <w:pStyle w:val="Heading2"/>
      </w:pPr>
      <w:r>
        <w:t>Message 2  Make family decisions with the older adult involved.</w:t>
      </w:r>
    </w:p>
    <w:p>
      <w:r>
        <w:rPr>
          <w:b/>
          <w:color w:val="225A55"/>
        </w:rPr>
        <w:t xml:space="preserve">EVIDENCE  </w:t>
      </w:r>
      <w:r>
        <w:t>The public design page describes consent and human authority [I1]. This documents intent, not tested usability.</w:t>
      </w:r>
    </w:p>
    <w:p>
      <w:r>
        <w:rPr>
          <w:b/>
        </w:rPr>
        <w:t xml:space="preserve">PROOF NEEDED  </w:t>
      </w:r>
      <w:r>
        <w:t>Approved sharing and stopping flows; review with user–caregiver pairs.</w:t>
      </w:r>
    </w:p>
    <w:p>
      <w:r>
        <w:rPr>
          <w:b/>
        </w:rPr>
        <w:t xml:space="preserve">PROPOSED COPY  </w:t>
      </w:r>
      <w:r>
        <w:t>Before considering a companion robot, ask whose choices it should follow.</w:t>
      </w:r>
    </w:p>
    <w:p>
      <w:pPr>
        <w:pStyle w:val="Heading2"/>
      </w:pPr>
      <w:r>
        <w:t>Message 3  Explain what is proposed and what is established.</w:t>
      </w:r>
    </w:p>
    <w:p>
      <w:r>
        <w:rPr>
          <w:b/>
          <w:color w:val="225A55"/>
        </w:rPr>
        <w:t xml:space="preserve">EVIDENCE  </w:t>
      </w:r>
      <w:r>
        <w:t>The public Fari page identifies active development [I1].</w:t>
      </w:r>
    </w:p>
    <w:p>
      <w:r>
        <w:rPr>
          <w:b/>
        </w:rPr>
        <w:t xml:space="preserve">PROOF NEEDED  </w:t>
      </w:r>
      <w:r>
        <w:t>Dated evidence for any specific outcome, plus a clear availability statement.</w:t>
      </w:r>
    </w:p>
    <w:p>
      <w:r>
        <w:rPr>
          <w:b/>
        </w:rPr>
        <w:t xml:space="preserve">PROPOSED COPY  </w:t>
      </w:r>
      <w:r>
        <w:t>Explore Fari’s proposed role and the questions that still need answers.</w:t>
      </w:r>
    </w:p>
    <w:p>
      <w:pPr>
        <w:pStyle w:val="Heading2"/>
      </w:pPr>
      <w:r>
        <w:t>Level 5 Tone and voice</w:t>
      </w:r>
    </w:p>
    <w:tbl>
      <w:tblPr>
        <w:tblW w:type="auto" w:w="0"/>
        <w:tblLayout w:type="fixed"/>
        <w:tblLook w:firstColumn="1" w:firstRow="1" w:lastColumn="0" w:lastRow="0" w:noHBand="0" w:noVBand="1" w:val="04A0"/>
      </w:tblPr>
      <w:tblGrid>
        <w:gridCol w:w="1440"/>
        <w:gridCol w:w="4176"/>
        <w:gridCol w:w="4176"/>
      </w:tblGrid>
      <w:tr>
        <w:trPr>
          <w:cantSplit/>
          <w:tblHeader/>
        </w:trPr>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Descriptor</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Do</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Do not</w:t>
            </w:r>
          </w:p>
        </w:tc>
      </w:tr>
      <w:tr>
        <w:trPr>
          <w:cantSplit/>
        </w:trPr>
        <w:tc>
          <w:tcPr>
            <w:tcW w:type="dxa" w:w="144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Warm</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What would make this useful in your day?</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Never feel lonely again.</w:t>
            </w:r>
          </w:p>
        </w:tc>
      </w:tr>
      <w:tr>
        <w:trPr>
          <w:cantSplit/>
        </w:trPr>
        <w:tc>
          <w:tcPr>
            <w:tcW w:type="dxa" w:w="144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Respectful</w:t>
            </w:r>
          </w:p>
        </w:tc>
        <w:tc>
          <w:tcPr>
            <w:tcW w:type="dxa" w:w="41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Explore the options together.</w:t>
            </w:r>
          </w:p>
        </w:tc>
        <w:tc>
          <w:tcPr>
            <w:tcW w:type="dxa" w:w="41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Give your parent the care they can no longer choose.</w:t>
            </w:r>
          </w:p>
        </w:tc>
      </w:tr>
      <w:tr>
        <w:trPr>
          <w:cantSplit/>
        </w:trPr>
        <w:tc>
          <w:tcPr>
            <w:tcW w:type="dxa" w:w="144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Clear</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This is a concept under development.</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Clinically proven protection around the clock.</w:t>
            </w:r>
          </w:p>
        </w:tc>
      </w:tr>
    </w:tbl>
    <w:p>
      <w:r>
        <w:t>First CTA: read the current public overview and identify a question. Destination: https://www.ingendynamics.com/fari.html</w:t>
      </w:r>
    </w:p>
    <w:p>
      <w:r>
        <w:br w:type="page"/>
      </w:r>
    </w:p>
    <w:p>
      <w:pPr>
        <w:pStyle w:val="Heading1"/>
      </w:pPr>
      <w:r>
        <w:t>Senpai messaging</w:t>
      </w:r>
    </w:p>
    <w:p>
      <w:r>
        <w:t>Audience: Teachers, school administrators and parents. Status: In development [I2].</w:t>
      </w:r>
    </w:p>
    <w:p>
      <w:pPr>
        <w:pStyle w:val="Heading2"/>
      </w:pPr>
      <w:r>
        <w:t>Level 3 and Level 4 Key messages and proof</w:t>
      </w:r>
    </w:p>
    <w:p>
      <w:pPr>
        <w:pStyle w:val="Heading2"/>
      </w:pPr>
      <w:r>
        <w:t>Message 1  Begin with a defined lesson objective.</w:t>
      </w:r>
    </w:p>
    <w:p>
      <w:r>
        <w:rPr>
          <w:b/>
          <w:color w:val="225A55"/>
        </w:rPr>
        <w:t xml:space="preserve">EVIDENCE  </w:t>
      </w:r>
      <w:r>
        <w:t>Education technology adoption depends on teaching knowledge and context [R3].</w:t>
      </w:r>
    </w:p>
    <w:p>
      <w:r>
        <w:rPr>
          <w:b/>
        </w:rPr>
        <w:t xml:space="preserve">PROOF NEEDED  </w:t>
      </w:r>
      <w:r>
        <w:t>Teacher-reviewed lesson materials and, later, a suitable learning evaluation.</w:t>
      </w:r>
    </w:p>
    <w:p>
      <w:r>
        <w:rPr>
          <w:b/>
        </w:rPr>
        <w:t xml:space="preserve">PROPOSED COPY  </w:t>
      </w:r>
      <w:r>
        <w:t>Which part of a lesson would benefit from a guided practice tool?</w:t>
      </w:r>
    </w:p>
    <w:p>
      <w:pPr>
        <w:pStyle w:val="Heading2"/>
      </w:pPr>
      <w:r>
        <w:t>Message 2  Keep correction and authority visible.</w:t>
      </w:r>
    </w:p>
    <w:p>
      <w:r>
        <w:rPr>
          <w:b/>
          <w:color w:val="225A55"/>
        </w:rPr>
        <w:t xml:space="preserve">EVIDENCE  </w:t>
      </w:r>
      <w:r>
        <w:t>The Senpai design page describes teacher override [I2].</w:t>
      </w:r>
    </w:p>
    <w:p>
      <w:r>
        <w:rPr>
          <w:b/>
        </w:rPr>
        <w:t xml:space="preserve">PROOF NEEDED  </w:t>
      </w:r>
      <w:r>
        <w:t>A verified correction workflow showing how a teacher interrupts or changes an activity.</w:t>
      </w:r>
    </w:p>
    <w:p>
      <w:r>
        <w:rPr>
          <w:b/>
        </w:rPr>
        <w:t xml:space="preserve">PROPOSED COPY  </w:t>
      </w:r>
      <w:r>
        <w:t>A classroom concept should make the teacher’s role easy to see.</w:t>
      </w:r>
    </w:p>
    <w:p>
      <w:pPr>
        <w:pStyle w:val="Heading2"/>
      </w:pPr>
      <w:r>
        <w:t>Message 3  Evaluate evidence beyond engagement.</w:t>
      </w:r>
    </w:p>
    <w:p>
      <w:r>
        <w:rPr>
          <w:b/>
          <w:color w:val="225A55"/>
        </w:rPr>
        <w:t xml:space="preserve">EVIDENCE  </w:t>
      </w:r>
      <w:r>
        <w:t>Robot-group conformity in a study of children aged 7–9 illustrates why influence needs care [R4]; it does not show Senpai outcomes.</w:t>
      </w:r>
    </w:p>
    <w:p>
      <w:r>
        <w:rPr>
          <w:b/>
        </w:rPr>
        <w:t xml:space="preserve">PROOF NEEDED  </w:t>
      </w:r>
      <w:r>
        <w:t>Age-appropriate review, privacy documentation and learning measures separate from enjoyment.</w:t>
      </w:r>
    </w:p>
    <w:p>
      <w:r>
        <w:rPr>
          <w:b/>
        </w:rPr>
        <w:t xml:space="preserve">PROPOSED COPY  </w:t>
      </w:r>
      <w:r>
        <w:t>An engaging activity still needs a learning objective and a way to check understanding.</w:t>
      </w:r>
    </w:p>
    <w:p>
      <w:pPr>
        <w:pStyle w:val="Heading2"/>
      </w:pPr>
      <w:r>
        <w:t>Level 5 Tone and voice</w:t>
      </w:r>
    </w:p>
    <w:tbl>
      <w:tblPr>
        <w:tblW w:type="auto" w:w="0"/>
        <w:tblLayout w:type="fixed"/>
        <w:tblLook w:firstColumn="1" w:firstRow="1" w:lastColumn="0" w:lastRow="0" w:noHBand="0" w:noVBand="1" w:val="04A0"/>
      </w:tblPr>
      <w:tblGrid>
        <w:gridCol w:w="1440"/>
        <w:gridCol w:w="4176"/>
        <w:gridCol w:w="4176"/>
      </w:tblGrid>
      <w:tr>
        <w:trPr>
          <w:cantSplit/>
          <w:tblHeader/>
        </w:trPr>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Descriptor</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Do</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Do not</w:t>
            </w:r>
          </w:p>
        </w:tc>
      </w:tr>
      <w:tr>
        <w:trPr>
          <w:cantSplit/>
        </w:trPr>
        <w:tc>
          <w:tcPr>
            <w:tcW w:type="dxa" w:w="144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Teacher-led</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You choose the objective and review the activity.</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Let the robot take over your classroom.</w:t>
            </w:r>
          </w:p>
        </w:tc>
      </w:tr>
      <w:tr>
        <w:trPr>
          <w:cantSplit/>
        </w:trPr>
        <w:tc>
          <w:tcPr>
            <w:tcW w:type="dxa" w:w="144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Concrete</w:t>
            </w:r>
          </w:p>
        </w:tc>
        <w:tc>
          <w:tcPr>
            <w:tcW w:type="dxa" w:w="41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Review this paper lesson and its exit question.</w:t>
            </w:r>
          </w:p>
        </w:tc>
        <w:tc>
          <w:tcPr>
            <w:tcW w:type="dxa" w:w="41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Unlock unlimited learning potential.</w:t>
            </w:r>
          </w:p>
        </w:tc>
      </w:tr>
      <w:tr>
        <w:trPr>
          <w:cantSplit/>
        </w:trPr>
        <w:tc>
          <w:tcPr>
            <w:tcW w:type="dxa" w:w="144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Measured</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Learning effects would need evaluation.</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Guaranteed better grades for every child.</w:t>
            </w:r>
          </w:p>
        </w:tc>
      </w:tr>
    </w:tbl>
    <w:p>
      <w:r>
        <w:t>First CTA: read the current public overview and identify a question. Destination: https://www.ingendynamics.com/senpai.html</w:t>
      </w:r>
    </w:p>
    <w:p>
      <w:r>
        <w:br w:type="page"/>
      </w:r>
    </w:p>
    <w:p>
      <w:pPr>
        <w:pStyle w:val="Heading1"/>
      </w:pPr>
      <w:r>
        <w:t>Aido Rover messaging</w:t>
      </w:r>
    </w:p>
    <w:p>
      <w:r>
        <w:t>Audience: Enterprise security and facilities teams. Status: Research stage [I3].</w:t>
      </w:r>
    </w:p>
    <w:p>
      <w:pPr>
        <w:pStyle w:val="Heading2"/>
      </w:pPr>
      <w:r>
        <w:t>Level 3 and Level 4 Key messages and proof</w:t>
      </w:r>
    </w:p>
    <w:p>
      <w:pPr>
        <w:pStyle w:val="Heading2"/>
      </w:pPr>
      <w:r>
        <w:t>Message 1  Define the site task before discussing autonomy.</w:t>
      </w:r>
    </w:p>
    <w:p>
      <w:r>
        <w:rPr>
          <w:b/>
          <w:color w:val="225A55"/>
        </w:rPr>
        <w:t xml:space="preserve">EVIDENCE  </w:t>
      </w:r>
      <w:r>
        <w:t>InGen identifies outdoor patrol and inspection as intended use areas [I3].</w:t>
      </w:r>
    </w:p>
    <w:p>
      <w:r>
        <w:rPr>
          <w:b/>
        </w:rPr>
        <w:t xml:space="preserve">PROOF NEEDED  </w:t>
      </w:r>
      <w:r>
        <w:t>Site scope, terrain constraints and a product-approved concept route.</w:t>
      </w:r>
    </w:p>
    <w:p>
      <w:r>
        <w:rPr>
          <w:b/>
        </w:rPr>
        <w:t xml:space="preserve">PROPOSED COPY  </w:t>
      </w:r>
      <w:r>
        <w:t>Which bounded patrol task would you want to evaluate first?</w:t>
      </w:r>
    </w:p>
    <w:p>
      <w:pPr>
        <w:pStyle w:val="Heading2"/>
      </w:pPr>
      <w:r>
        <w:t>Message 2  Make human responsibility explicit.</w:t>
      </w:r>
    </w:p>
    <w:p>
      <w:r>
        <w:rPr>
          <w:b/>
          <w:color w:val="225A55"/>
        </w:rPr>
        <w:t xml:space="preserve">EVIDENCE  </w:t>
      </w:r>
      <w:r>
        <w:t>Trust research supports appropriate reliance rather than blind reliance [R2]; it is not Rover validation.</w:t>
      </w:r>
    </w:p>
    <w:p>
      <w:r>
        <w:rPr>
          <w:b/>
        </w:rPr>
        <w:t xml:space="preserve">PROOF NEEDED  </w:t>
      </w:r>
      <w:r>
        <w:t>Approved response workflow for false alarms, missed events and connectivity loss.</w:t>
      </w:r>
    </w:p>
    <w:p>
      <w:r>
        <w:rPr>
          <w:b/>
        </w:rPr>
        <w:t xml:space="preserve">PROPOSED COPY  </w:t>
      </w:r>
      <w:r>
        <w:t>A patrol proposal should say who verifies an alert and who responds.</w:t>
      </w:r>
    </w:p>
    <w:p>
      <w:pPr>
        <w:pStyle w:val="Heading2"/>
      </w:pPr>
      <w:r>
        <w:t>Message 3  Agree evaluation criteria before any pilot.</w:t>
      </w:r>
    </w:p>
    <w:p>
      <w:r>
        <w:rPr>
          <w:b/>
          <w:color w:val="225A55"/>
        </w:rPr>
        <w:t xml:space="preserve">EVIDENCE  </w:t>
      </w:r>
      <w:r>
        <w:t>Research-stage status does not establish operational performance [I3].</w:t>
      </w:r>
    </w:p>
    <w:p>
      <w:r>
        <w:rPr>
          <w:b/>
        </w:rPr>
        <w:t xml:space="preserve">PROOF NEEDED  </w:t>
      </w:r>
      <w:r>
        <w:t>Mutually agreed acceptance criteria and documented site tests; no results are supplied here.</w:t>
      </w:r>
    </w:p>
    <w:p>
      <w:r>
        <w:rPr>
          <w:b/>
        </w:rPr>
        <w:t xml:space="preserve">PROPOSED COPY  </w:t>
      </w:r>
      <w:r>
        <w:t>Start an evaluation with scope, exceptions and evidence requirements.</w:t>
      </w:r>
    </w:p>
    <w:p>
      <w:pPr>
        <w:pStyle w:val="Heading2"/>
      </w:pPr>
      <w:r>
        <w:t>Level 5 Tone and voice</w:t>
      </w:r>
    </w:p>
    <w:tbl>
      <w:tblPr>
        <w:tblW w:type="auto" w:w="0"/>
        <w:tblLayout w:type="fixed"/>
        <w:tblLook w:firstColumn="1" w:firstRow="1" w:lastColumn="0" w:lastRow="0" w:noHBand="0" w:noVBand="1" w:val="04A0"/>
      </w:tblPr>
      <w:tblGrid>
        <w:gridCol w:w="1440"/>
        <w:gridCol w:w="4176"/>
        <w:gridCol w:w="4176"/>
      </w:tblGrid>
      <w:tr>
        <w:trPr>
          <w:cantSplit/>
          <w:tblHeader/>
        </w:trPr>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Descriptor</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Do</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Do not</w:t>
            </w:r>
          </w:p>
        </w:tc>
      </w:tr>
      <w:tr>
        <w:trPr>
          <w:cantSplit/>
        </w:trPr>
        <w:tc>
          <w:tcPr>
            <w:tcW w:type="dxa" w:w="144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Operational</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Define the route, conditions and escalation owner.</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Security for any terrain, anywhere.</w:t>
            </w:r>
          </w:p>
        </w:tc>
      </w:tr>
      <w:tr>
        <w:trPr>
          <w:cantSplit/>
        </w:trPr>
        <w:tc>
          <w:tcPr>
            <w:tcW w:type="dxa" w:w="144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Accountable</w:t>
            </w:r>
          </w:p>
        </w:tc>
        <w:tc>
          <w:tcPr>
            <w:tcW w:type="dxa" w:w="41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Specify the human response to a missed event.</w:t>
            </w:r>
          </w:p>
        </w:tc>
        <w:tc>
          <w:tcPr>
            <w:tcW w:type="dxa" w:w="41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Fully autonomous protection with no oversight.</w:t>
            </w:r>
          </w:p>
        </w:tc>
      </w:tr>
      <w:tr>
        <w:trPr>
          <w:cantSplit/>
        </w:trPr>
        <w:tc>
          <w:tcPr>
            <w:tcW w:type="dxa" w:w="144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Exact</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Research-stage patrol concept.</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Proven to replace patrol officers.</w:t>
            </w:r>
          </w:p>
        </w:tc>
      </w:tr>
    </w:tbl>
    <w:p>
      <w:r>
        <w:t>First CTA: read the current public overview and identify a question. Destination: https://www.ingendynamics.com/</w:t>
      </w:r>
    </w:p>
    <w:p>
      <w:r>
        <w:br w:type="page"/>
      </w:r>
    </w:p>
    <w:p>
      <w:pPr>
        <w:pStyle w:val="Heading1"/>
      </w:pPr>
      <w:r>
        <w:t>Sentinel Prime AI messaging</w:t>
      </w:r>
    </w:p>
    <w:p>
      <w:r>
        <w:t>Audience: Enterprise security, risk and IT teams. Status: Described as operational by InGen; not independently validated here [I3].</w:t>
      </w:r>
    </w:p>
    <w:p>
      <w:pPr>
        <w:pStyle w:val="Heading2"/>
      </w:pPr>
      <w:r>
        <w:t>Level 3 and Level 4 Key messages and proof</w:t>
      </w:r>
    </w:p>
    <w:p>
      <w:pPr>
        <w:pStyle w:val="Heading2"/>
      </w:pPr>
      <w:r>
        <w:t>Message 1  Connect information to a defined response process.</w:t>
      </w:r>
    </w:p>
    <w:p>
      <w:r>
        <w:rPr>
          <w:b/>
          <w:color w:val="225A55"/>
        </w:rPr>
        <w:t xml:space="preserve">EVIDENCE  </w:t>
      </w:r>
      <w:r>
        <w:t>The corporate page presents Sentinel as enterprise security intelligence [I3].</w:t>
      </w:r>
    </w:p>
    <w:p>
      <w:r>
        <w:rPr>
          <w:b/>
        </w:rPr>
        <w:t xml:space="preserve">PROOF NEEDED  </w:t>
      </w:r>
      <w:r>
        <w:t>Product-approved architecture and a named customer-side response owner.</w:t>
      </w:r>
    </w:p>
    <w:p>
      <w:r>
        <w:rPr>
          <w:b/>
        </w:rPr>
        <w:t xml:space="preserve">PROPOSED COPY  </w:t>
      </w:r>
      <w:r>
        <w:t>Map where security intelligence would enter your current response process.</w:t>
      </w:r>
    </w:p>
    <w:p>
      <w:pPr>
        <w:pStyle w:val="Heading2"/>
      </w:pPr>
      <w:r>
        <w:t>Message 2  Match each claim to a relevant operating context.</w:t>
      </w:r>
    </w:p>
    <w:p>
      <w:r>
        <w:rPr>
          <w:b/>
          <w:color w:val="225A55"/>
        </w:rPr>
        <w:t xml:space="preserve">EVIDENCE  </w:t>
      </w:r>
      <w:r>
        <w:t>InGen’s operational label is a company statement, not evidence of a particular buyer’s outcome [I3].</w:t>
      </w:r>
    </w:p>
    <w:p>
      <w:r>
        <w:rPr>
          <w:b/>
        </w:rPr>
        <w:t xml:space="preserve">PROOF NEEDED  </w:t>
      </w:r>
      <w:r>
        <w:t>Permissioned customer reference, test conditions and results for the stated use case.</w:t>
      </w:r>
    </w:p>
    <w:p>
      <w:r>
        <w:rPr>
          <w:b/>
        </w:rPr>
        <w:t xml:space="preserve">PROPOSED COPY  </w:t>
      </w:r>
      <w:r>
        <w:t>Ask what was measured, where it was measured and what the result does not cover.</w:t>
      </w:r>
    </w:p>
    <w:p>
      <w:pPr>
        <w:pStyle w:val="Heading2"/>
      </w:pPr>
      <w:r>
        <w:t>Message 3  Resolve data responsibilities before evaluation.</w:t>
      </w:r>
    </w:p>
    <w:p>
      <w:r>
        <w:rPr>
          <w:b/>
          <w:color w:val="225A55"/>
        </w:rPr>
        <w:t xml:space="preserve">EVIDENCE  </w:t>
      </w:r>
      <w:r>
        <w:t>Appropriate reliance requires understanding system context [R2]. No access or retention capability is independently verified here.</w:t>
      </w:r>
    </w:p>
    <w:p>
      <w:r>
        <w:rPr>
          <w:b/>
        </w:rPr>
        <w:t xml:space="preserve">PROOF NEEDED  </w:t>
      </w:r>
      <w:r>
        <w:t>Documented access, retention and audit arrangements reviewed by the product owner and buyer.</w:t>
      </w:r>
    </w:p>
    <w:p>
      <w:r>
        <w:rPr>
          <w:b/>
        </w:rPr>
        <w:t xml:space="preserve">PROPOSED COPY  </w:t>
      </w:r>
      <w:r>
        <w:t>Who needs access to event information, and for how long?</w:t>
      </w:r>
    </w:p>
    <w:p>
      <w:pPr>
        <w:pStyle w:val="Heading2"/>
      </w:pPr>
      <w:r>
        <w:t>Level 5 Tone and voice</w:t>
      </w:r>
    </w:p>
    <w:tbl>
      <w:tblPr>
        <w:tblW w:type="auto" w:w="0"/>
        <w:tblLayout w:type="fixed"/>
        <w:tblLook w:firstColumn="1" w:firstRow="1" w:lastColumn="0" w:lastRow="0" w:noHBand="0" w:noVBand="1" w:val="04A0"/>
      </w:tblPr>
      <w:tblGrid>
        <w:gridCol w:w="1440"/>
        <w:gridCol w:w="4176"/>
        <w:gridCol w:w="4176"/>
      </w:tblGrid>
      <w:tr>
        <w:trPr>
          <w:cantSplit/>
          <w:tblHeader/>
        </w:trPr>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Descriptor</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Do</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Do not</w:t>
            </w:r>
          </w:p>
        </w:tc>
      </w:tr>
      <w:tr>
        <w:trPr>
          <w:cantSplit/>
        </w:trPr>
        <w:tc>
          <w:tcPr>
            <w:tcW w:type="dxa" w:w="144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Professional</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Evaluate fit with the existing response workflow.</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An unbeatable security revolution.</w:t>
            </w:r>
          </w:p>
        </w:tc>
      </w:tr>
      <w:tr>
        <w:trPr>
          <w:cantSplit/>
        </w:trPr>
        <w:tc>
          <w:tcPr>
            <w:tcW w:type="dxa" w:w="144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Precise</w:t>
            </w:r>
          </w:p>
        </w:tc>
        <w:tc>
          <w:tcPr>
            <w:tcW w:type="dxa" w:w="41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Review evidence from the relevant deployment context.</w:t>
            </w:r>
          </w:p>
        </w:tc>
        <w:tc>
          <w:tcPr>
            <w:tcW w:type="dxa" w:w="41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Every threat detected before it happens.</w:t>
            </w:r>
          </w:p>
        </w:tc>
      </w:tr>
      <w:tr>
        <w:trPr>
          <w:cantSplit/>
        </w:trPr>
        <w:tc>
          <w:tcPr>
            <w:tcW w:type="dxa" w:w="144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Transparent</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Ask the team to confirm the applicable data controls.</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Fully compliant with every privacy standard.</w:t>
            </w:r>
          </w:p>
        </w:tc>
      </w:tr>
    </w:tbl>
    <w:p>
      <w:r>
        <w:t>First CTA: read the current public overview and identify a question. Destination: https://www.ingendynamics.com/</w:t>
      </w:r>
    </w:p>
    <w:p>
      <w:r>
        <w:br w:type="page"/>
      </w:r>
    </w:p>
    <w:p>
      <w:pPr>
        <w:pStyle w:val="Heading1"/>
      </w:pPr>
      <w:r>
        <w:t>Aido Humanoid messaging</w:t>
      </w:r>
    </w:p>
    <w:p>
      <w:r>
        <w:t>Audience: Researchers, technical media and potential collaborators. Status: Research stage [I3].</w:t>
      </w:r>
    </w:p>
    <w:p>
      <w:pPr>
        <w:pStyle w:val="Heading2"/>
      </w:pPr>
      <w:r>
        <w:t>Level 3 and Level 4 Key messages and proof</w:t>
      </w:r>
    </w:p>
    <w:p>
      <w:pPr>
        <w:pStyle w:val="Heading2"/>
      </w:pPr>
      <w:r>
        <w:t>Message 1  Lead with a specific research question.</w:t>
      </w:r>
    </w:p>
    <w:p>
      <w:r>
        <w:rPr>
          <w:b/>
          <w:color w:val="225A55"/>
        </w:rPr>
        <w:t xml:space="preserve">EVIDENCE  </w:t>
      </w:r>
      <w:r>
        <w:t>The corporate overview identifies the programme as research stage [I3].</w:t>
      </w:r>
    </w:p>
    <w:p>
      <w:r>
        <w:rPr>
          <w:b/>
        </w:rPr>
        <w:t xml:space="preserve">PROOF NEEDED  </w:t>
      </w:r>
      <w:r>
        <w:t>A team-approved research question and a dated progress note.</w:t>
      </w:r>
    </w:p>
    <w:p>
      <w:r>
        <w:rPr>
          <w:b/>
        </w:rPr>
        <w:t xml:space="preserve">PROPOSED COPY  </w:t>
      </w:r>
      <w:r>
        <w:t>What would a useful manipulation experiment need to measure?</w:t>
      </w:r>
    </w:p>
    <w:p>
      <w:pPr>
        <w:pStyle w:val="Heading2"/>
      </w:pPr>
      <w:r>
        <w:t>Message 2  Explain a demonstration’s conditions and limits.</w:t>
      </w:r>
    </w:p>
    <w:p>
      <w:r>
        <w:rPr>
          <w:b/>
          <w:color w:val="225A55"/>
        </w:rPr>
        <w:t xml:space="preserve">EVIDENCE  </w:t>
      </w:r>
      <w:r>
        <w:t>A research-stage description does not verify the published specification targets [I3].</w:t>
      </w:r>
    </w:p>
    <w:p>
      <w:r>
        <w:rPr>
          <w:b/>
        </w:rPr>
        <w:t xml:space="preserve">PROOF NEEDED  </w:t>
      </w:r>
      <w:r>
        <w:t>Authorized footage with task, environment, interventions and failure context.</w:t>
      </w:r>
    </w:p>
    <w:p>
      <w:r>
        <w:rPr>
          <w:b/>
        </w:rPr>
        <w:t xml:space="preserve">PROPOSED COPY  </w:t>
      </w:r>
      <w:r>
        <w:t>Read a robot demonstration alongside its test conditions.</w:t>
      </w:r>
    </w:p>
    <w:p>
      <w:pPr>
        <w:pStyle w:val="Heading2"/>
      </w:pPr>
      <w:r>
        <w:t>Message 3  Invite technical dialogue without implying partnerships.</w:t>
      </w:r>
    </w:p>
    <w:p>
      <w:r>
        <w:rPr>
          <w:b/>
          <w:color w:val="225A55"/>
        </w:rPr>
        <w:t xml:space="preserve">EVIDENCE  </w:t>
      </w:r>
      <w:r>
        <w:t>No new collaboration is claimed or substantiated by this proposal.</w:t>
      </w:r>
    </w:p>
    <w:p>
      <w:r>
        <w:rPr>
          <w:b/>
        </w:rPr>
        <w:t xml:space="preserve">PROOF NEEDED  </w:t>
      </w:r>
      <w:r>
        <w:t>Named research contact and authorization for any partner name or endorsement.</w:t>
      </w:r>
    </w:p>
    <w:p>
      <w:r>
        <w:rPr>
          <w:b/>
        </w:rPr>
        <w:t xml:space="preserve">PROPOSED COPY  </w:t>
      </w:r>
      <w:r>
        <w:t>Which evaluation question would you add to this research discussion?</w:t>
      </w:r>
    </w:p>
    <w:p>
      <w:pPr>
        <w:pStyle w:val="Heading2"/>
      </w:pPr>
      <w:r>
        <w:t>Level 5 Tone and voice</w:t>
      </w:r>
    </w:p>
    <w:tbl>
      <w:tblPr>
        <w:tblW w:type="auto" w:w="0"/>
        <w:tblLayout w:type="fixed"/>
        <w:tblLook w:firstColumn="1" w:firstRow="1" w:lastColumn="0" w:lastRow="0" w:noHBand="0" w:noVBand="1" w:val="04A0"/>
      </w:tblPr>
      <w:tblGrid>
        <w:gridCol w:w="1440"/>
        <w:gridCol w:w="4176"/>
        <w:gridCol w:w="4176"/>
      </w:tblGrid>
      <w:tr>
        <w:trPr>
          <w:cantSplit/>
          <w:tblHeader/>
        </w:trPr>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Descriptor</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Do</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Do not</w:t>
            </w:r>
          </w:p>
        </w:tc>
      </w:tr>
      <w:tr>
        <w:trPr>
          <w:cantSplit/>
        </w:trPr>
        <w:tc>
          <w:tcPr>
            <w:tcW w:type="dxa" w:w="144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Curious</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What would help us test this question?</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The future is already solved.</w:t>
            </w:r>
          </w:p>
        </w:tc>
      </w:tr>
      <w:tr>
        <w:trPr>
          <w:cantSplit/>
        </w:trPr>
        <w:tc>
          <w:tcPr>
            <w:tcW w:type="dxa" w:w="144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Measured</w:t>
            </w:r>
          </w:p>
        </w:tc>
        <w:tc>
          <w:tcPr>
            <w:tcW w:type="dxa" w:w="41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A research direction with open engineering questions.</w:t>
            </w:r>
          </w:p>
        </w:tc>
        <w:tc>
          <w:tcPr>
            <w:tcW w:type="dxa" w:w="41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Ready for every real-world task.</w:t>
            </w:r>
          </w:p>
        </w:tc>
      </w:tr>
      <w:tr>
        <w:trPr>
          <w:cantSplit/>
        </w:trPr>
        <w:tc>
          <w:tcPr>
            <w:tcW w:type="dxa" w:w="144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Open</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We welcome a specific technical question.</w:t>
            </w:r>
          </w:p>
        </w:tc>
        <w:tc>
          <w:tcPr>
            <w:tcW w:type="dxa" w:w="41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Backed by partners who have not approved an endorsement.</w:t>
            </w:r>
          </w:p>
        </w:tc>
      </w:tr>
    </w:tbl>
    <w:p>
      <w:r>
        <w:t>First CTA: read the current public overview and identify a question. Destination: https://www.ingendynamics.com/</w:t>
      </w:r>
    </w:p>
    <w:p>
      <w:r>
        <w:br w:type="page"/>
      </w:r>
    </w:p>
    <w:p>
      <w:pPr>
        <w:pStyle w:val="Heading1"/>
      </w:pPr>
      <w:r>
        <w:t>Adapt the format without changing the claim</w:t>
      </w:r>
    </w:p>
    <w:tbl>
      <w:tblPr>
        <w:tblW w:type="auto" w:w="0"/>
        <w:tblLayout w:type="fixed"/>
        <w:tblLook w:firstColumn="1" w:firstRow="1" w:lastColumn="0" w:lastRow="0" w:noHBand="0" w:noVBand="1" w:val="04A0"/>
      </w:tblPr>
      <w:tblGrid>
        <w:gridCol w:w="1584"/>
        <w:gridCol w:w="4104"/>
        <w:gridCol w:w="4104"/>
      </w:tblGrid>
      <w:tr>
        <w:trPr>
          <w:cantSplit/>
          <w:tblHeader/>
        </w:trPr>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Element</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Keep consistent</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Adapt by channel</w:t>
            </w:r>
          </w:p>
        </w:tc>
      </w:tr>
      <w:tr>
        <w:trPr>
          <w:cantSplit/>
        </w:trPr>
        <w:tc>
          <w:tcPr>
            <w:tcW w:type="dxa" w:w="1584"/>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Claim and status</w:t>
            </w:r>
          </w:p>
        </w:tc>
        <w:tc>
          <w:tcPr>
            <w:tcW w:type="dxa" w:w="4104"/>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Same product role, development status and evidence boundary.</w:t>
            </w:r>
          </w:p>
        </w:tc>
        <w:tc>
          <w:tcPr>
            <w:tcW w:type="dxa" w:w="4104"/>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Instagram uses short cards; LinkedIn gives context; Chinese copy explains unfamiliar terms.</w:t>
            </w:r>
          </w:p>
        </w:tc>
      </w:tr>
      <w:tr>
        <w:trPr>
          <w:cantSplit/>
        </w:trPr>
        <w:tc>
          <w:tcPr>
            <w:tcW w:type="dxa" w:w="158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Human role</w:t>
            </w:r>
          </w:p>
        </w:tc>
        <w:tc>
          <w:tcPr>
            <w:tcW w:type="dxa" w:w="410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Who chooses, verifies or responds.</w:t>
            </w:r>
          </w:p>
        </w:tc>
        <w:tc>
          <w:tcPr>
            <w:tcW w:type="dxa" w:w="410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Use a family conversation for Fari, a lesson for Senpai, a workflow for security.</w:t>
            </w:r>
          </w:p>
        </w:tc>
      </w:tr>
      <w:tr>
        <w:trPr>
          <w:cantSplit/>
        </w:trPr>
        <w:tc>
          <w:tcPr>
            <w:tcW w:type="dxa" w:w="1584"/>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CTA</w:t>
            </w:r>
          </w:p>
        </w:tc>
        <w:tc>
          <w:tcPr>
            <w:tcW w:type="dxa" w:w="4104"/>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One appropriate next step with a functioning destination.</w:t>
            </w:r>
          </w:p>
        </w:tc>
        <w:tc>
          <w:tcPr>
            <w:tcW w:type="dxa" w:w="4104"/>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Native save prompt for practical guides; public-page link for professional explainers.</w:t>
            </w:r>
          </w:p>
        </w:tc>
      </w:tr>
      <w:tr>
        <w:trPr>
          <w:cantSplit/>
        </w:trPr>
        <w:tc>
          <w:tcPr>
            <w:tcW w:type="dxa" w:w="158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Proof</w:t>
            </w:r>
          </w:p>
        </w:tc>
        <w:tc>
          <w:tcPr>
            <w:tcW w:type="dxa" w:w="410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Same source, date and limits across versions.</w:t>
            </w:r>
          </w:p>
        </w:tc>
        <w:tc>
          <w:tcPr>
            <w:tcW w:type="dxa" w:w="410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Link or source note can move, but must remain visible and usable.</w:t>
            </w:r>
          </w:p>
        </w:tc>
      </w:tr>
    </w:tbl>
    <w:p>
      <w:r>
        <w:t>Release workflow: Xuan checks source and translation; the product owner approves capability/status wording; a relevant reviewer checks context. If a required proof artifact is missing, publish an educational question or concept with an explicit label, or hold the claim. No new data collection, scheduling or publishing is performed by this package.</w:t>
      </w:r>
    </w:p>
    <w:p>
      <w:pPr>
        <w:pStyle w:val="Heading2"/>
      </w:pPr>
      <w:r>
        <w:t>Sources</w:t>
      </w:r>
    </w:p>
    <w:p>
      <w:r>
        <w:t>Public web pages checked 13 October 2026, New York time. Academic references carried forward from the reviewed Week 2 evidence base. Company statements establish what InGen says; they do not independently establish effectiveness. No proprietary metrics, interviews, customer testimonials or product tests were supplied.</w:t>
      </w:r>
    </w:p>
    <w:p>
      <w:r>
        <w:rPr>
          <w:sz w:val="17"/>
        </w:rPr>
        <w:t>[I1] InGen Dynamics. Fari product and design page. Company statements; development intentions, not independent product validation.</w:t>
        <w:br/>
        <w:t>https://www.ingendynamics.com/fari.html</w:t>
      </w:r>
    </w:p>
    <w:p>
      <w:r>
        <w:rPr>
          <w:sz w:val="17"/>
        </w:rPr>
        <w:t>[I2] InGen Dynamics. Senpai product and design page. Company statements; teacher control is a design intention.</w:t>
        <w:br/>
        <w:t>https://www.ingendynamics.com/senpai.html</w:t>
      </w:r>
    </w:p>
    <w:p>
      <w:r>
        <w:rPr>
          <w:sz w:val="17"/>
        </w:rPr>
        <w:t>[I3] InGen Dynamics. Corporate product overview. Status labels for Rover, Sentinel Prime AI and Aido Humanoid.</w:t>
        <w:br/>
        <w:t>https://www.ingendynamics.com/</w:t>
      </w:r>
    </w:p>
    <w:p>
      <w:r>
        <w:rPr>
          <w:sz w:val="17"/>
        </w:rPr>
        <w:t>[R1] Smarr et al. (2014). Domestic robots for older adults: Attitudes, preferences, and potential. International Journal of Social Robotics, 6, 229–247.</w:t>
        <w:br/>
        <w:t>https://doi.org/10.1007/s12369-013-0220-0</w:t>
      </w:r>
    </w:p>
    <w:p>
      <w:r>
        <w:rPr>
          <w:sz w:val="17"/>
        </w:rPr>
        <w:t>[R2] Lee and See (2004). Trust in automation: Designing for appropriate reliance. Human Factors, 46, 50–80.</w:t>
        <w:br/>
        <w:t>https://doi.org/10.1518/hfes.46.1.50_30392</w:t>
      </w:r>
    </w:p>
    <w:p>
      <w:r>
        <w:rPr>
          <w:sz w:val="17"/>
        </w:rPr>
        <w:t>[R3] Ertmer and Ottenbreit-Leftwich (2010). Teacher technology change: How knowledge, confidence, beliefs, and culture intersect. JRTE, 42, 255–284.</w:t>
        <w:br/>
        <w:t>https://doi.org/10.1080/15391523.2010.10782551</w:t>
      </w:r>
    </w:p>
    <w:p>
      <w:r>
        <w:rPr>
          <w:sz w:val="17"/>
        </w:rPr>
        <w:t>[R4] Vollmer et al. (2018). Children conform, adults resist: A robot group induced peer pressure on normative social conformity. Science Robotics.</w:t>
        <w:br/>
        <w:t>https://doi.org/10.1126/scirobotics.aat7111</w:t>
      </w:r>
    </w:p>
    <w:p>
      <w:r>
        <w:rPr>
          <w:sz w:val="17"/>
        </w:rPr>
        <w:t>[R5] Pew Research Center (17 September 2025). AI in Americans’ lives: Awareness, experiences and attitudes. General US adult attitudes; not robotics purchase research.</w:t>
        <w:br/>
        <w:t>https://www.pewresearch.org/science/2025/09/17/ai-in-americans-lives-awareness-experiences-and-attitudes/</w:t>
      </w:r>
    </w:p>
    <w:p>
      <w:r>
        <w:rPr>
          <w:sz w:val="17"/>
        </w:rPr>
        <w:t>[R6] Miao and Holmes / UNESCO (2023). Guidance for generative AI in education and research. Policy guidance; not evidence of Senpai effectiveness.</w:t>
        <w:br/>
        <w:t>https://www.unesco.org/en/articles/guidance-generative-ai-education-and-research</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Xuan Li  |  InGen Dynamics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