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InGen Week 3 Content Strategy</w:t>
      </w:r>
    </w:p>
    <w:p>
      <w:r>
        <w:t>Xuan Li | Strategy proposal | 13 October 2026</w:t>
      </w:r>
    </w:p>
    <w:p>
      <w:pPr>
        <w:pStyle w:val="Heading1"/>
      </w:pPr>
      <w:r>
        <w:t>Executive recommendation</w:t>
      </w:r>
    </w:p>
    <w:p>
      <w:r>
        <w:t>Make the next audience decision easier to evaluate. Lead Fari content with choices an older adult can discuss with family, Senpai with teacher-directed lesson evaluation, and enterprise security with evidence and responsibility. Use Aido Humanoid selectively to explain research. This gives each platform a distinct editorial job while keeping one consistent standard for claims.</w:t>
      </w:r>
    </w:p>
    <w:tbl>
      <w:tblPr>
        <w:tblW w:type="auto" w:w="0"/>
        <w:tblLayout w:type="fixed"/>
        <w:tblLook w:firstColumn="1" w:firstRow="1" w:lastColumn="0" w:lastRow="0" w:noHBand="0" w:noVBand="1" w:val="04A0"/>
      </w:tblPr>
      <w:tblGrid>
        <w:gridCol w:w="1440"/>
        <w:gridCol w:w="3888"/>
        <w:gridCol w:w="4464"/>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Decision</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Recommendation</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Why it matters</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Priority</w:t>
            </w:r>
          </w:p>
        </w:tc>
        <w:tc>
          <w:tcPr>
            <w:tcW w:type="dxa" w:w="388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 is the main consumer focus; maintain a smaller professional stream.</w:t>
            </w:r>
          </w:p>
        </w:tc>
        <w:tc>
          <w:tcPr>
            <w:tcW w:type="dxa" w:w="446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The user and caregiver need separate voices in the same decision.</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Production</w:t>
            </w:r>
          </w:p>
        </w:tc>
        <w:tc>
          <w:tcPr>
            <w:tcW w:type="dxa" w:w="388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Plan 9 channel-specific posts per week from reusable research and design templates.</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The required cadence is 3 posts on each of 3 channels, not 9 new investigations.</w:t>
            </w:r>
          </w:p>
        </w:tc>
      </w:tr>
      <w:tr>
        <w:trPr>
          <w:cantSplit/>
        </w:trPr>
        <w:tc>
          <w:tcPr>
            <w:tcW w:type="dxa" w:w="144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Conversion</w:t>
            </w:r>
          </w:p>
        </w:tc>
        <w:tc>
          <w:tcPr>
            <w:tcW w:type="dxa" w:w="388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Begin with education and questions; offer a commercial CTA only after readiness is confirmed.</w:t>
            </w:r>
          </w:p>
        </w:tc>
        <w:tc>
          <w:tcPr>
            <w:tcW w:type="dxa" w:w="446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Current development-stage products should not be presented as ready to buy.</w:t>
            </w:r>
          </w:p>
        </w:tc>
      </w:tr>
      <w:tr>
        <w:trPr>
          <w:cantSplit/>
        </w:trPr>
        <w:tc>
          <w:tcPr>
            <w:tcW w:type="dxa" w:w="144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Measurement</w:t>
            </w:r>
          </w:p>
        </w:tc>
        <w:tc>
          <w:tcPr>
            <w:tcW w:type="dxa" w:w="388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Track qualified questions and evidence of understanding before sales projections.</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No audience baseline or InGen conversion data was supplied.</w:t>
            </w:r>
          </w:p>
        </w:tc>
      </w:tr>
    </w:tbl>
    <w:p>
      <w:pPr>
        <w:pStyle w:val="Heading1"/>
      </w:pPr>
      <w:r>
        <w:t>Evidence does not establish demand</w:t>
      </w:r>
    </w:p>
    <w:p>
      <w:r>
        <w:rPr>
          <w:b/>
          <w:color w:val="225A55"/>
        </w:rPr>
        <w:t xml:space="preserve">EVIDENCE  </w:t>
      </w:r>
      <w:r>
        <w:t>Public materials label Fari and Senpai as in development, Rover and Humanoid as research stage, and Sentinel Prime AI as operational [I1–I3]. These are company status statements.</w:t>
      </w:r>
    </w:p>
    <w:p>
      <w:r>
        <w:rPr>
          <w:b/>
          <w:color w:val="354C66"/>
        </w:rPr>
        <w:t xml:space="preserve">INTERPRETATION  </w:t>
      </w:r>
      <w:r>
        <w:t>One portfolio-wide “available now” message would erase important differences in readiness. Status should travel with the product claim.</w:t>
      </w:r>
    </w:p>
    <w:p>
      <w:r>
        <w:rPr>
          <w:b/>
          <w:color w:val="8A5719"/>
        </w:rPr>
        <w:t xml:space="preserve">HYPOTHESIS  </w:t>
      </w:r>
      <w:r>
        <w:t>Showing a specific use case, a human decision and an evidence boundary may improve understanding. This has not been tested with InGen audiences.</w:t>
      </w:r>
    </w:p>
    <w:p>
      <w:r>
        <w:rPr>
          <w:b/>
          <w:color w:val="354C66"/>
        </w:rPr>
        <w:t xml:space="preserve">ACTION  </w:t>
      </w:r>
      <w:r>
        <w:t>Approve the claim wording and three publishing channels, then start a four-week learning cycle. No account activity, audience size or production capacity is assumed to be verified.</w:t>
      </w:r>
    </w:p>
    <w:p>
      <w:r>
        <w:br w:type="page"/>
      </w:r>
    </w:p>
    <w:p>
      <w:pPr>
        <w:pStyle w:val="Heading1"/>
      </w:pPr>
      <w:r>
        <w:t>Use the six planning questions to set priorities</w:t>
      </w:r>
    </w:p>
    <w:p>
      <w:pPr>
        <w:pStyle w:val="Heading2"/>
      </w:pPr>
      <w:r>
        <w:t>A1 Ambition</w:t>
      </w:r>
    </w:p>
    <w:p>
      <w:r>
        <w:t>Over the next 12 months, build an audience that can explain each platform’s intended role and take an appropriate next step. Months 1–3 establish a repeatable editorial system and baseline; months 4–6 refine the strongest use cases; months 7–12 expand only where product evidence, audience response and staffing support it. This is a proposed objective, not an approved company forecast. The six labels follow the internship brief’s version of the Ogilvy 6A framework.</w:t>
      </w:r>
    </w:p>
    <w:p>
      <w:pPr>
        <w:pStyle w:val="Heading2"/>
      </w:pPr>
      <w:r>
        <w:t>A2 Audience</w:t>
      </w:r>
    </w:p>
    <w:tbl>
      <w:tblPr>
        <w:tblW w:type="auto" w:w="0"/>
        <w:tblLayout w:type="fixed"/>
        <w:tblLook w:firstColumn="1" w:firstRow="1" w:lastColumn="0" w:lastRow="0" w:noHBand="0" w:noVBand="1" w:val="04A0"/>
      </w:tblPr>
      <w:tblGrid>
        <w:gridCol w:w="2880"/>
        <w:gridCol w:w="6912"/>
      </w:tblGrid>
      <w:tr>
        <w:trPr>
          <w:cantSplit/>
          <w:tblHeader/>
        </w:trPr>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Primary audience</w:t>
            </w:r>
          </w:p>
        </w:tc>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Decision and content need</w:t>
            </w:r>
          </w:p>
        </w:tc>
      </w:tr>
      <w:tr>
        <w:trPr>
          <w:cantSplit/>
        </w:trPr>
        <w:tc>
          <w:tcPr>
            <w:tcW w:type="dxa" w:w="288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 decision unit</w:t>
            </w:r>
          </w:p>
        </w:tc>
        <w:tc>
          <w:tcPr>
            <w:tcW w:type="dxa" w:w="69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Older adult is the intended user; adult child may help evaluate or pay. Explain an optional task, sharing choices and remaining family responsibilities. Do not let the caregiver speak for the parent.</w:t>
            </w:r>
          </w:p>
        </w:tc>
      </w:tr>
      <w:tr>
        <w:trPr>
          <w:cantSplit/>
        </w:trPr>
        <w:tc>
          <w:tcPr>
            <w:tcW w:type="dxa" w:w="28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Education decision unit</w:t>
            </w:r>
          </w:p>
        </w:tc>
        <w:tc>
          <w:tcPr>
            <w:tcW w:type="dxa" w:w="69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Teacher assesses classroom use; administrator and IT assess institutional adoption. Provide a lesson concept, correction process and evidence checklist rather than one generic school-buyer pitch.</w:t>
            </w:r>
          </w:p>
        </w:tc>
      </w:tr>
      <w:tr>
        <w:trPr>
          <w:cantSplit/>
        </w:trPr>
        <w:tc>
          <w:tcPr>
            <w:tcW w:type="dxa" w:w="288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Enterprise security decision unit</w:t>
            </w:r>
          </w:p>
        </w:tc>
        <w:tc>
          <w:tcPr>
            <w:tcW w:type="dxa" w:w="69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Security lead, facilities, IT and procurement need scope, human escalation and evaluation criteria. Distinguish Rover research from Sentinel’s company-reported operational status.</w:t>
            </w:r>
          </w:p>
        </w:tc>
      </w:tr>
    </w:tbl>
    <w:p>
      <w:pPr>
        <w:pStyle w:val="Heading2"/>
      </w:pPr>
      <w:r>
        <w:t>A3 Atmosphere</w:t>
      </w:r>
    </w:p>
    <w:p>
      <w:r>
        <w:t>In the 2026 planning context, public discussion combines interest in AI assistance with concern about control. Pew’s 2025 US survey documents this tension [R5]; it does not estimate demand for an eldercare robot. UNESCO’s education guidance emphasizes human agency and age-appropriate use [R6]. These are context signals for respectful, explicit communication, not proof of a current InGen brand perception.</w:t>
      </w:r>
    </w:p>
    <w:p>
      <w:r>
        <w:t>For Chinese-language Fari content, use practical family conversations and clear terminology. Do not assume that filial obligation, guilt or a single family structure explains Chinese-speaking users. Red Book is a proposed channel test, not a validated audience concentration. Its sample copy addresses Chinese-speaking adults in the US; it does not imply China availability.</w:t>
      </w:r>
    </w:p>
    <w:p>
      <w:pPr>
        <w:pStyle w:val="Heading2"/>
      </w:pPr>
      <w:r>
        <w:t>A4 Assessment</w:t>
      </w:r>
    </w:p>
    <w:p>
      <w:r>
        <w:t>Current InGen audience perception is unknown: no interviews, social listening export or analytics baseline was provided. Week 2 secondary research suggests useful questions. Smarr et al. found task-dependent preferences in a small older-adult study [R1]. Lee and See discuss appropriate reliance on automation [R2]. Teacher adoption also depends on knowledge, beliefs and school context [R3]. The working diagnosis is a possible explanation gap, which audience review must test.</w:t>
      </w:r>
    </w:p>
    <w:p>
      <w:r>
        <w:br w:type="page"/>
      </w:r>
    </w:p>
    <w:p>
      <w:pPr>
        <w:pStyle w:val="Heading1"/>
      </w:pPr>
      <w:r>
        <w:t>Ask for a specific next step and measure its quality</w:t>
      </w:r>
    </w:p>
    <w:p>
      <w:pPr>
        <w:pStyle w:val="Heading2"/>
      </w:pPr>
      <w:r>
        <w:t>A5 Action</w:t>
      </w:r>
    </w:p>
    <w:tbl>
      <w:tblPr>
        <w:tblW w:type="auto" w:w="0"/>
        <w:tblLayout w:type="fixed"/>
        <w:tblLook w:firstColumn="1" w:firstRow="1" w:lastColumn="0" w:lastRow="0" w:noHBand="0" w:noVBand="1" w:val="04A0"/>
      </w:tblPr>
      <w:tblGrid>
        <w:gridCol w:w="2160"/>
        <w:gridCol w:w="3888"/>
        <w:gridCol w:w="3744"/>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Audience</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First action now</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Later action and condition</w:t>
            </w:r>
          </w:p>
        </w:tc>
      </w:tr>
      <w:tr>
        <w:trPr>
          <w:cantSplit/>
        </w:trPr>
        <w:tc>
          <w:tcPr>
            <w:tcW w:type="dxa" w:w="216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 older adult and caregiver</w:t>
            </w:r>
          </w:p>
        </w:tc>
        <w:tc>
          <w:tcPr>
            <w:tcW w:type="dxa" w:w="388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Read the status page; save a decision checklist; discuss one acceptable task.</w:t>
            </w:r>
          </w:p>
        </w:tc>
        <w:tc>
          <w:tcPr>
            <w:tcW w:type="dxa" w:w="374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Opt into a concept review only after a staffed, consent-based route exists.</w:t>
            </w:r>
          </w:p>
        </w:tc>
      </w:tr>
      <w:tr>
        <w:trPr>
          <w:cantSplit/>
        </w:trPr>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Teacher and school administrator</w:t>
            </w:r>
          </w:p>
        </w:tc>
        <w:tc>
          <w:tcPr>
            <w:tcW w:type="dxa" w:w="388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Review the public Senpai design page; save a lesson-evaluation checklist.</w:t>
            </w:r>
          </w:p>
        </w:tc>
        <w:tc>
          <w:tcPr>
            <w:tcW w:type="dxa" w:w="37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Request an educator guide only after the guide and response owner exist.</w:t>
            </w:r>
          </w:p>
        </w:tc>
      </w:tr>
      <w:tr>
        <w:trPr>
          <w:cantSplit/>
        </w:trPr>
        <w:tc>
          <w:tcPr>
            <w:tcW w:type="dxa" w:w="216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Security buyer</w:t>
            </w:r>
          </w:p>
        </w:tc>
        <w:tc>
          <w:tcPr>
            <w:tcW w:type="dxa" w:w="388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Read the product overview; identify a task and a missing evidence item.</w:t>
            </w:r>
          </w:p>
        </w:tc>
        <w:tc>
          <w:tcPr>
            <w:tcW w:type="dxa" w:w="374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Request a technical discussion after the team confirms intake ownership and product scope.</w:t>
            </w:r>
          </w:p>
        </w:tc>
      </w:tr>
      <w:tr>
        <w:trPr>
          <w:cantSplit/>
        </w:trPr>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Research reader</w:t>
            </w:r>
          </w:p>
        </w:tc>
        <w:tc>
          <w:tcPr>
            <w:tcW w:type="dxa" w:w="388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Read the Humanoid research-stage overview; propose a specific technical question.</w:t>
            </w:r>
          </w:p>
        </w:tc>
        <w:tc>
          <w:tcPr>
            <w:tcW w:type="dxa" w:w="37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Discuss collaboration only when a named research owner can respond.</w:t>
            </w:r>
          </w:p>
        </w:tc>
      </w:tr>
    </w:tbl>
    <w:p>
      <w:r>
        <w:t>“Book a demo,” “download the guide” and “join a pilot” are not default CTAs. The calendar uses existing public pages or native save/discussion prompts. Any new form, downloadable guide or meeting route is a production dependency, not an existing asset.</w:t>
      </w:r>
    </w:p>
    <w:p>
      <w:pPr>
        <w:pStyle w:val="Heading2"/>
      </w:pPr>
      <w:r>
        <w:t>A6 Achievement</w:t>
      </w:r>
    </w:p>
    <w:tbl>
      <w:tblPr>
        <w:tblW w:type="auto" w:w="0"/>
        <w:tblLayout w:type="fixed"/>
        <w:tblLook w:firstColumn="1" w:firstRow="1" w:lastColumn="0" w:lastRow="0" w:noHBand="0" w:noVBand="1" w:val="04A0"/>
      </w:tblPr>
      <w:tblGrid>
        <w:gridCol w:w="4680"/>
        <w:gridCol w:w="5112"/>
      </w:tblGrid>
      <w:tr>
        <w:trPr>
          <w:cantSplit/>
          <w:tblHeader/>
        </w:trPr>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Metric and definition</w:t>
            </w:r>
          </w:p>
        </w:tc>
        <w:tc>
          <w:tcPr>
            <w:tcW w:type="dxa" w:w="5112"/>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Collection and decision</w:t>
            </w:r>
          </w:p>
        </w:tc>
      </w:tr>
      <w:tr>
        <w:trPr>
          <w:cantSplit/>
        </w:trPr>
        <w:tc>
          <w:tcPr>
            <w:tcW w:type="dxa" w:w="468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Qualified inquiry count: unique, consented requests with a relevant use case and next-step question.</w:t>
            </w:r>
          </w:p>
        </w:tc>
        <w:tc>
          <w:tcPr>
            <w:tcW w:type="dxa" w:w="51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Marketing logs weekly by product and source. Separate user from caregiver; deduplicate. Establish baseline in weeks 1–4 before a volume target.</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Landing-page inquiry rate: valid inquiries / attributed landing-page sessions.</w:t>
            </w:r>
          </w:p>
        </w:tc>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Use only if analytics, a form and consent handling exist. Otherwise report unavailable, not zero. Compare like-for-like periods and destinations.</w:t>
            </w:r>
          </w:p>
        </w:tc>
      </w:tr>
      <w:tr>
        <w:trPr>
          <w:cantSplit/>
        </w:trPr>
        <w:tc>
          <w:tcPr>
            <w:tcW w:type="dxa" w:w="468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Useful response count: comments or messages that identify a task, evidence need or misconception.</w:t>
            </w:r>
          </w:p>
        </w:tc>
        <w:tc>
          <w:tcPr>
            <w:tcW w:type="dxa" w:w="51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Code manually each week; exclude spam and team/test activity. Do not collect personal medical details in public comments.</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Content response: saves / reach on each channel; link clicks / impressions where supported.</w:t>
            </w:r>
          </w:p>
        </w:tc>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Keep channel definitions separate; do not merge incompatible denominators. Review four-week patterns rather than declaring a winner from one post.</w:t>
            </w:r>
          </w:p>
        </w:tc>
      </w:tr>
      <w:tr>
        <w:trPr>
          <w:cantSplit/>
        </w:trPr>
        <w:tc>
          <w:tcPr>
            <w:tcW w:type="dxa" w:w="468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Comprehension review: can a reviewer identify the role, status and human responsibility?</w:t>
            </w:r>
          </w:p>
        </w:tc>
        <w:tc>
          <w:tcPr>
            <w:tcW w:type="dxa" w:w="51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Proposed formative review only. If any reviewer infers guaranteed medical, learning or security outcomes, revise the wording before release.</w:t>
            </w:r>
          </w:p>
        </w:tc>
      </w:tr>
    </w:tbl>
    <w:p>
      <w:r>
        <w:t>Proposed process targets: all released claims have an approved source; all 9 weekly slots have a named reviewer; respond to suitable inquiries within 2 working days if coverage is confirmed. These are operating targets, not observed results. Product outcomes and audience growth have no fabricated numeric targets.</w:t>
      </w:r>
    </w:p>
    <w:p>
      <w:r>
        <w:br w:type="page"/>
      </w:r>
    </w:p>
    <w:p>
      <w:pPr>
        <w:pStyle w:val="Heading1"/>
      </w:pPr>
      <w:r>
        <w:t>Give consumer and education content distinct jobs</w:t>
      </w:r>
    </w:p>
    <w:p>
      <w:pPr>
        <w:pStyle w:val="Heading2"/>
      </w:pPr>
      <w:r>
        <w:t>Fari</w:t>
      </w:r>
    </w:p>
    <w:p>
      <w:r>
        <w:rPr>
          <w:b/>
        </w:rPr>
        <w:t>F1  Everyday choices — Which help would I welcome?</w:t>
      </w:r>
    </w:p>
    <w:p>
      <w:r>
        <w:t>Audience: Older adults; adult children as facilitators. Channel: Instagram; Red Book. Tone: Warm, adult-to-adult. Format: Educational carousel. W5-F1: three optional everyday interactions, each ending with a choice to decline. Excludes family purchasing decisions and technical evidence.</w:t>
      </w:r>
    </w:p>
    <w:p>
      <w:r>
        <w:rPr>
          <w:b/>
        </w:rPr>
        <w:t>F2  Shared family decisions — How do we decide together?</w:t>
      </w:r>
    </w:p>
    <w:p>
      <w:r>
        <w:t>Audience: Adult children and older parents. Channel: Instagram; Red Book. Tone: Respectful, practical. Format: Conversation guide. W5-F2: a two-person checklist separating parent preferences from caregiver concerns. Excludes product performance and claims about all families.</w:t>
      </w:r>
    </w:p>
    <w:p>
      <w:r>
        <w:rPr>
          <w:b/>
        </w:rPr>
        <w:t>F3  Evidence and boundaries — What is known and what still needs testing?</w:t>
      </w:r>
    </w:p>
    <w:p>
      <w:r>
        <w:t>Audience: Both Fari audiences. Channel: Instagram; Red Book; occasional LinkedIn. Tone: Clear, measured. Format: Annotated FAQ. W5-F3: development target versus tested result, with source date and open question. Owns privacy, limits and evidence status; not lifestyle storytelling.</w:t>
      </w:r>
    </w:p>
    <w:p>
      <w:pPr>
        <w:pStyle w:val="Heading2"/>
      </w:pPr>
      <w:r>
        <w:t>Senpai</w:t>
      </w:r>
    </w:p>
    <w:p>
      <w:r>
        <w:rPr>
          <w:b/>
        </w:rPr>
        <w:t>S1  Lesson fit — Where would this fit in my lesson?</w:t>
      </w:r>
    </w:p>
    <w:p>
      <w:r>
        <w:t>Audience: Teachers. Channel: LinkedIn. Tone: Concrete, teacher-led. Format: Lesson carousel. W5-S1: one 15-minute paper lesson with objective, activity and exit question. Owns instructional design, not procurement.</w:t>
      </w:r>
    </w:p>
    <w:p>
      <w:r>
        <w:rPr>
          <w:b/>
        </w:rPr>
        <w:t>S2  Teacher authority — How does the teacher correct or stop it?</w:t>
      </w:r>
    </w:p>
    <w:p>
      <w:r>
        <w:t>Audience: Teachers; parents as reviewers. Channel: LinkedIn. Tone: Calm, accountable. Format: Correction storyboard. W5-S2: an explicitly fictional wrong-answer scenario and teacher intervention. Owns classroom roles, not learning-effect claims.</w:t>
      </w:r>
    </w:p>
    <w:p>
      <w:r>
        <w:rPr>
          <w:b/>
        </w:rPr>
        <w:t>S3  Adoption evidence — What must a school verify before a trial?</w:t>
      </w:r>
    </w:p>
    <w:p>
      <w:r>
        <w:t>Audience: Administrators and IT. Channel: LinkedIn. Tone: Precise, candid. Format: Procurement checklist. W5-S3: evidence request covering lesson fit, training, cost and data handling. Owns institutional evaluation, not lesson promotion.</w:t>
      </w:r>
    </w:p>
    <w:p>
      <w:r>
        <w:br w:type="page"/>
      </w:r>
    </w:p>
    <w:p>
      <w:pPr>
        <w:pStyle w:val="Heading1"/>
      </w:pPr>
      <w:r>
        <w:t>Separate operational questions from performance evidence</w:t>
      </w:r>
    </w:p>
    <w:p>
      <w:pPr>
        <w:pStyle w:val="Heading2"/>
      </w:pPr>
      <w:r>
        <w:t>Aido Rover</w:t>
      </w:r>
    </w:p>
    <w:p>
      <w:r>
        <w:rPr>
          <w:b/>
        </w:rPr>
        <w:t>R1  Patrol scope — Which site task is being considered?</w:t>
      </w:r>
    </w:p>
    <w:p>
      <w:r>
        <w:t>Audience: Security directors and facilities managers. Channel: LinkedIn. Tone: Specific, operational. Format: Site scenario. W5-R1: a fictional perimeter route with included and excluded conditions. Owns task scope, not response authority.</w:t>
      </w:r>
    </w:p>
    <w:p>
      <w:r>
        <w:rPr>
          <w:b/>
        </w:rPr>
        <w:t>R2  Human response — Who verifies and acts on an event?</w:t>
      </w:r>
    </w:p>
    <w:p>
      <w:r>
        <w:t>Audience: Security operations teams. Channel: LinkedIn. Tone: Direct, accountable. Format: Workflow diagram. W5-R2: proposed alert, human verification and escalation steps. Owns handoffs and exception procedures, not ROI.</w:t>
      </w:r>
    </w:p>
    <w:p>
      <w:r>
        <w:rPr>
          <w:b/>
        </w:rPr>
        <w:t>R3  Pilot evidence — What would make a trial informative?</w:t>
      </w:r>
    </w:p>
    <w:p>
      <w:r>
        <w:t>Audience: Procurement, IT and security leads. Channel: LinkedIn. Tone: Skeptical, transparent. Format: Evaluation worksheet. W5-R3: empty acceptance fields for site coverage, errors and interventions. Owns measurement and feasibility; no invented pilot results.</w:t>
      </w:r>
    </w:p>
    <w:p>
      <w:pPr>
        <w:pStyle w:val="Heading2"/>
      </w:pPr>
      <w:r>
        <w:t>Sentinel Prime AI</w:t>
      </w:r>
    </w:p>
    <w:p>
      <w:r>
        <w:rPr>
          <w:b/>
        </w:rPr>
        <w:t>T1  Operational roles — Where would intelligence enter the current workflow?</w:t>
      </w:r>
    </w:p>
    <w:p>
      <w:r>
        <w:t>Audience: Enterprise security operations. Channel: LinkedIn. Tone: Professional, practical. Format: Process explainer. W5-T1: buyer worksheet locating an alert within an existing response process. Owns workflow fit; do not imply Rover shares deployments.</w:t>
      </w:r>
    </w:p>
    <w:p>
      <w:r>
        <w:rPr>
          <w:b/>
        </w:rPr>
        <w:t>T2  Evidence in context — What supports a particular security claim?</w:t>
      </w:r>
    </w:p>
    <w:p>
      <w:r>
        <w:t>Audience: Risk and procurement teams. Channel: LinkedIn. Tone: Exact, candid. Format: Evidence checklist. W5-T2: what a site-specific reference must document, with blank outcome fields. Owns claim verification and context, not general architecture.</w:t>
      </w:r>
    </w:p>
    <w:p>
      <w:r>
        <w:rPr>
          <w:b/>
        </w:rPr>
        <w:t>T3  Data responsibilities — Who may access and retain event information?</w:t>
      </w:r>
    </w:p>
    <w:p>
      <w:r>
        <w:t>Audience: IT and security governance. Channel: LinkedIn. Tone: Clear, responsible. Format: Governance FAQ. W5-T3: buyer questions about access, retention and audit records. Owns information governance; no unverified compliance guarantees.</w:t>
      </w:r>
    </w:p>
    <w:p>
      <w:r>
        <w:br w:type="page"/>
      </w:r>
    </w:p>
    <w:p>
      <w:pPr>
        <w:pStyle w:val="Heading1"/>
      </w:pPr>
      <w:r>
        <w:t>Protect capacity while maintaining the required cadence</w:t>
      </w:r>
    </w:p>
    <w:p>
      <w:pPr>
        <w:pStyle w:val="Heading2"/>
      </w:pPr>
      <w:r>
        <w:t>Aido Humanoid research pillars</w:t>
      </w:r>
    </w:p>
    <w:p>
      <w:r>
        <w:t>H1 Research questions. What question is this research trying to answer? Audience: Researchers and technically interested readers. Channel: LinkedIn. Tone: Curious, specific. Format: Research explainer. W5-H1: distinguish a research objective, a test method and an unresolved issue. Owns problem definition, not product availability.</w:t>
      </w:r>
    </w:p>
    <w:p>
      <w:r>
        <w:t>H2 How to read a demonstration. What can this demonstration establish? Audience: Technical media and prospective collaborators. Channel: LinkedIn. Tone: Measured, transparent. Format: Annotated diagram. W5-H2: fields for environment, task, interventions and limitations. Owns evidence interpretation, not general company promotion.</w:t>
      </w:r>
    </w:p>
    <w:p>
      <w:r>
        <w:t>H3 Research dialogue. What expertise would advance the question? Audience: Academic and industry researchers. Channel: LinkedIn. Tone: Open, professional. Format: Discussion prompt. W5-H3: invite comments on a defined research question without implying a partnership. Owns collaboration questions; no invented partner endorsements.</w:t>
      </w:r>
    </w:p>
    <w:p>
      <w:pPr>
        <w:pStyle w:val="Heading2"/>
      </w:pPr>
      <w:r>
        <w:t>Channel roles and allocation</w:t>
      </w:r>
    </w:p>
    <w:tbl>
      <w:tblPr>
        <w:tblW w:type="auto" w:w="0"/>
        <w:tblLayout w:type="fixed"/>
        <w:tblLook w:firstColumn="1" w:firstRow="1" w:lastColumn="0" w:lastRow="0" w:noHBand="0" w:noVBand="1" w:val="04A0"/>
      </w:tblPr>
      <w:tblGrid>
        <w:gridCol w:w="1728"/>
        <w:gridCol w:w="3312"/>
        <w:gridCol w:w="4752"/>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Channel</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12-week allocation</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Editorial role</w:t>
            </w:r>
          </w:p>
        </w:tc>
      </w:tr>
      <w:tr>
        <w:trPr>
          <w:cantSplit/>
        </w:trPr>
        <w:tc>
          <w:tcPr>
            <w:tcW w:type="dxa" w:w="172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Instagram</w:t>
            </w:r>
          </w:p>
        </w:tc>
        <w:tc>
          <w:tcPr>
            <w:tcW w:type="dxa" w:w="33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36 Fari posts</w:t>
            </w:r>
          </w:p>
        </w:tc>
        <w:tc>
          <w:tcPr>
            <w:tcW w:type="dxa" w:w="475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Accessible carousels, short text-led concepts and practical discussion prompts.</w:t>
            </w:r>
          </w:p>
        </w:tc>
      </w:tr>
      <w:tr>
        <w:trPr>
          <w:cantSplit/>
        </w:trPr>
        <w:tc>
          <w:tcPr>
            <w:tcW w:type="dxa" w:w="1728"/>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Red Book</w:t>
            </w:r>
          </w:p>
        </w:tc>
        <w:tc>
          <w:tcPr>
            <w:tcW w:type="dxa" w:w="33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36 Fari posts in Chinese</w:t>
            </w:r>
          </w:p>
        </w:tc>
        <w:tc>
          <w:tcPr>
            <w:tcW w:type="dxa" w:w="475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Searchable practical titles, checklist notes and family decision scenarios; adapt context rather than translating word for word.</w:t>
            </w:r>
          </w:p>
        </w:tc>
      </w:tr>
      <w:tr>
        <w:trPr>
          <w:cantSplit/>
        </w:trPr>
        <w:tc>
          <w:tcPr>
            <w:tcW w:type="dxa" w:w="1728"/>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LinkedIn</w:t>
            </w:r>
          </w:p>
        </w:tc>
        <w:tc>
          <w:tcPr>
            <w:tcW w:type="dxa" w:w="33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12 Senpai, 9 Rover, 9 Sentinel, 6 Humanoid</w:t>
            </w:r>
          </w:p>
        </w:tc>
        <w:tc>
          <w:tcPr>
            <w:tcW w:type="dxa" w:w="475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Professional decision tools, evidence questions and research explainers.</w:t>
            </w:r>
          </w:p>
        </w:tc>
      </w:tr>
    </w:tbl>
    <w:p>
      <w:r>
        <w:t>Assign each post one primary pillar according to the question it answers. A privacy example belongs to F3 even when it contains a family scene. A teacher correction belongs to S2 even when shown inside a lesson. The five-platform scope is defined by the assignment; the wider corporate portfolio is not treated as only five products.</w:t>
      </w:r>
    </w:p>
    <w:p>
      <w:pPr>
        <w:pStyle w:val="Heading2"/>
      </w:pPr>
      <w:r>
        <w:t>One intern production model</w:t>
      </w:r>
    </w:p>
    <w:p>
      <w:r>
        <w:t>Planning assumption: 12–14 hours per week plus product-owner review. Reserve 3 hours for evidence checks and outlines, 4 for reusable visuals, 2 for English/Chinese adaptation, 2 for QA and scheduling preparation, and 1–3 for responses and measurement. Week 1 needs an additional setup block for templates. Verify actual capacity before activation; this is not a measured workload.</w:t>
      </w:r>
    </w:p>
    <w:p>
      <w:r>
        <w:t>Reuse one Fari research theme across six distinct Instagram/Red Book posts and prepare three short LinkedIn decision tools. Limit new motion concepts to one per week; use text-led storyboards without pretending to show a working robot. During holiday weeks, use approved evergreen posts and confirm response coverage. If review capacity fails, hold publication and revise the plan rather than release unverified claims.</w:t>
      </w:r>
    </w:p>
    <w:p>
      <w:pPr>
        <w:pStyle w:val="Heading2"/>
      </w:pPr>
      <w:r>
        <w:t>Approval and learning cycle</w:t>
      </w:r>
    </w:p>
    <w:p>
      <w:r>
        <w:t>Xuan drafts and records sources. A product owner verifies capability and status. The relevant education or security reviewer checks context; Xuan checks language and accessibility. Reviewers return changes before the planned slot. Every four weeks, compare audience questions and production time, then keep, rewrite or retire each recurring format. This plan does not schedule or publish any posts.</w:t>
      </w:r>
    </w:p>
    <w:p>
      <w:r>
        <w:br w:type="page"/>
      </w:r>
    </w:p>
    <w:p>
      <w:pPr>
        <w:pStyle w:val="Heading1"/>
      </w:pPr>
      <w:r>
        <w:t>Sources and implementation boundaries</w:t>
      </w:r>
    </w:p>
    <w:p>
      <w:r>
        <w:t>Public web pages checked 13 October 2026, New York time. Academic references carried forward from the reviewed Week 2 evidence base. Company statements establish what InGen says; they do not independently establish effectiveness. No proprietary metrics, interviews, customer testimonials or product tests were supplied.</w:t>
      </w:r>
    </w:p>
    <w:p>
      <w:r>
        <w:rPr>
          <w:sz w:val="17"/>
        </w:rPr>
        <w:t>[I1] InGen Dynamics. Fari product and design page. Company statements; development intentions, not independent product validation.</w:t>
        <w:br/>
        <w:t>https://www.ingendynamics.com/fari.html</w:t>
      </w:r>
    </w:p>
    <w:p>
      <w:r>
        <w:rPr>
          <w:sz w:val="17"/>
        </w:rPr>
        <w:t>[I2] InGen Dynamics. Senpai product and design page. Company statements; teacher control is a design intention.</w:t>
        <w:br/>
        <w:t>https://www.ingendynamics.com/senpai.html</w:t>
      </w:r>
    </w:p>
    <w:p>
      <w:r>
        <w:rPr>
          <w:sz w:val="17"/>
        </w:rPr>
        <w:t>[I3] InGen Dynamics. Corporate product overview. Status labels for Rover, Sentinel Prime AI and Aido Humanoid.</w:t>
        <w:br/>
        <w:t>https://www.ingendynamics.com/</w:t>
      </w:r>
    </w:p>
    <w:p>
      <w:r>
        <w:rPr>
          <w:sz w:val="17"/>
        </w:rPr>
        <w:t>[R1] Smarr et al. (2014). Domestic robots for older adults: Attitudes, preferences, and potential. International Journal of Social Robotics, 6, 229–247.</w:t>
        <w:br/>
        <w:t>https://doi.org/10.1007/s12369-013-0220-0</w:t>
      </w:r>
    </w:p>
    <w:p>
      <w:r>
        <w:rPr>
          <w:sz w:val="17"/>
        </w:rPr>
        <w:t>[R2] Lee and See (2004). Trust in automation: Designing for appropriate reliance. Human Factors, 46, 50–80.</w:t>
        <w:br/>
        <w:t>https://doi.org/10.1518/hfes.46.1.50_30392</w:t>
      </w:r>
    </w:p>
    <w:p>
      <w:r>
        <w:rPr>
          <w:sz w:val="17"/>
        </w:rPr>
        <w:t>[R3] Ertmer and Ottenbreit-Leftwich (2010). Teacher technology change: How knowledge, confidence, beliefs, and culture intersect. JRTE, 42, 255–284.</w:t>
        <w:br/>
        <w:t>https://doi.org/10.1080/15391523.2010.10782551</w:t>
      </w:r>
    </w:p>
    <w:p>
      <w:r>
        <w:rPr>
          <w:sz w:val="17"/>
        </w:rPr>
        <w:t>[R4] Vollmer et al. (2018). Children conform, adults resist: A robot group induced peer pressure on normative social conformity. Science Robotics.</w:t>
        <w:br/>
        <w:t>https://doi.org/10.1126/scirobotics.aat7111</w:t>
      </w:r>
    </w:p>
    <w:p>
      <w:r>
        <w:rPr>
          <w:sz w:val="17"/>
        </w:rPr>
        <w:t>[R5] Pew Research Center (17 September 2025). AI in Americans’ lives: Awareness, experiences and attitudes. General US adult attitudes; not robotics purchase research.</w:t>
        <w:br/>
        <w:t>https://www.pewresearch.org/science/2025/09/17/ai-in-americans-lives-awareness-experiences-and-attitudes/</w:t>
      </w:r>
    </w:p>
    <w:p>
      <w:r>
        <w:rPr>
          <w:sz w:val="17"/>
        </w:rPr>
        <w:t>[R6] Miao and Holmes / UNESCO (2023). Guidance for generative AI in education and research. Policy guidance; not evidence of Senpai effectiveness.</w:t>
        <w:br/>
        <w:t>https://www.unesco.org/en/articles/guidance-generative-ai-education-and-research</w:t>
      </w:r>
    </w:p>
    <w:p>
      <w:pPr>
        <w:pStyle w:val="Heading2"/>
      </w:pPr>
      <w:r>
        <w:t>First working week</w:t>
      </w:r>
    </w:p>
    <w:p>
      <w:r>
        <w:t>Xuan prepares three Fari templates and three professional templates, with matching status labels. InGen confirms the channel owner, approved product descriptions and who answers inquiries. The first week then uses existing public pages as destinations. A proposed concept review, educator guide and technical intake remain pending until their owners and materials are ready.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Xuan Li  |  InGen Dynamics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