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Log</w:t>
      </w:r>
    </w:p>
    <w:p>
      <w:r>
        <w:t>Xuan Li | Strategy proposal | 13 October 2026</w:t>
      </w:r>
    </w:p>
    <w:p>
      <w:r>
        <w:t>The hardest content decision this week was whether to give Fari an emotional companionship pillar or organize the content around the choices an older adult would make. A companionship story is easy to visualize, and it fits the product category. However, it can also imply that a robot can meet needs that have not been demonstrated, or allow a caregiver’s wish for reassurance to overshadow the intended user’s preferences.</w:t>
      </w:r>
    </w:p>
    <w:p>
      <w:r>
        <w:t>I chose three Fari pillars: everyday choices, shared family decisions, and evidence and boundaries. Each answers a different question. The first asks what kind of help someone would welcome. The second asks how a family can evaluate the idea together. The third asks what is known, what remains a development intention, and what evidence would be needed. This structure keeps warmth in the writing without treating emotional benefit as a proven outcome.</w:t>
      </w:r>
    </w:p>
    <w:p>
      <w:r>
        <w:t>The Week 2 research shaped that choice. Smarr and colleagues found that older adults’ preferences for robot assistance differed by task. That finding does not predict demand for Fari, but it gives me a reason to begin with a specific interaction rather than a broad promise. Fari’s public page also identifies active development, which means a concept illustration must not be presented as a demonstration of an available function.</w:t>
      </w:r>
    </w:p>
    <w:p>
      <w:r>
        <w:t>The second tradeoff was attention across the portfolio. Giving all five platforms equal posting volume would make the calendar look balanced, but it would weaken the primary Fari focus and increase production work. I allocated Instagram and Chinese-language Red Book content to Fari, while LinkedIn carries education, enterprise security and a smaller research stream. This is a proposed allocation to test, not evidence that those channels already perform well for InGen.</w:t>
      </w:r>
    </w:p>
    <w:p>
      <w:r>
        <w:t>To meet the requested cadence, the calendar uses nine weekly posts but reuses research themes and design templates. The copy, question and visual still change with the audience and channel. I would review actual production time and audience questions after four weeks before expanding formats.</w:t>
      </w:r>
    </w:p>
    <w:p>
      <w:r>
        <w:t>My next step would be to have the product team review the claims and destinations, then check whether a small group of intended readers can explain the product’s role and status. I would revise any wording that creates a false expectation of medical protection, improved learning or guaranteed security. The strategic goal is a clearer next decision, supported by evidence that fits the claim.</w:t>
      </w:r>
    </w:p>
    <w:p>
      <w:r>
        <w:t>Word count: 390 (reflection only).</w:t>
      </w:r>
    </w:p>
    <w:p>
      <w:pPr>
        <w:pStyle w:val="Heading2"/>
      </w:pPr>
      <w:r>
        <w:t>References</w:t>
      </w:r>
    </w:p>
    <w:p>
      <w:r>
        <w:rPr>
          <w:sz w:val="16"/>
        </w:rPr>
        <w:t>[R1] Smarr et al. (2014). Domestic robots for older adults: Attitudes, preferences, and potential. International Journal of Social Robotics, 6, 229–247. https://doi.org/10.1007/s12369-013-0220-0</w:t>
      </w:r>
    </w:p>
    <w:p>
      <w:r>
        <w:rPr>
          <w:sz w:val="16"/>
        </w:rPr>
        <w:t>[I1] InGen Dynamics. Fari product and design page. Company statements; development intentions, not independent product validation. https://www.ingendynamics.com/fari.html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Xuan Li  |  InGen Dynamics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