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InGen Week 2 Audience Personas</w:t>
      </w:r>
    </w:p>
    <w:p>
      <w:r>
        <w:t>Xuan Li  |  Prepared for InGen review  |  5 October 2026</w:t>
      </w:r>
    </w:p>
    <w:p>
      <w:pPr>
        <w:pStyle w:val="Heading1"/>
      </w:pPr>
      <w:r>
        <w:t>Executive summary</w:t>
      </w:r>
    </w:p>
    <w:p>
      <w:r>
        <w:t>I recommend testing four distinct decision situations before developing a broad campaign: an older adult choosing acceptable assistance, an adult child evaluating shared care, an educator protecting classroom authority, and a security buyer defining operational responsibility. These research-informed personas guide message testing; they do not represent validated InGen customer segments.</w:t>
      </w:r>
    </w:p>
    <w:p>
      <w:r>
        <w:t>Research supports task-specific acceptance, appropriate reliance on automation, and the importance of teaching context [R1, R3, R6]. It does not establish demand for these InGen platforms. Fari and Senpai describe development intentions, while Rover is labeled research stage [I1–I3].</w:t>
      </w:r>
    </w:p>
    <w:tbl>
      <w:tblPr>
        <w:tblStyle w:val="TableGrid"/>
        <w:tblW w:type="auto" w:w="0"/>
        <w:tblLook w:firstColumn="1" w:firstRow="1" w:lastColumn="0" w:lastRow="0" w:noHBand="0" w:noVBand="1" w:val="04A0"/>
      </w:tblPr>
      <w:tblGrid>
        <w:gridCol w:w="3360"/>
        <w:gridCol w:w="3360"/>
        <w:gridCol w:w="3360"/>
      </w:tblGrid>
      <w:tr>
        <w:tc>
          <w:tcPr>
            <w:tcW w:type="dxa" w:w="3360"/>
            <w:shd w:fill="203F50"/>
            <w:tcBorders>
              <w:top w:val="single" w:sz="4" w:color="D9D9D9"/>
              <w:left w:val="single" w:sz="4" w:color="D9D9D9"/>
              <w:bottom w:val="single" w:sz="4" w:color="D9D9D9"/>
              <w:right w:val="single" w:sz="4" w:color="D9D9D9"/>
            </w:tcBorders>
          </w:tcPr>
          <w:p>
            <w:pPr>
              <w:spacing w:after="120" w:before="120"/>
            </w:pPr>
            <w:r>
              <w:rPr>
                <w:color w:val="FFFFFF"/>
                <w:sz w:val="20"/>
              </w:rPr>
              <w:t>Audience</w:t>
            </w:r>
          </w:p>
        </w:tc>
        <w:tc>
          <w:tcPr>
            <w:tcW w:type="dxa" w:w="3360"/>
            <w:shd w:fill="203F50"/>
            <w:tcBorders>
              <w:top w:val="single" w:sz="4" w:color="D9D9D9"/>
              <w:left w:val="single" w:sz="4" w:color="D9D9D9"/>
              <w:bottom w:val="single" w:sz="4" w:color="D9D9D9"/>
              <w:right w:val="single" w:sz="4" w:color="D9D9D9"/>
            </w:tcBorders>
          </w:tcPr>
          <w:p>
            <w:pPr>
              <w:spacing w:after="120" w:before="120"/>
            </w:pPr>
            <w:r>
              <w:rPr>
                <w:color w:val="FFFFFF"/>
                <w:sz w:val="20"/>
              </w:rPr>
              <w:t>Decision to support</w:t>
            </w:r>
          </w:p>
        </w:tc>
        <w:tc>
          <w:tcPr>
            <w:tcW w:type="dxa" w:w="3360"/>
            <w:shd w:fill="203F50"/>
            <w:tcBorders>
              <w:top w:val="single" w:sz="4" w:color="D9D9D9"/>
              <w:left w:val="single" w:sz="4" w:color="D9D9D9"/>
              <w:bottom w:val="single" w:sz="4" w:color="D9D9D9"/>
              <w:right w:val="single" w:sz="4" w:color="D9D9D9"/>
            </w:tcBorders>
          </w:tcPr>
          <w:p>
            <w:pPr>
              <w:spacing w:after="120" w:before="120"/>
            </w:pPr>
            <w:r>
              <w:rPr>
                <w:color w:val="FFFFFF"/>
                <w:sz w:val="20"/>
              </w:rPr>
              <w:t>First proposed asset</w:t>
            </w:r>
          </w:p>
        </w:tc>
      </w:tr>
      <w:tr>
        <w:tc>
          <w:tcPr>
            <w:tcW w:type="dxa" w:w="3360"/>
            <w:shd w:fill="F0F4F6"/>
            <w:tcBorders>
              <w:top w:val="single" w:sz="4" w:color="D9D9D9"/>
              <w:left w:val="single" w:sz="4" w:color="D9D9D9"/>
              <w:bottom w:val="single" w:sz="4" w:color="D9D9D9"/>
              <w:right w:val="single" w:sz="4" w:color="D9D9D9"/>
            </w:tcBorders>
          </w:tcPr>
          <w:p>
            <w:pPr>
              <w:spacing w:after="120" w:before="120"/>
            </w:pPr>
            <w:r>
              <w:rPr>
                <w:color w:val="000000"/>
                <w:sz w:val="20"/>
              </w:rPr>
              <w:t>Fari older adult</w:t>
            </w:r>
          </w:p>
        </w:tc>
        <w:tc>
          <w:tcPr>
            <w:tcW w:type="dxa" w:w="3360"/>
            <w:shd w:fill="F0F4F6"/>
            <w:tcBorders>
              <w:top w:val="single" w:sz="4" w:color="D9D9D9"/>
              <w:left w:val="single" w:sz="4" w:color="D9D9D9"/>
              <w:bottom w:val="single" w:sz="4" w:color="D9D9D9"/>
              <w:right w:val="single" w:sz="4" w:color="D9D9D9"/>
            </w:tcBorders>
          </w:tcPr>
          <w:p>
            <w:pPr>
              <w:spacing w:after="120" w:before="120"/>
            </w:pPr>
            <w:r>
              <w:rPr>
                <w:color w:val="000000"/>
                <w:sz w:val="20"/>
              </w:rPr>
              <w:t>Which assistance would I accept?</w:t>
            </w:r>
          </w:p>
        </w:tc>
        <w:tc>
          <w:tcPr>
            <w:tcW w:type="dxa" w:w="3360"/>
            <w:shd w:fill="F0F4F6"/>
            <w:tcBorders>
              <w:top w:val="single" w:sz="4" w:color="D9D9D9"/>
              <w:left w:val="single" w:sz="4" w:color="D9D9D9"/>
              <w:bottom w:val="single" w:sz="4" w:color="D9D9D9"/>
              <w:right w:val="single" w:sz="4" w:color="D9D9D9"/>
            </w:tcBorders>
          </w:tcPr>
          <w:p>
            <w:pPr>
              <w:spacing w:after="120" w:before="120"/>
            </w:pPr>
            <w:r>
              <w:rPr>
                <w:color w:val="000000"/>
                <w:sz w:val="20"/>
              </w:rPr>
              <w:t>One-task demonstration with stop and consent controls</w:t>
            </w:r>
          </w:p>
        </w:tc>
      </w:tr>
      <w:tr>
        <w:tc>
          <w:tcPr>
            <w:tcW w:type="dxa" w:w="3360"/>
            <w:shd w:fill="FFFFFF"/>
            <w:tcBorders>
              <w:top w:val="single" w:sz="4" w:color="D9D9D9"/>
              <w:left w:val="single" w:sz="4" w:color="D9D9D9"/>
              <w:bottom w:val="single" w:sz="4" w:color="D9D9D9"/>
              <w:right w:val="single" w:sz="4" w:color="D9D9D9"/>
            </w:tcBorders>
          </w:tcPr>
          <w:p>
            <w:pPr>
              <w:spacing w:after="120" w:before="120"/>
            </w:pPr>
            <w:r>
              <w:rPr>
                <w:color w:val="000000"/>
                <w:sz w:val="20"/>
              </w:rPr>
              <w:t>Fari adult child</w:t>
            </w:r>
          </w:p>
        </w:tc>
        <w:tc>
          <w:tcPr>
            <w:tcW w:type="dxa" w:w="3360"/>
            <w:shd w:fill="FFFFFF"/>
            <w:tcBorders>
              <w:top w:val="single" w:sz="4" w:color="D9D9D9"/>
              <w:left w:val="single" w:sz="4" w:color="D9D9D9"/>
              <w:bottom w:val="single" w:sz="4" w:color="D9D9D9"/>
              <w:right w:val="single" w:sz="4" w:color="D9D9D9"/>
            </w:tcBorders>
          </w:tcPr>
          <w:p>
            <w:pPr>
              <w:spacing w:after="120" w:before="120"/>
            </w:pPr>
            <w:r>
              <w:rPr>
                <w:color w:val="000000"/>
                <w:sz w:val="20"/>
              </w:rPr>
              <w:t>Can we use this without undermining my parent’s choice?</w:t>
            </w:r>
          </w:p>
        </w:tc>
        <w:tc>
          <w:tcPr>
            <w:tcW w:type="dxa" w:w="3360"/>
            <w:shd w:fill="FFFFFF"/>
            <w:tcBorders>
              <w:top w:val="single" w:sz="4" w:color="D9D9D9"/>
              <w:left w:val="single" w:sz="4" w:color="D9D9D9"/>
              <w:bottom w:val="single" w:sz="4" w:color="D9D9D9"/>
              <w:right w:val="single" w:sz="4" w:color="D9D9D9"/>
            </w:tcBorders>
          </w:tcPr>
          <w:p>
            <w:pPr>
              <w:spacing w:after="120" w:before="120"/>
            </w:pPr>
            <w:r>
              <w:rPr>
                <w:color w:val="000000"/>
                <w:sz w:val="20"/>
              </w:rPr>
              <w:t>Joint decision guide and evidence summary</w:t>
            </w:r>
          </w:p>
        </w:tc>
      </w:tr>
      <w:tr>
        <w:tc>
          <w:tcPr>
            <w:tcW w:type="dxa" w:w="3360"/>
            <w:shd w:fill="F0F4F6"/>
            <w:tcBorders>
              <w:top w:val="single" w:sz="4" w:color="D9D9D9"/>
              <w:left w:val="single" w:sz="4" w:color="D9D9D9"/>
              <w:bottom w:val="single" w:sz="4" w:color="D9D9D9"/>
              <w:right w:val="single" w:sz="4" w:color="D9D9D9"/>
            </w:tcBorders>
          </w:tcPr>
          <w:p>
            <w:pPr>
              <w:spacing w:after="120" w:before="120"/>
            </w:pPr>
            <w:r>
              <w:rPr>
                <w:color w:val="000000"/>
                <w:sz w:val="20"/>
              </w:rPr>
              <w:t>Senpai educator</w:t>
            </w:r>
          </w:p>
        </w:tc>
        <w:tc>
          <w:tcPr>
            <w:tcW w:type="dxa" w:w="3360"/>
            <w:shd w:fill="F0F4F6"/>
            <w:tcBorders>
              <w:top w:val="single" w:sz="4" w:color="D9D9D9"/>
              <w:left w:val="single" w:sz="4" w:color="D9D9D9"/>
              <w:bottom w:val="single" w:sz="4" w:color="D9D9D9"/>
              <w:right w:val="single" w:sz="4" w:color="D9D9D9"/>
            </w:tcBorders>
          </w:tcPr>
          <w:p>
            <w:pPr>
              <w:spacing w:after="120" w:before="120"/>
            </w:pPr>
            <w:r>
              <w:rPr>
                <w:color w:val="000000"/>
                <w:sz w:val="20"/>
              </w:rPr>
              <w:t>Does this fit my lesson and preserve my authority?</w:t>
            </w:r>
          </w:p>
        </w:tc>
        <w:tc>
          <w:tcPr>
            <w:tcW w:type="dxa" w:w="3360"/>
            <w:shd w:fill="F0F4F6"/>
            <w:tcBorders>
              <w:top w:val="single" w:sz="4" w:color="D9D9D9"/>
              <w:left w:val="single" w:sz="4" w:color="D9D9D9"/>
              <w:bottom w:val="single" w:sz="4" w:color="D9D9D9"/>
              <w:right w:val="single" w:sz="4" w:color="D9D9D9"/>
            </w:tcBorders>
          </w:tcPr>
          <w:p>
            <w:pPr>
              <w:spacing w:after="120" w:before="120"/>
            </w:pPr>
            <w:r>
              <w:rPr>
                <w:color w:val="000000"/>
                <w:sz w:val="20"/>
              </w:rPr>
              <w:t>Teacher-reviewed lesson and correction scenario</w:t>
            </w:r>
          </w:p>
        </w:tc>
      </w:tr>
      <w:tr>
        <w:tc>
          <w:tcPr>
            <w:tcW w:type="dxa" w:w="3360"/>
            <w:shd w:fill="FFFFFF"/>
            <w:tcBorders>
              <w:top w:val="single" w:sz="4" w:color="D9D9D9"/>
              <w:left w:val="single" w:sz="4" w:color="D9D9D9"/>
              <w:bottom w:val="single" w:sz="4" w:color="D9D9D9"/>
              <w:right w:val="single" w:sz="4" w:color="D9D9D9"/>
            </w:tcBorders>
          </w:tcPr>
          <w:p>
            <w:pPr>
              <w:spacing w:after="120" w:before="120"/>
            </w:pPr>
            <w:r>
              <w:rPr>
                <w:color w:val="000000"/>
                <w:sz w:val="20"/>
              </w:rPr>
              <w:t>Security decision-maker</w:t>
            </w:r>
          </w:p>
        </w:tc>
        <w:tc>
          <w:tcPr>
            <w:tcW w:type="dxa" w:w="3360"/>
            <w:shd w:fill="FFFFFF"/>
            <w:tcBorders>
              <w:top w:val="single" w:sz="4" w:color="D9D9D9"/>
              <w:left w:val="single" w:sz="4" w:color="D9D9D9"/>
              <w:bottom w:val="single" w:sz="4" w:color="D9D9D9"/>
              <w:right w:val="single" w:sz="4" w:color="D9D9D9"/>
            </w:tcBorders>
          </w:tcPr>
          <w:p>
            <w:pPr>
              <w:spacing w:after="120" w:before="120"/>
            </w:pPr>
            <w:r>
              <w:rPr>
                <w:color w:val="000000"/>
                <w:sz w:val="20"/>
              </w:rPr>
              <w:t>Who acts when automation fails?</w:t>
            </w:r>
          </w:p>
        </w:tc>
        <w:tc>
          <w:tcPr>
            <w:tcW w:type="dxa" w:w="3360"/>
            <w:shd w:fill="FFFFFF"/>
            <w:tcBorders>
              <w:top w:val="single" w:sz="4" w:color="D9D9D9"/>
              <w:left w:val="single" w:sz="4" w:color="D9D9D9"/>
              <w:bottom w:val="single" w:sz="4" w:color="D9D9D9"/>
              <w:right w:val="single" w:sz="4" w:color="D9D9D9"/>
            </w:tcBorders>
          </w:tcPr>
          <w:p>
            <w:pPr>
              <w:spacing w:after="120" w:before="120"/>
            </w:pPr>
            <w:r>
              <w:rPr>
                <w:color w:val="000000"/>
                <w:sz w:val="20"/>
              </w:rPr>
              <w:t>Incident workflow and pilot acceptance sheet</w:t>
            </w:r>
          </w:p>
        </w:tc>
      </w:tr>
    </w:tbl>
    <w:p>
      <w:pPr>
        <w:pStyle w:val="Heading1"/>
      </w:pPr>
      <w:r>
        <w:t>Evidence and proposed work</w:t>
      </w:r>
    </w:p>
    <w:p>
      <w:r>
        <w:t>EVIDENCE identifies published findings or attributed company statements. INTERPRETATION explains their relevance. HYPOTHESIS identifies an untested audience assumption. ACTION proposes work rather than reporting completed tests. All ages, living arrangements and role details below are design assumptions, not observations about real participants.</w:t>
      </w:r>
    </w:p>
    <w:p>
      <w:r>
        <w:t>Priority for the next working week: Xuan drafts the four assets; an InGen product owner verifies every capability statement before external use. With approval and access to participants, run small formative reviews. Suggested counts are research plans, not representative samples or completed results. The optional Chinese-American persona is deferred until relevant cultural research can support it.</w:t>
      </w:r>
    </w:p>
    <w:p>
      <w:r>
        <w:br w:type="page"/>
      </w:r>
    </w:p>
    <w:p>
      <w:pPr>
        <w:pStyle w:val="Heading1"/>
      </w:pPr>
      <w:r>
        <w:t>Fari older adult primary user</w:t>
      </w:r>
    </w:p>
    <w:p>
      <w:r>
        <w:rPr>
          <w:b/>
          <w:color w:val="9A5C0B"/>
        </w:rPr>
        <w:t xml:space="preserve">HYPOTHESIS  </w:t>
      </w:r>
      <w:r>
        <w:t>Age 72–82, living independently with occasional family support. Comfortable with phone calls and basic smartphone functions, but unfamiliar with robots. The proposed emotional need is useful support without losing choice. Validate digital experience individually rather than inferring it from age.</w:t>
      </w:r>
    </w:p>
    <w:p>
      <w:r>
        <w:rPr>
          <w:b/>
          <w:color w:val="205A73"/>
        </w:rPr>
        <w:t xml:space="preserve">EVIDENCE  </w:t>
      </w:r>
      <w:r>
        <w:t>Smarr et al. studied 21 independently living older Americans aged 65–93 using interviews and questionnaires. Preferences differed by task, including greater preference for human help in personal care and leisure [R1]. This small study concerned domestic assistance and does not measure Fari adoption.</w:t>
      </w:r>
    </w:p>
    <w:p>
      <w:r>
        <w:rPr>
          <w:b/>
          <w:color w:val="414B5A"/>
        </w:rPr>
        <w:t xml:space="preserve">INTERPRETATION  </w:t>
      </w:r>
      <w:r>
        <w:t>A favorable reaction to one practical task cannot establish willingness to accept intimate monitoring. The mental model to explore is “a tool I direct.” It may differ from a family member’s expectation of a companion [R1, R3].</w:t>
      </w:r>
    </w:p>
    <w:p>
      <w:r>
        <w:rPr>
          <w:b/>
          <w:color w:val="9A5C0B"/>
        </w:rPr>
        <w:t xml:space="preserve">HYPOTHESIS  </w:t>
      </w:r>
      <w:r>
        <w:t>The main barrier may be uncertainty about what the robot observes and how to stop it. A familiar telephone or voice-assistant experience may shape expectations. Privacy, cognitive effort and unfamiliarity are interview questions, not established traits of this audience.</w:t>
      </w:r>
    </w:p>
    <w:p>
      <w:r>
        <w:rPr>
          <w:b/>
          <w:color w:val="205D42"/>
        </w:rPr>
        <w:t xml:space="preserve">ACTION  </w:t>
      </w:r>
      <w:r>
        <w:t>Draft a 60-second concept demonstration of one planned interaction. Show what the user requests, what is shared, and how the user ends the interaction. Mark the footage as a concept if the product is unavailable. Proposed framing: “Choose the support you want, with clear ways to pause.” Product review must approve any control shown [I1].</w:t>
      </w:r>
    </w:p>
    <w:p>
      <w:r>
        <w:rPr>
          <w:b/>
          <w:color w:val="205D42"/>
        </w:rPr>
        <w:t xml:space="preserve">ACTION  </w:t>
      </w:r>
      <w:r>
        <w:t>Xuan: review the script with an InGen product owner in the next working week. Then, subject to approval, invite five older adults with varied digital experience to explain the task and data-sharing choice in their own words. Record misconceptions and unwanted tasks. Revise before wider testing if anyone believes the robot guarantees safety or provides a medical diagnosis.</w:t>
      </w:r>
    </w:p>
    <w:p>
      <w:r>
        <w:br w:type="page"/>
      </w:r>
    </w:p>
    <w:p>
      <w:pPr>
        <w:pStyle w:val="Heading1"/>
      </w:pPr>
      <w:r>
        <w:t>Fari adult child family caregiver</w:t>
      </w:r>
    </w:p>
    <w:p>
      <w:r>
        <w:rPr>
          <w:b/>
          <w:color w:val="9A5C0B"/>
        </w:rPr>
        <w:t xml:space="preserve">HYPOTHESIS  </w:t>
      </w:r>
      <w:r>
        <w:t>Age 45–60, living separately from a parent and helping coordinate care. The proposed motivation is reassurance at a distance while maintaining family contact. The parent remains a participant in the decision; the payer and user may have different preferences.</w:t>
      </w:r>
    </w:p>
    <w:p>
      <w:r>
        <w:rPr>
          <w:b/>
          <w:color w:val="205A73"/>
        </w:rPr>
        <w:t xml:space="preserve">EVIDENCE  </w:t>
      </w:r>
      <w:r>
        <w:t>Cialdini and Goldstein review how social influence relates to accuracy, affiliation and self-concept [R4]. Rogers describes adoption as a process involving information, evaluation and implementation [R5]. These frameworks do not prove that a caregiver will buy Fari after seeing a testimonial.</w:t>
      </w:r>
    </w:p>
    <w:p>
      <w:r>
        <w:rPr>
          <w:b/>
          <w:color w:val="414B5A"/>
        </w:rPr>
        <w:t xml:space="preserve">INTERPRETATION  </w:t>
      </w:r>
      <w:r>
        <w:t>A relevant peer example may make an unfamiliar use case easier to evaluate, but it cannot substitute for product-specific evidence. A believable explanation should show whose situation the example represents and what remains uncertain [R3–R5].</w:t>
      </w:r>
    </w:p>
    <w:p>
      <w:r>
        <w:rPr>
          <w:b/>
          <w:color w:val="9A5C0B"/>
        </w:rPr>
        <w:t xml:space="preserve">HYPOTHESIS  </w:t>
      </w:r>
      <w:r>
        <w:t>A caregiver may worry that buying a robot signals withdrawal from family responsibility. Test this concern directly; do not assume that guilt, filial obligation or a preference for clinical language applies to all families. The likely messaging need is a practical explanation of shared roles, supported by transparent evidence.</w:t>
      </w:r>
    </w:p>
    <w:p>
      <w:r>
        <w:rPr>
          <w:b/>
          <w:color w:val="205D42"/>
        </w:rPr>
        <w:t xml:space="preserve">ACTION  </w:t>
      </w:r>
      <w:r>
        <w:t>Create a two-person decision guide: parent preferences, consent choices, caregiver responsibilities and questions for the product team. Separate published research about robotics from Fari-specific results. Use only permissioned, authentic testimonials if available. Proposed framing: “Explore support together, with your parent’s choices at the center.”</w:t>
      </w:r>
    </w:p>
    <w:p>
      <w:r>
        <w:rPr>
          <w:b/>
          <w:color w:val="205D42"/>
        </w:rPr>
        <w:t xml:space="preserve">ACTION  </w:t>
      </w:r>
      <w:r>
        <w:t>Xuan proposes three caregiver–parent pair interviews after internal approval. Ask each person separately who can authorize sharing and what happens when the system cannot help, then discuss differences together. Track unresolved disagreements and requests for evidence, not conversion estimates. Test an opt-in explanation through a caregiver organization or research partner before considering paid distribution.</w:t>
      </w:r>
    </w:p>
    <w:p>
      <w:r>
        <w:br w:type="page"/>
      </w:r>
    </w:p>
    <w:p>
      <w:pPr>
        <w:pStyle w:val="Heading1"/>
      </w:pPr>
      <w:r>
        <w:t>Senpai school administrator and teacher</w:t>
      </w:r>
    </w:p>
    <w:p>
      <w:r>
        <w:rPr>
          <w:b/>
          <w:color w:val="9A5C0B"/>
        </w:rPr>
        <w:t xml:space="preserve">HYPOTHESIS  </w:t>
      </w:r>
      <w:r>
        <w:t>A combined school decision unit for children aged 6–12. The administrator approves budget and governance; a teacher evaluates daily use. Proposed criteria are learning evidence, lesson fit, setup time, total cost and training. IT staff and parents are additional reviewers, not interchangeable users.</w:t>
      </w:r>
    </w:p>
    <w:p>
      <w:r>
        <w:rPr>
          <w:b/>
          <w:color w:val="205A73"/>
        </w:rPr>
        <w:t xml:space="preserve">EVIDENCE  </w:t>
      </w:r>
      <w:r>
        <w:t>Ertmer and Ottenbreit-Leftwich connect technology use with teacher knowledge, confidence, beliefs and school culture [R6]. Belpaeme et al. review educational social robots and unresolved implementation challenges [R8]. These sources support context-sensitive evaluation, not a claim that Senpai improves learning.</w:t>
      </w:r>
    </w:p>
    <w:p>
      <w:r>
        <w:rPr>
          <w:b/>
          <w:color w:val="205A73"/>
        </w:rPr>
        <w:t xml:space="preserve">EVIDENCE  </w:t>
      </w:r>
      <w:r>
        <w:t>In a visual judgment experiment, children aged 7–9 conformed to a group of robots [R7]. The result raises a question about social influence. It does not establish the same effect across ages 6–12, classroom subjects or long-term use.</w:t>
      </w:r>
    </w:p>
    <w:p>
      <w:r>
        <w:rPr>
          <w:b/>
          <w:color w:val="414B5A"/>
        </w:rPr>
        <w:t xml:space="preserve">INTERPRETATION  </w:t>
      </w:r>
      <w:r>
        <w:t>Marketing should explain how the teacher corrects an error and retains instructional control. Child engagement alone cannot establish learning or developmental appropriateness. Senpai already describes teacher override as a design intention [I2]; the next communication task is to demonstrate it accurately.</w:t>
      </w:r>
    </w:p>
    <w:p>
      <w:r>
        <w:rPr>
          <w:b/>
          <w:color w:val="9A5C0B"/>
        </w:rPr>
        <w:t xml:space="preserve">HYPOTHESIS  </w:t>
      </w:r>
      <w:r>
        <w:t>A teacher may resist a tool that increases preparation time or seems to displace classroom relationships. An administrator may prioritize procurement evidence. Test these separately rather than combining them into a single “school buyer” preference.</w:t>
      </w:r>
    </w:p>
    <w:p>
      <w:r>
        <w:rPr>
          <w:b/>
          <w:color w:val="205D42"/>
        </w:rPr>
        <w:t xml:space="preserve">ACTION  </w:t>
      </w:r>
      <w:r>
        <w:t>Xuan drafts one 15-minute lesson concept with an explicit learning objective, teacher prompts, a deliberate robot-error scenario and a parent-facing explanation. Proposed framing: “A classroom activity you can guide and correct.” An education/product reviewer checks the concept before any classroom use.</w:t>
      </w:r>
    </w:p>
    <w:p>
      <w:r>
        <w:rPr>
          <w:b/>
          <w:color w:val="205D42"/>
        </w:rPr>
        <w:t xml:space="preserve">ACTION  </w:t>
      </w:r>
      <w:r>
        <w:t>After approval, ask three teachers and one administrator to review the paper lesson. Record preparation steps, correction clarity, training questions and procurement objections. This is a concept review with adults, not a child trial. Any later learning study needs appropriate consent and a comparison design. Start outreach through educator workshops or school partners as a channel hypothesis.</w:t>
      </w:r>
    </w:p>
    <w:p>
      <w:r>
        <w:br w:type="page"/>
      </w:r>
    </w:p>
    <w:p>
      <w:pPr>
        <w:pStyle w:val="Heading1"/>
      </w:pPr>
      <w:r>
        <w:t>Enterprise security decision maker</w:t>
      </w:r>
    </w:p>
    <w:p>
      <w:r>
        <w:rPr>
          <w:b/>
          <w:color w:val="9A5C0B"/>
        </w:rPr>
        <w:t xml:space="preserve">HYPOTHESIS  </w:t>
      </w:r>
      <w:r>
        <w:t>Security director or facilities manager evaluating an outdoor patrol concept with procurement, IT and legal colleagues. The decision concerns reliability, responsibility and cost justification. Aido Rover is the primary platform; Sentinel may provide related context, but evidence from one product cannot validate another.</w:t>
      </w:r>
    </w:p>
    <w:p>
      <w:r>
        <w:rPr>
          <w:b/>
          <w:color w:val="205A73"/>
        </w:rPr>
        <w:t xml:space="preserve">EVIDENCE  </w:t>
      </w:r>
      <w:r>
        <w:t>Lee and See review how trust affects reliance on automation under uncertainty [R3]. Rogers explains that adoption unfolds over time and through a social system [R5]. Neither source directly tests InGen buyers or estimates the probability of a security purchase.</w:t>
      </w:r>
    </w:p>
    <w:p>
      <w:r>
        <w:rPr>
          <w:b/>
          <w:color w:val="414B5A"/>
        </w:rPr>
        <w:t xml:space="preserve">INTERPRETATION  </w:t>
      </w:r>
      <w:r>
        <w:t>Communications should help an evaluator judge when the system is useful and when human action remains necessary. A relevant peer reference can support evaluation, but site conditions and operating procedures still need review [R3–R5].</w:t>
      </w:r>
    </w:p>
    <w:p>
      <w:r>
        <w:rPr>
          <w:b/>
          <w:color w:val="9A5C0B"/>
        </w:rPr>
        <w:t xml:space="preserve">HYPOTHESIS  </w:t>
      </w:r>
      <w:r>
        <w:t>The strongest objection may be liability after a missed incident, followed by reliability and cost. The proposed trust signals are an auditable incident workflow, relevant third-party test or certification, a comparable site case and a named escalation owner. These are evidence requests, not claims that InGen currently has them.</w:t>
      </w:r>
    </w:p>
    <w:p>
      <w:r>
        <w:rPr>
          <w:b/>
          <w:color w:val="205D42"/>
        </w:rPr>
        <w:t xml:space="preserve">ACTION  </w:t>
      </w:r>
      <w:r>
        <w:t>Draft a patrol decision sheet covering authorized tasks, excluded conditions, loss of connection, human verification and incident escalation. Add blank fields for detection errors, intervention frequency, coverage and staff effort. Do not fill them with projected performance or transfer Sentinel deployment claims to Rover [I3].</w:t>
      </w:r>
    </w:p>
    <w:p>
      <w:r>
        <w:rPr>
          <w:b/>
          <w:color w:val="205D42"/>
        </w:rPr>
        <w:t xml:space="preserve">ACTION  </w:t>
      </w:r>
      <w:r>
        <w:t>Xuan proposes a tabletop review with two security professionals after product-owner approval. Walk through a false alarm and a missed event. Ask who decides, who responds and what evidence procurement still needs. Engineering and the buyer should agree pilot acceptance criteria before a trial. Suggested initial channel: a targeted LinkedIn conversation leading to a technical review, rather than a broad product launch.</w:t>
      </w:r>
    </w:p>
    <w:p>
      <w:r>
        <w:br w:type="page"/>
      </w:r>
    </w:p>
    <w:p>
      <w:pPr>
        <w:pStyle w:val="Heading1"/>
      </w:pPr>
      <w:r>
        <w:t>Sources and scope</w:t>
      </w:r>
    </w:p>
    <w:p>
      <w:r>
        <w:t>Research was checked through publisher pages, public abstracts and university repositories. These are secondary-research personas, with no interviews, field observations or product tests conducted. Access date for web materials: 5 October 2026. Company descriptions establish messaging and stated development status only.</w:t>
      </w:r>
    </w:p>
    <w:p>
      <w:r>
        <w:rPr>
          <w:sz w:val="18"/>
        </w:rPr>
        <w:t>[R1] Smarr, C.-A., et al. (2014). Domestic robots for older adults: Attitudes, preferences, and potential. International Journal of Social Robotics, 6, 229–247. https://doi.org/10.1007/s12369-013-0220-0</w:t>
      </w:r>
    </w:p>
    <w:p>
      <w:r>
        <w:rPr>
          <w:sz w:val="18"/>
        </w:rPr>
        <w:t>[R2] Sweller, J. (1988). Cognitive load during problem solving: Effects on learning. Cognitive Science, 12, 257–285. https://doi.org/10.1207/s15516709cog1202_4</w:t>
      </w:r>
    </w:p>
    <w:p>
      <w:r>
        <w:rPr>
          <w:sz w:val="18"/>
        </w:rPr>
        <w:t>[R3] Lee, J. D., &amp; See, K. A. (2004). Trust in automation: Designing for appropriate reliance. Human Factors, 46, 50–80. https://doi.org/10.1518/hfes.46.1.50_30392</w:t>
      </w:r>
    </w:p>
    <w:p>
      <w:r>
        <w:rPr>
          <w:sz w:val="18"/>
        </w:rPr>
        <w:t>[R4] Cialdini, R. B., &amp; Goldstein, N. J. (2004). Social influence: Compliance and conformity. Annual Review of Psychology, 55, 591–621. https://doi.org/10.1146/annurev.psych.55.090902.142015</w:t>
      </w:r>
    </w:p>
    <w:p>
      <w:r>
        <w:rPr>
          <w:sz w:val="18"/>
        </w:rPr>
        <w:t>[R5] Rogers, E. M. (2003). Diffusion of innovations (5th ed.). Free Press. Publisher excerpt consulted. https://www.simonandschuster.com/books/Diffusion-of-Innovations-5th-Edition/Everett-M-Rogers/9780743222099</w:t>
      </w:r>
    </w:p>
    <w:p>
      <w:r>
        <w:rPr>
          <w:sz w:val="18"/>
        </w:rPr>
        <w:t>[R6] Ertmer, P. A., &amp; Ottenbreit-Leftwich, A. T. (2010). Teacher technology change: How knowledge, confidence, beliefs, and culture intersect. JRTE, 42, 255–284. https://doi.org/10.1080/15391523.2010.10782551</w:t>
      </w:r>
    </w:p>
    <w:p>
      <w:r>
        <w:rPr>
          <w:sz w:val="18"/>
        </w:rPr>
        <w:t>[R7] Vollmer, A.-L., Read, R., Trippas, D., &amp; Belpaeme, T. (2018). Children conform, adults resist: A robot group induced peer pressure on normative social conformity. Science Robotics. https://doi.org/10.1126/scirobotics.aat7111</w:t>
      </w:r>
    </w:p>
    <w:p>
      <w:r>
        <w:rPr>
          <w:sz w:val="18"/>
        </w:rPr>
        <w:t>[R8] Belpaeme, T., Kennedy, J., Ramachandran, A., Scassellati, B., &amp; Tanaka, F. (2018). Social robots for education: A review. Science Robotics, 3, eaat5954. https://doi.org/10.1126/scirobotics.aat5954</w:t>
      </w:r>
    </w:p>
    <w:p>
      <w:r>
        <w:rPr>
          <w:sz w:val="18"/>
        </w:rPr>
        <w:t>[I1] InGen Dynamics. Fari product and design page. https://www.ingendynamics.com/fari.html</w:t>
      </w:r>
    </w:p>
    <w:p>
      <w:r>
        <w:rPr>
          <w:sz w:val="18"/>
        </w:rPr>
        <w:t>[I2] InGen Dynamics. Senpai product and design page. https://www.ingendynamics.com/senpai.html</w:t>
      </w:r>
    </w:p>
    <w:p>
      <w:r>
        <w:rPr>
          <w:sz w:val="18"/>
        </w:rPr>
        <w:t>[I3] InGen Dynamics. Corporate page, Aido Rover section. https://www.ingendynamics.com/</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Xuan Li   •   InGen Dynamics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