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Consumer Psychology and InGen Marketing</w:t>
      </w:r>
    </w:p>
    <w:p>
      <w:r>
        <w:t>Xuan Li  |  Week 2  |  5 October 2026</w:t>
      </w:r>
    </w:p>
    <w:p>
      <w:r>
        <w:t>Executive recommendation: make each audience’s decision easier to evaluate. Test one Fari interaction, one teacher-led Senpai lesson and one Rover escalation workflow. Treat the proposed messages below as hypotheses until audience testing supports them.</w:t>
      </w:r>
    </w:p>
    <w:p>
      <w:pPr>
        <w:pStyle w:val="Heading2"/>
      </w:pPr>
      <w:r>
        <w:t>Cognitive psychology</w:t>
      </w:r>
    </w:p>
    <w:p>
      <w:r/>
      <w:r>
        <w:rPr>
          <w:b/>
          <w:color w:val="205A73"/>
        </w:rPr>
        <w:t>EVIDENCE:</w:t>
      </w:r>
      <w:r>
        <w:t xml:space="preserve"> Sweller links instructional demands to learning [1]. Lee and See describe trust that supports appropriate reliance [2]. </w:t>
      </w:r>
      <w:r>
        <w:rPr>
          <w:b/>
          <w:color w:val="205A73"/>
        </w:rPr>
        <w:t>INTERPRETATION:</w:t>
      </w:r>
      <w:r>
        <w:t xml:space="preserve"> explain the robot’s role and limits before adding features. </w:t>
      </w:r>
      <w:r>
        <w:rPr>
          <w:b/>
          <w:color w:val="9A5C0B"/>
        </w:rPr>
        <w:t>HYPOTHESIS:</w:t>
      </w:r>
      <w:r>
        <w:t xml:space="preserve"> a short, user-controlled demonstration will create a clearer mental model of Fari than a feature list. </w:t>
      </w:r>
      <w:r>
        <w:rPr>
          <w:b/>
          <w:color w:val="205A73"/>
        </w:rPr>
        <w:t>ACTION:</w:t>
      </w:r>
      <w:r>
        <w:t xml:space="preserve"> Xuan drafts one concept walkthrough, then tests whether five older adults can explain the task, stop control and sharing choice. Counts are proposed; no testing has occurred.</w:t>
      </w:r>
    </w:p>
    <w:p>
      <w:pPr>
        <w:pStyle w:val="Heading2"/>
      </w:pPr>
      <w:r>
        <w:t>Social psychology</w:t>
      </w:r>
    </w:p>
    <w:p>
      <w:r/>
      <w:r>
        <w:rPr>
          <w:b/>
          <w:color w:val="205A73"/>
        </w:rPr>
        <w:t>EVIDENCE:</w:t>
      </w:r>
      <w:r>
        <w:t xml:space="preserve"> social influence can serve accuracy and affiliation [3]; Rogers describes adoption over time within social systems [4]. </w:t>
      </w:r>
      <w:r>
        <w:rPr>
          <w:b/>
          <w:color w:val="9A5C0B"/>
        </w:rPr>
        <w:t>HYPOTHESIS:</w:t>
      </w:r>
      <w:r>
        <w:t xml:space="preserve"> Fari innovators may be willing research volunteers, early adopters families with a clear use case, and later adopters families seeking familiar support and peer experience. For Rover, the analogous groups may be robotics trial teams, security teams with defined patrol needs, and procurement groups waiting for comparable-site evidence. These are recruitment hypotheses, not measured segments. </w:t>
      </w:r>
      <w:r>
        <w:rPr>
          <w:b/>
          <w:color w:val="205A73"/>
        </w:rPr>
        <w:t>ACTION:</w:t>
      </w:r>
      <w:r>
        <w:t xml:space="preserve"> test Fari explanations through caregiver partners; use targeted professional outreach and an incident review for Rover. Authentic peer examples should disclose context and limitations.</w:t>
      </w:r>
    </w:p>
    <w:p>
      <w:pPr>
        <w:pStyle w:val="Heading2"/>
      </w:pPr>
      <w:r>
        <w:t>Child psychology</w:t>
      </w:r>
    </w:p>
    <w:p>
      <w:r/>
      <w:r>
        <w:rPr>
          <w:b/>
          <w:color w:val="205A73"/>
        </w:rPr>
        <w:t>EVIDENCE:</w:t>
      </w:r>
      <w:r>
        <w:t xml:space="preserve"> children aged 7–9 conformed to robots in a visual judgment experiment [5]. Educational robot research also identifies implementation challenges [6]. </w:t>
      </w:r>
      <w:r>
        <w:rPr>
          <w:b/>
          <w:color w:val="205A73"/>
        </w:rPr>
        <w:t>INTERPRETATION:</w:t>
      </w:r>
      <w:r>
        <w:t xml:space="preserve"> engagement does not establish learning, and this experiment does not generalize to all children aged 6–12. </w:t>
      </w:r>
      <w:r>
        <w:rPr>
          <w:b/>
          <w:color w:val="9A5C0B"/>
        </w:rPr>
        <w:t>HYPOTHESIS:</w:t>
      </w:r>
      <w:r>
        <w:t xml:space="preserve"> educators will value visible correction and teacher authority. </w:t>
      </w:r>
      <w:r>
        <w:rPr>
          <w:b/>
          <w:color w:val="205A73"/>
        </w:rPr>
        <w:t>ACTION:</w:t>
      </w:r>
      <w:r>
        <w:t xml:space="preserve"> Xuan drafts a lesson with an error-and-correction example. Three teachers and one administrator review lesson fit and training needs before any proposed child study.</w:t>
      </w:r>
    </w:p>
    <w:p>
      <w:r>
        <w:t>Decision gate: an InGen product owner checks every capability claim before external use. Fari and Senpai describe development targets; Rover is at research stage. No clinical, learning or security outcome is established by this note. See product source URLs in the Audience Personas document.</w:t>
      </w:r>
    </w:p>
    <w:p>
      <w:pPr>
        <w:pStyle w:val="Heading2"/>
      </w:pPr>
      <w:r>
        <w:t>References</w:t>
      </w:r>
    </w:p>
    <w:p>
      <w:pPr>
        <w:spacing w:after="40"/>
      </w:pPr>
      <w:r>
        <w:rPr>
          <w:sz w:val="16"/>
        </w:rPr>
        <w:t>[1] Sweller (1988). Cognitive load during problem solving. https://doi.org/10.1207/s15516709cog1202_4</w:t>
      </w:r>
    </w:p>
    <w:p>
      <w:pPr>
        <w:spacing w:after="40"/>
      </w:pPr>
      <w:r>
        <w:rPr>
          <w:sz w:val="16"/>
        </w:rPr>
        <w:t>[2] Lee &amp; See (2004). Trust in automation. https://doi.org/10.1518/hfes.46.1.50_30392</w:t>
      </w:r>
    </w:p>
    <w:p>
      <w:pPr>
        <w:spacing w:after="40"/>
      </w:pPr>
      <w:r>
        <w:rPr>
          <w:sz w:val="16"/>
        </w:rPr>
        <w:t>[3] Cialdini &amp; Goldstein (2004). Social influence. https://doi.org/10.1146/annurev.psych.55.090902.142015</w:t>
      </w:r>
    </w:p>
    <w:p>
      <w:pPr>
        <w:spacing w:after="40"/>
      </w:pPr>
      <w:r>
        <w:rPr>
          <w:sz w:val="16"/>
        </w:rPr>
        <w:t>[4] Rogers (2003). Diffusion of innovations, 5th ed. Free Press. ISBN 9780743222099</w:t>
      </w:r>
    </w:p>
    <w:p>
      <w:pPr>
        <w:spacing w:after="40"/>
      </w:pPr>
      <w:r>
        <w:rPr>
          <w:sz w:val="16"/>
        </w:rPr>
        <w:t>[5] Vollmer et al. (2018). Children conform, adults resist. https://doi.org/10.1126/scirobotics.aat7111</w:t>
      </w:r>
    </w:p>
    <w:p>
      <w:pPr>
        <w:spacing w:after="40"/>
      </w:pPr>
      <w:r>
        <w:rPr>
          <w:sz w:val="16"/>
        </w:rPr>
        <w:t>[6] Belpaeme et al. (2018). Social robots for education. https://doi.org/10.1126/scirobotics.aat5954</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Xuan Li   •   InGen Dynamics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