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InGen Week 4 Campaign Concept Briefs</w:t>
      </w:r>
    </w:p>
    <w:p>
      <w:r>
        <w:t>Xuan Li | Strategy proposal | 23 October 2026</w:t>
      </w:r>
    </w:p>
    <w:p>
      <w:pPr>
        <w:pStyle w:val="Heading1"/>
      </w:pPr>
      <w:r>
        <w:t>Executive recommendation</w:t>
      </w:r>
    </w:p>
    <w:p>
      <w:r>
        <w:t>Develop three distinct campaign concepts around a decision the audience can inspect. Fari begins with the older adult’s choices; Senpai shows a teacher directing a lesson; Rover names the people responsible for response. Approve concept production first, then test understanding before broader distribution. These are proposals for review, not released campaigns or validated audience findings.</w:t>
      </w:r>
    </w:p>
    <w:tbl>
      <w:tblPr>
        <w:tblW w:type="auto" w:w="0"/>
        <w:tblLayout w:type="fixed"/>
        <w:tblLook w:firstColumn="1" w:firstRow="1" w:lastColumn="0" w:lastRow="0" w:noHBand="0" w:noVBand="1" w:val="04A0"/>
      </w:tblPr>
      <w:tblGrid>
        <w:gridCol w:w="2160"/>
        <w:gridCol w:w="3096"/>
        <w:gridCol w:w="453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Platform</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Campaign concept</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First audience decision</w:t>
            </w:r>
          </w:p>
        </w:tc>
      </w:tr>
      <w:tr>
        <w:trPr>
          <w:cantSplit/>
        </w:trPr>
        <w:tc>
          <w:tcPr>
            <w:tcW w:type="dxa" w:w="216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Fari consumer eldercare</w:t>
            </w:r>
          </w:p>
        </w:tc>
        <w:tc>
          <w:tcPr>
            <w:tcW w:type="dxa" w:w="309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On Your Terms</w:t>
            </w:r>
          </w:p>
        </w:tc>
        <w:tc>
          <w:tcPr>
            <w:tcW w:type="dxa" w:w="453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Which help would I welcome?</w:t>
            </w:r>
          </w:p>
        </w:tc>
      </w:tr>
      <w:tr>
        <w:trPr>
          <w:cantSplit/>
        </w:trPr>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Senpai education</w:t>
            </w:r>
          </w:p>
        </w:tc>
        <w:tc>
          <w:tcPr>
            <w:tcW w:type="dxa" w:w="30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The Teacher Has the Next Move</w:t>
            </w:r>
          </w:p>
        </w:tc>
        <w:tc>
          <w:tcPr>
            <w:tcW w:type="dxa" w:w="45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How would I direct and correct the activity?</w:t>
            </w:r>
          </w:p>
        </w:tc>
      </w:tr>
      <w:tr>
        <w:trPr>
          <w:cantSplit/>
        </w:trPr>
        <w:tc>
          <w:tcPr>
            <w:tcW w:type="dxa" w:w="2160"/>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Aido Rover enterprise security</w:t>
            </w:r>
          </w:p>
        </w:tc>
        <w:tc>
          <w:tcPr>
            <w:tcW w:type="dxa" w:w="309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Who Takes the Next Step</w:t>
            </w:r>
          </w:p>
        </w:tc>
        <w:tc>
          <w:tcPr>
            <w:tcW w:type="dxa" w:w="453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Who owns the next response?</w:t>
            </w:r>
          </w:p>
        </w:tc>
      </w:tr>
    </w:tbl>
    <w:p>
      <w:pPr>
        <w:pStyle w:val="Heading1"/>
      </w:pPr>
      <w:r>
        <w:t>Evidence and interpretation</w:t>
      </w:r>
    </w:p>
    <w:p>
      <w:r>
        <w:rPr>
          <w:b/>
          <w:color w:val="225A55"/>
        </w:rPr>
        <w:t xml:space="preserve">EVIDENCE  </w:t>
      </w:r>
      <w:r>
        <w:t>The public pages identify Fari and Senpai as in development and Rover as research stage [I1–I3]. Academic studies inform the brief, but none evaluates these InGen products.</w:t>
      </w:r>
    </w:p>
    <w:p>
      <w:r>
        <w:rPr>
          <w:b/>
          <w:color w:val="8A5719"/>
        </w:rPr>
        <w:t xml:space="preserve">HYPOTHESIS  </w:t>
      </w:r>
      <w:r>
        <w:t>The proposed audience barriers, campaign names, channel choices and creative executions need validation. No customer research, commercial availability, partnerships or campaign results are implied.</w:t>
      </w:r>
    </w:p>
    <w:p>
      <w:r>
        <w:rPr>
          <w:b/>
          <w:color w:val="354C66"/>
        </w:rPr>
        <w:t xml:space="preserve">ACTION  </w:t>
      </w:r>
      <w:r>
        <w:t>Xuan drafts the scripts and worksheets. An InGen product owner checks status and every depicted interaction. Relevant adult reviewers then assess understanding. Keep a dated claim register before external use.</w:t>
      </w:r>
    </w:p>
    <w:p>
      <w:r>
        <w:t>The eight fields on each following page follow the brief format specified in the assignment. Week 2 persona names are retained as role labels; they are not invented customer identities. Week 3 pillars supply continuity, while Week 4 adds campaign executions and measurable review decisions.</w:t>
      </w:r>
    </w:p>
    <w:p>
      <w:r>
        <w:br w:type="page"/>
      </w:r>
    </w:p>
    <w:p>
      <w:pPr>
        <w:pStyle w:val="Heading1"/>
      </w:pPr>
      <w:r>
        <w:t>Fari consumer eldercare</w:t>
      </w:r>
    </w:p>
    <w:p>
      <w:r>
        <w:t>Proposed campaign concept: On Your Terms</w:t>
      </w:r>
    </w:p>
    <w:p>
      <w:pPr>
        <w:pStyle w:val="Heading2"/>
      </w:pPr>
      <w:r>
        <w:t>1 Target audience</w:t>
      </w:r>
    </w:p>
    <w:p>
      <w:r>
        <w:t>Week 2 personas: “Fari older adult primary user” leads the decision; “Fari adult child family caregiver” helps evaluate it. Begin with independently living adults considering optional daily assistance. Persona ages and preferences remain design assumptions.</w:t>
      </w:r>
    </w:p>
    <w:p>
      <w:pPr>
        <w:pStyle w:val="Heading2"/>
      </w:pPr>
      <w:r>
        <w:t>2 Consumer insight</w:t>
      </w:r>
    </w:p>
    <w:p>
      <w:r>
        <w:t>EVIDENCE: Smarr et al. found task-dependent preferences in 21 older Americans [R1]. INTERPRETATION: a specific choice may be easier to evaluate than a general companionship promise. HYPOTHESIS: beginning with the parent’s preferences will reduce perceived loss of autonomy. Caregiver guilt is an interview question, not an established fact.</w:t>
      </w:r>
    </w:p>
    <w:p>
      <w:pPr>
        <w:pStyle w:val="Heading2"/>
      </w:pPr>
      <w:r>
        <w:t>3 Core tension</w:t>
      </w:r>
    </w:p>
    <w:p>
      <w:r>
        <w:t>I may welcome practical support, but I want to decide what belongs in my daily life. The family may value reassurance before the intended user sees a personally useful role.</w:t>
      </w:r>
    </w:p>
    <w:p>
      <w:pPr>
        <w:pStyle w:val="Heading2"/>
      </w:pPr>
      <w:r>
        <w:t>4 Single most important message</w:t>
      </w:r>
    </w:p>
    <w:p>
      <w:r>
        <w:t>Explore Fari with your preferences at the center of the conversation.</w:t>
      </w:r>
    </w:p>
    <w:p>
      <w:pPr>
        <w:pStyle w:val="Heading2"/>
      </w:pPr>
      <w:r>
        <w:t>5 Channel and format</w:t>
      </w:r>
    </w:p>
    <w:p>
      <w:r>
        <w:t>Older-user first touch: a proposed community-partner discussion using a large-print conversation card. Caregiver first touch: a 30-second Instagram concept film leading to a family discussion guide. Scene: an adult child asks, “What would you want help with?” The older adult names one task and one boundary. End with the campaign title and a development disclosure. No robot action is portrayed as working functionality.</w:t>
      </w:r>
    </w:p>
    <w:p>
      <w:pPr>
        <w:pStyle w:val="Heading2"/>
      </w:pPr>
      <w:r>
        <w:t>6 Visual and emotional direction</w:t>
      </w:r>
    </w:p>
    <w:p>
      <w:r>
        <w:t>Warm natural light, eye-level framing and equal visual space for parent and child. Begin with uncertainty and end with a self-directed question. Avoid frailty imagery, crisis scenes and a caregiver speaking for the parent. Use actors only with a visible dramatization label.</w:t>
      </w:r>
    </w:p>
    <w:p>
      <w:pPr>
        <w:pStyle w:val="Heading2"/>
      </w:pPr>
      <w:r>
        <w:t>7 Call to action</w:t>
      </w:r>
    </w:p>
    <w:p>
      <w:r>
        <w:t>Initial concept: “Choose one question to discuss together.” The included three-question card supplies the activity. A future guide landing page requires approval and implementation. Demo booking becomes a CTA only after the product team confirms availability, scope and staffing.</w:t>
      </w:r>
    </w:p>
    <w:p>
      <w:pPr>
        <w:pStyle w:val="Heading2"/>
      </w:pPr>
      <w:r>
        <w:t>8 Success metric</w:t>
      </w:r>
    </w:p>
    <w:p>
      <w:r>
        <w:t>First formative review: five older adults and three adult children, proposed, not recruited. Count people who can explain both development status and whose choice comes first. Advance only if all understand status and no unresolved misconception implies medical protection. Revise and repeat otherwise. This is a comprehension gate, not an efficacy or conversion estimate.</w:t>
      </w:r>
    </w:p>
    <w:p>
      <w:r>
        <w:br w:type="page"/>
      </w:r>
    </w:p>
    <w:p>
      <w:pPr>
        <w:pStyle w:val="Heading1"/>
      </w:pPr>
      <w:r>
        <w:t>Senpai education</w:t>
      </w:r>
    </w:p>
    <w:p>
      <w:r>
        <w:t>Proposed campaign concept: The Teacher Has the Next Move</w:t>
      </w:r>
    </w:p>
    <w:p>
      <w:pPr>
        <w:pStyle w:val="Heading2"/>
      </w:pPr>
      <w:r>
        <w:t>1 Target audience</w:t>
      </w:r>
    </w:p>
    <w:p>
      <w:r>
        <w:t>Week 2 persona: “Senpai school administrator and teacher.” Teachers are the creative first-touch audience; administrators evaluate school adoption. Parents are an explicit second audience who review the explanation of adult supervision. Do not describe parents as a separately validated Week 2 persona.</w:t>
      </w:r>
    </w:p>
    <w:p>
      <w:pPr>
        <w:pStyle w:val="Heading2"/>
      </w:pPr>
      <w:r>
        <w:t>2 Consumer insight</w:t>
      </w:r>
    </w:p>
    <w:p>
      <w:r>
        <w:t>EVIDENCE: Ertmer and Ottenbreit-Leftwich relate technology adoption to knowledge, confidence, pedagogical beliefs and school culture [R3]. INTERPRETATION: lesson fit and a visible correction role can support professional confidence. HYPOTHESIS: an understandable teacher intervention will reassure parents more than an engagement-only story.</w:t>
      </w:r>
    </w:p>
    <w:p>
      <w:pPr>
        <w:pStyle w:val="Heading2"/>
      </w:pPr>
      <w:r>
        <w:t>3 Core tension</w:t>
      </w:r>
    </w:p>
    <w:p>
      <w:r>
        <w:t>I want useful classroom support, but I need to retain authority over what children learn and how mistakes are corrected. Parents need to understand the adult role before evaluating a classroom concept.</w:t>
      </w:r>
    </w:p>
    <w:p>
      <w:pPr>
        <w:pStyle w:val="Heading2"/>
      </w:pPr>
      <w:r>
        <w:t>4 Single most important message</w:t>
      </w:r>
    </w:p>
    <w:p>
      <w:r>
        <w:t>Explore a Senpai lesson concept in which the teacher directs the activity and the correction.</w:t>
      </w:r>
    </w:p>
    <w:p>
      <w:pPr>
        <w:pStyle w:val="Heading2"/>
      </w:pPr>
      <w:r>
        <w:t>5 Channel and format</w:t>
      </w:r>
    </w:p>
    <w:p>
      <w:r>
        <w:t>LinkedIn four-frame storyboard: objective, a fictional wrong answer, teacher correction, student explanation. Proposed 15-minute paper lesson: compare two ways to group six objects; the teacher identifies and corrects an intentionally wrong grouping. A separate one-page parent note explains the objective, adult role and questions still open. Teacher workshops and school newsletters are proposed distribution routes, not secured partnerships.</w:t>
      </w:r>
    </w:p>
    <w:p>
      <w:pPr>
        <w:pStyle w:val="Heading2"/>
      </w:pPr>
      <w:r>
        <w:t>6 Visual and emotional direction</w:t>
      </w:r>
    </w:p>
    <w:p>
      <w:r>
        <w:t>Clear classroom materials and the teacher at the center of the frame. Use illustrated paper examples rather than identifiable children. Build confidence through an inspectable teaching sequence. Mark the robot interaction “concept scenario” and avoid depicting learning gains.</w:t>
      </w:r>
    </w:p>
    <w:p>
      <w:pPr>
        <w:pStyle w:val="Heading2"/>
      </w:pPr>
      <w:r>
        <w:t>7 Call to action</w:t>
      </w:r>
    </w:p>
    <w:p>
      <w:r>
        <w:t>Teacher: “Review the lesson and mark where you would intervene.” Parent: “Read the adult-supervision note and add one question.” These can be carried out on the draft worksheet without creating a public collection form.</w:t>
      </w:r>
    </w:p>
    <w:p>
      <w:pPr>
        <w:pStyle w:val="Heading2"/>
      </w:pPr>
      <w:r>
        <w:t>8 Success metric</w:t>
      </w:r>
    </w:p>
    <w:p>
      <w:r>
        <w:t>Proposed adult-only review: three teachers, one administrator and three parents. Record whether each can identify the teacher’s correction role and developmental status. Revise any ambiguous response. Log preparation steps and unanswered parent questions; do not report engagement as learning effectiveness. No child trial is proposed at this stage.</w:t>
      </w:r>
    </w:p>
    <w:p>
      <w:r>
        <w:br w:type="page"/>
      </w:r>
    </w:p>
    <w:p>
      <w:pPr>
        <w:pStyle w:val="Heading1"/>
      </w:pPr>
      <w:r>
        <w:t>Aido Rover enterprise security</w:t>
      </w:r>
    </w:p>
    <w:p>
      <w:r>
        <w:t>Proposed campaign concept: Who Takes the Next Step</w:t>
      </w:r>
    </w:p>
    <w:p>
      <w:pPr>
        <w:pStyle w:val="Heading2"/>
      </w:pPr>
      <w:r>
        <w:t>1 Target audience</w:t>
      </w:r>
    </w:p>
    <w:p>
      <w:r>
        <w:t>Week 2 persona: “Enterprise security decision maker,” specifically a security director or facilities manager. Operations staff help test the handoff; IT and procurement evaluate evidence and implementation requirements.</w:t>
      </w:r>
    </w:p>
    <w:p>
      <w:pPr>
        <w:pStyle w:val="Heading2"/>
      </w:pPr>
      <w:r>
        <w:t>2 Consumer insight</w:t>
      </w:r>
    </w:p>
    <w:p>
      <w:r>
        <w:t>EVIDENCE: Lee and See explain trust in relation to appropriate reliance on automation [R2]. INTERPRETATION: defining the human response makes reliance boundaries easier to inspect. HYPOTHESIS: uncertainty about responsibility is a stronger early barrier than interest in autonomous patrol. The source does not test Rover buyers.</w:t>
      </w:r>
    </w:p>
    <w:p>
      <w:pPr>
        <w:pStyle w:val="Heading2"/>
      </w:pPr>
      <w:r>
        <w:t>3 Core tension</w:t>
      </w:r>
    </w:p>
    <w:p>
      <w:r>
        <w:t>I want to explore patrol support, but I remain accountable when an event is missed, an alert is wrong or a connection fails.</w:t>
      </w:r>
    </w:p>
    <w:p>
      <w:pPr>
        <w:pStyle w:val="Heading2"/>
      </w:pPr>
      <w:r>
        <w:t>4 Single most important message</w:t>
      </w:r>
    </w:p>
    <w:p>
      <w:r>
        <w:t>Evaluate the proposed Rover patrol together with the people responsible for every response.</w:t>
      </w:r>
    </w:p>
    <w:p>
      <w:pPr>
        <w:pStyle w:val="Heading2"/>
      </w:pPr>
      <w:r>
        <w:t>5 Channel and format</w:t>
      </w:r>
    </w:p>
    <w:p>
      <w:r>
        <w:t>LinkedIn document post and a 20-minute tabletop worksheet. Show a fictional perimeter event through observation, human verification and escalation, plus a connection-loss branch. The creative ends at a blank “response owner” field for the buyer to complete. Do not label the diagram an implemented Rover workflow.</w:t>
      </w:r>
    </w:p>
    <w:p>
      <w:pPr>
        <w:pStyle w:val="Heading2"/>
      </w:pPr>
      <w:r>
        <w:t>6 Visual and emotional direction</w:t>
      </w:r>
    </w:p>
    <w:p>
      <w:r>
        <w:t>Use a restrained operational layout with clear role labels and visible exception paths. Create confidence through accountability, not threat imagery. Treat the patrol officer as a participant in evaluation. Do not imply staffing reductions or guaranteed detection.</w:t>
      </w:r>
    </w:p>
    <w:p>
      <w:pPr>
        <w:pStyle w:val="Heading2"/>
      </w:pPr>
      <w:r>
        <w:t>7 Call to action</w:t>
      </w:r>
    </w:p>
    <w:p>
      <w:r>
        <w:t>“Map one site scenario and name the response owner.” Request a scoped research discussion only through an approved contact route. Do not invite deployment or quote ROI until a relevant product and evidence package are available.</w:t>
      </w:r>
    </w:p>
    <w:p>
      <w:pPr>
        <w:pStyle w:val="Heading2"/>
      </w:pPr>
      <w:r>
        <w:t>8 Success metric</w:t>
      </w:r>
    </w:p>
    <w:p>
      <w:r>
        <w:t>Proposed review with two security professionals: complete three scenarios, normal event, false alarm and lost connection. For each, record the decision owner, fallback and evidence requested. Revise any unresolved role before proposing a pilot. No detection rate, cost saving or staffing outcome is claimed.</w:t>
      </w:r>
    </w:p>
    <w:p>
      <w:r>
        <w:br w:type="page"/>
      </w:r>
    </w:p>
    <w:p>
      <w:pPr>
        <w:pStyle w:val="Heading1"/>
      </w:pPr>
      <w:r>
        <w:t>Production and validation plan</w:t>
      </w:r>
    </w:p>
    <w:tbl>
      <w:tblPr>
        <w:tblW w:type="auto" w:w="0"/>
        <w:tblLayout w:type="fixed"/>
        <w:tblLook w:firstColumn="1" w:firstRow="1" w:lastColumn="0" w:lastRow="0" w:noHBand="0" w:noVBand="1" w:val="04A0"/>
      </w:tblPr>
      <w:tblGrid>
        <w:gridCol w:w="1512"/>
        <w:gridCol w:w="2304"/>
        <w:gridCol w:w="5976"/>
      </w:tblGrid>
      <w:tr>
        <w:trPr>
          <w:cantSplit/>
          <w:tblHeader/>
        </w:trPr>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Stage</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Owner proposed</w:t>
            </w:r>
          </w:p>
        </w:tc>
        <w:tc>
          <w:tcPr>
            <w:tcW w:type="dxa" w:w="3408"/>
            <w:shd w:fill="263E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color w:val="FFFFFF"/>
                <w:sz w:val="18"/>
              </w:rPr>
              <w:t>Output and decision</w:t>
            </w:r>
          </w:p>
        </w:tc>
      </w:tr>
      <w:tr>
        <w:trPr>
          <w:cantSplit/>
        </w:trPr>
        <w:tc>
          <w:tcPr>
            <w:tcW w:type="dxa" w:w="15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Days 1–2</w:t>
            </w:r>
          </w:p>
        </w:tc>
        <w:tc>
          <w:tcPr>
            <w:tcW w:type="dxa" w:w="230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Xuan</w:t>
            </w:r>
          </w:p>
        </w:tc>
        <w:tc>
          <w:tcPr>
            <w:tcW w:type="dxa" w:w="59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Create Fari film script and conversation card; Senpai lesson storyboard and parent note; Rover tabletop sheet.</w:t>
            </w:r>
          </w:p>
        </w:tc>
      </w:tr>
      <w:tr>
        <w:trPr>
          <w:cantSplit/>
        </w:trPr>
        <w:tc>
          <w:tcPr>
            <w:tcW w:type="dxa" w:w="15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Day 3</w:t>
            </w:r>
          </w:p>
        </w:tc>
        <w:tc>
          <w:tcPr>
            <w:tcW w:type="dxa" w:w="23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Product owner and relevant reviewer</w:t>
            </w:r>
          </w:p>
        </w:tc>
        <w:tc>
          <w:tcPr>
            <w:tcW w:type="dxa" w:w="59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Approve status, capability language and depicted roles. Hold any unsupported function or claim.</w:t>
            </w:r>
          </w:p>
        </w:tc>
      </w:tr>
      <w:tr>
        <w:trPr>
          <w:cantSplit/>
        </w:trPr>
        <w:tc>
          <w:tcPr>
            <w:tcW w:type="dxa" w:w="1512"/>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Days 4–7</w:t>
            </w:r>
          </w:p>
        </w:tc>
        <w:tc>
          <w:tcPr>
            <w:tcW w:type="dxa" w:w="2304"/>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Xuan and approved adult reviewers</w:t>
            </w:r>
          </w:p>
        </w:tc>
        <w:tc>
          <w:tcPr>
            <w:tcW w:type="dxa" w:w="5976"/>
            <w:shd w:fill="F0F4F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Run the brief-specific formative reviews after recruitment and consent. Record misconceptions verbatim without claiming representative results.</w:t>
            </w:r>
          </w:p>
        </w:tc>
      </w:tr>
      <w:tr>
        <w:trPr>
          <w:cantSplit/>
        </w:trPr>
        <w:tc>
          <w:tcPr>
            <w:tcW w:type="dxa" w:w="151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Next review</w:t>
            </w:r>
          </w:p>
        </w:tc>
        <w:tc>
          <w:tcPr>
            <w:tcW w:type="dxa" w:w="23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Supervisor and Xuan</w:t>
            </w:r>
          </w:p>
        </w:tc>
        <w:tc>
          <w:tcPr>
            <w:tcW w:type="dxa" w:w="59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color w:val="000000"/>
                <w:sz w:val="18"/>
              </w:rPr>
              <w:t>Select revisions, confirm resources and decide whether an approved concept can enter a wider test.</w:t>
            </w:r>
          </w:p>
        </w:tc>
      </w:tr>
    </w:tbl>
    <w:p>
      <w:pPr>
        <w:pStyle w:val="Heading2"/>
      </w:pPr>
      <w:r>
        <w:t>Fari conversation card copy</w:t>
      </w:r>
    </w:p>
    <w:p>
      <w:r>
        <w:t>What is one everyday task you would welcome help with? What would you prefer to keep doing yourself? What would you need explained before deciding? Proposed closing line: “Your questions come first.” This is an educational discussion prompt, not a representation of supported Fari functionality.</w:t>
      </w:r>
    </w:p>
    <w:p>
      <w:pPr>
        <w:pStyle w:val="Heading2"/>
      </w:pPr>
      <w:r>
        <w:t>Senpai parent note copy</w:t>
      </w:r>
    </w:p>
    <w:p>
      <w:r>
        <w:t>This paper lesson explores a future classroom activity. The teacher chooses the objective, checks answers and leads any correction. Senpai is in development. We are asking adults to review the concept; we are not reporting classroom results. What would you want the school to explain before considering a trial?</w:t>
      </w:r>
    </w:p>
    <w:p>
      <w:pPr>
        <w:pStyle w:val="Heading2"/>
      </w:pPr>
      <w:r>
        <w:t>Rover tabletop worksheet fields</w:t>
      </w:r>
    </w:p>
    <w:p>
      <w:r>
        <w:t>For each scenario, complete: event or failure; information available; human verifier; escalation owner; fallback action; evidence required. Leave performance fields blank until a relevant trial produces data. A supervisor should confirm operational assumptions before using the worksheet with a buyer.</w:t>
      </w:r>
    </w:p>
    <w:p>
      <w:pPr>
        <w:pStyle w:val="Heading2"/>
      </w:pPr>
      <w:r>
        <w:t>Testing discipline</w:t>
      </w:r>
    </w:p>
    <w:p>
      <w:r>
        <w:t>Suggested review counts are pragmatic formative samples, not statistical power calculations. No A/B winner is declared. Before a later randomized campaign test, specify one changing variable, a common audience and period, primary outcome, baseline, minimum meaningful difference and sample-size calculation. Use research participation only with appropriate authorization; this package does not initiate outreach.</w:t>
      </w:r>
    </w:p>
    <w:p>
      <w:r>
        <w:br w:type="page"/>
      </w:r>
    </w:p>
    <w:p>
      <w:pPr>
        <w:pStyle w:val="Heading1"/>
      </w:pPr>
      <w:r>
        <w:t>Source register and limits</w:t>
      </w:r>
    </w:p>
    <w:p>
      <w:r>
        <w:t>Public pages and research metadata checked 23 October 2026. Company sources describe intended positioning and status. Research supports a question or mechanism, not product effectiveness. No primary customer interviews or product tests were conducted for this submission.</w:t>
      </w:r>
    </w:p>
    <w:p>
      <w:pPr>
        <w:pStyle w:val="Heading2"/>
      </w:pPr>
      <w:r>
        <w:t>I1</w:t>
      </w:r>
    </w:p>
    <w:p>
      <w:r>
        <w:t>InGen Dynamics, Fari. Company development statement and design intentions. https://www.ingendynamics.com/fari.html</w:t>
      </w:r>
    </w:p>
    <w:p>
      <w:pPr>
        <w:pStyle w:val="Heading2"/>
      </w:pPr>
      <w:r>
        <w:t>I2</w:t>
      </w:r>
    </w:p>
    <w:p>
      <w:r>
        <w:t>InGen Dynamics, Senpai. Company development statement. https://www.ingendynamics.com/senpai.html</w:t>
      </w:r>
    </w:p>
    <w:p>
      <w:pPr>
        <w:pStyle w:val="Heading2"/>
      </w:pPr>
      <w:r>
        <w:t>I3</w:t>
      </w:r>
    </w:p>
    <w:p>
      <w:r>
        <w:t>InGen Dynamics, corporate product overview. Rover research-stage label. https://www.ingendynamics.com/</w:t>
      </w:r>
    </w:p>
    <w:p>
      <w:pPr>
        <w:pStyle w:val="Heading2"/>
      </w:pPr>
      <w:r>
        <w:t>R1</w:t>
      </w:r>
    </w:p>
    <w:p>
      <w:r>
        <w:t>Smarr et al. (2014). Domestic robots for older adults: Attitudes, preferences, and potential. International Journal of Social Robotics, 6, 229–247. https://doi.org/10.1007/s12369-013-0220-0</w:t>
      </w:r>
    </w:p>
    <w:p>
      <w:pPr>
        <w:pStyle w:val="Heading2"/>
      </w:pPr>
      <w:r>
        <w:t>R2</w:t>
      </w:r>
    </w:p>
    <w:p>
      <w:r>
        <w:t>Lee and See (2004). Trust in automation: Designing for appropriate reliance. Human Factors, 46, 50–80. https://doi.org/10.1518/hfes.46.1.50_30392</w:t>
      </w:r>
    </w:p>
    <w:p>
      <w:pPr>
        <w:pStyle w:val="Heading2"/>
      </w:pPr>
      <w:r>
        <w:t>R3</w:t>
      </w:r>
    </w:p>
    <w:p>
      <w:r>
        <w:t>Ertmer and Ottenbreit-Leftwich (2010). Teacher technology change: How knowledge, confidence, beliefs, and culture intersect. JRTE, 42, 255–284. https://doi.org/10.1080/15391523.2010.10782551</w:t>
      </w:r>
    </w:p>
    <w:p>
      <w:pPr>
        <w:pStyle w:val="Heading2"/>
      </w:pPr>
      <w:r>
        <w:t>Continuity with earlier work</w:t>
      </w:r>
    </w:p>
    <w:p>
      <w:r>
        <w:t>W02_Audience_Personas.docx provides the four role-based personas. W02_Consumer_Psychology_Note.docx informs the research interpretation. W03_Brand_Messaging_Framework.docx supplies human roles, evidence boundaries and platform tone. These internal work products are context, not independent validation.</w:t>
      </w:r>
    </w:p>
    <w:p>
      <w:pPr>
        <w:pStyle w:val="Heading2"/>
      </w:pPr>
      <w:r>
        <w:t>What would change the recommendation</w:t>
      </w:r>
    </w:p>
    <w:p>
      <w:r>
        <w:t>Revise the concept if intended users prefer a different decision frame, if the product team cannot substantiate a depicted interaction, or if repeated review reveals confusion about availability. Update the public-source status before any release. Campaign names are working creative proposals; no trademark clearance or exclusivity claim has been made.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Xuan Li  |  InGen Dynamics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