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Midpoint Evaluation</w:t>
      </w:r>
    </w:p>
    <w:p>
      <w:r>
        <w:t>Xuan Li | Strategy proposal | 23 October 2026</w:t>
      </w:r>
    </w:p>
    <w:p>
      <w:r>
        <w:t>Supervisor completion required. This unscored review form follows the seven dimensions and 35-point total in the internship plan. No presentation attendance, score, approval or signature is asserted. Keep the completed personnel evaluation out of a public repository unless explicitly approved.</w:t>
      </w:r>
    </w:p>
    <w:p>
      <w:r>
        <w:t>Intern: Xuan Li     Reviewer: ____________________     Review date: ____________________</w:t>
      </w:r>
    </w:p>
    <w:p>
      <w:pPr>
        <w:pStyle w:val="Heading1"/>
      </w:pPr>
      <w:r>
        <w:t>Evaluation dimensions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5400"/>
        <w:gridCol w:w="1440"/>
      </w:tblGrid>
      <w:tr>
        <w:trPr>
          <w:cantSplit/>
          <w:tblHeader/>
        </w:trPr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Evidence to review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Midpoint score</w:t>
            </w:r>
          </w:p>
        </w:tc>
      </w:tr>
      <w:tr>
        <w:trPr>
          <w:cantSplit/>
        </w:trPr>
        <w:tc>
          <w:tcPr>
            <w:tcW w:type="dxa" w:w="2952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Brand &amp; Market Intelligence</w:t>
            </w:r>
          </w:p>
        </w:tc>
        <w:tc>
          <w:tcPr>
            <w:tcW w:type="dxa" w:w="540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1 audit and competitive finding; Week 2 maps. Verify source depth and distinct positioning.</w:t>
            </w:r>
          </w:p>
        </w:tc>
        <w:tc>
          <w:tcPr>
            <w:tcW w:type="dxa" w:w="144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Content Strategy Quality</w:t>
            </w:r>
          </w:p>
        </w:tc>
        <w:tc>
          <w:tcPr>
            <w:tcW w:type="dxa" w:w="540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3 strategy, pillars and calendar. Evaluate framework use and production feasibility.</w:t>
            </w:r>
          </w:p>
        </w:tc>
        <w:tc>
          <w:tcPr>
            <w:tcW w:type="dxa" w:w="144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Content Production Quality</w:t>
            </w:r>
          </w:p>
        </w:tc>
        <w:tc>
          <w:tcPr>
            <w:tcW w:type="dxa" w:w="540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Available assets and Week 4 scripts. Assess clarity and visual quality; distinguish concepts from completed media.</w:t>
            </w:r>
          </w:p>
        </w:tc>
        <w:tc>
          <w:tcPr>
            <w:tcW w:type="dxa" w:w="144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Consumer Psychology &amp; Audience Insight</w:t>
            </w:r>
          </w:p>
        </w:tc>
        <w:tc>
          <w:tcPr>
            <w:tcW w:type="dxa" w:w="540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2 personas and research; Week 4 insight-to-execution links. Check evidence and inference.</w:t>
            </w:r>
          </w:p>
        </w:tc>
        <w:tc>
          <w:tcPr>
            <w:tcW w:type="dxa" w:w="144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Campaign Strategy &amp; Messaging</w:t>
            </w:r>
          </w:p>
        </w:tc>
        <w:tc>
          <w:tcPr>
            <w:tcW w:type="dxa" w:w="540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Three briefs and Fari deck. Assess audience, tension, creative idea, journey and CTA.</w:t>
            </w:r>
          </w:p>
        </w:tc>
        <w:tc>
          <w:tcPr>
            <w:tcW w:type="dxa" w:w="144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Performance Analytics &amp; Data-Driven Iteration</w:t>
            </w:r>
          </w:p>
        </w:tc>
        <w:tc>
          <w:tcPr>
            <w:tcW w:type="dxa" w:w="540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Proposed metrics and decision rules. Assess current work; actual campaign results are not supplied.</w:t>
            </w:r>
          </w:p>
        </w:tc>
        <w:tc>
          <w:tcPr>
            <w:tcW w:type="dxa" w:w="144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  <w:tr>
        <w:trPr>
          <w:cantSplit/>
        </w:trPr>
        <w:tc>
          <w:tcPr>
            <w:tcW w:type="dxa" w:w="2952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Remote Ownership &amp; Async Professionalism</w:t>
            </w:r>
          </w:p>
        </w:tc>
        <w:tc>
          <w:tcPr>
            <w:tcW w:type="dxa" w:w="540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Reviewer checks actual submission and async records. Weekly reflection and bilingual adaptation are available.</w:t>
            </w:r>
          </w:p>
        </w:tc>
        <w:tc>
          <w:tcPr>
            <w:tcW w:type="dxa" w:w="144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 / 5</w:t>
            </w:r>
          </w:p>
        </w:tc>
      </w:tr>
    </w:tbl>
    <w:p>
      <w:r>
        <w:t>TOTAL: ______ / 35     Overall comments: ______________________________________________</w:t>
      </w:r>
    </w:p>
    <w:p>
      <w:pPr>
        <w:pStyle w:val="Heading2"/>
      </w:pPr>
      <w:r>
        <w:t>Scoring guide</w:t>
      </w:r>
    </w:p>
    <w:p>
      <w:r>
        <w:t>5 = Junior Marketing Strategist Grade / Brand Portfolio Ready; 4 = Strong; 3 = Solid; 2 = Developing; 1 = Needs Improvement. Use the full internship rubric for scoring definitions. This form summarizes evidence prompts and does not replace those criteria. Mark unavailable or not-yet-due evidence explicitly rather than inventing a result.</w:t>
      </w:r>
    </w:p>
    <w:p>
      <w:r>
        <w:br w:type="page"/>
      </w:r>
    </w:p>
    <w:p>
      <w:pPr>
        <w:pStyle w:val="Heading1"/>
      </w:pPr>
      <w:r>
        <w:t>Review decisions and confirmation</w:t>
      </w:r>
    </w:p>
    <w:p>
      <w:r>
        <w:t>Five-minute Fari presentation completed: Yes / No     Date: ____________________</w:t>
        <w:br/>
        <w:t>Questions and feedback: 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Weeks 5 through 8 scope confirmation</w:t>
      </w:r>
    </w:p>
    <w:p>
      <w:r>
        <w:t>Supervisor to confirm the actual assignment scope, sequence, resources and dates. The suggestions below are follow-up candidates, not a substitute for the internship plan or evidence of agreed scope.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608"/>
        <w:gridCol w:w="4104"/>
      </w:tblGrid>
      <w:tr>
        <w:trPr>
          <w:cantSplit/>
          <w:tblHeader/>
        </w:trPr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Proposed follow-up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Confirmed scope and deadline</w:t>
            </w:r>
          </w:p>
        </w:tc>
      </w:tr>
      <w:tr>
        <w:trPr>
          <w:cantSplit/>
        </w:trPr>
        <w:tc>
          <w:tcPr>
            <w:tcW w:type="dxa" w:w="108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5</w:t>
            </w:r>
          </w:p>
        </w:tc>
        <w:tc>
          <w:tcPr>
            <w:tcW w:type="dxa" w:w="4608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Produce approved concept assets and address midpoint feedback.</w:t>
            </w:r>
          </w:p>
        </w:tc>
        <w:tc>
          <w:tcPr>
            <w:tcW w:type="dxa" w:w="4104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6</w:t>
            </w:r>
          </w:p>
        </w:tc>
        <w:tc>
          <w:tcPr>
            <w:tcW w:type="dxa" w:w="4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Conduct approved feedback or testing if access and readiness permit.</w:t>
            </w:r>
          </w:p>
        </w:tc>
        <w:tc>
          <w:tcPr>
            <w:tcW w:type="dxa" w:w="410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108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7</w:t>
            </w:r>
          </w:p>
        </w:tc>
        <w:tc>
          <w:tcPr>
            <w:tcW w:type="dxa" w:w="4608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Revise creative and document learning with explicit limits.</w:t>
            </w:r>
          </w:p>
        </w:tc>
        <w:tc>
          <w:tcPr>
            <w:tcW w:type="dxa" w:w="4104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Week 8</w:t>
            </w:r>
          </w:p>
        </w:tc>
        <w:tc>
          <w:tcPr>
            <w:tcW w:type="dxa" w:w="4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Prepare final portfolio and evaluation using actual completed evidence.</w:t>
            </w:r>
          </w:p>
        </w:tc>
        <w:tc>
          <w:tcPr>
            <w:tcW w:type="dxa" w:w="410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________________________________</w:t>
            </w:r>
          </w:p>
        </w:tc>
      </w:tr>
    </w:tbl>
    <w:p>
      <w:pPr>
        <w:pStyle w:val="Heading1"/>
      </w:pPr>
      <w:r>
        <w:t>Actions agreed at the meeting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160"/>
        <w:gridCol w:w="2304"/>
      </w:tblGrid>
      <w:tr>
        <w:trPr>
          <w:cantSplit/>
          <w:tblHeader/>
        </w:trPr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408"/>
            <w:shd w:fill="263E5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</w:tr>
      <w:tr>
        <w:trPr>
          <w:cantSplit/>
        </w:trPr>
        <w:tc>
          <w:tcPr>
            <w:tcW w:type="dxa" w:w="5328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</w:t>
            </w:r>
          </w:p>
        </w:tc>
        <w:tc>
          <w:tcPr>
            <w:tcW w:type="dxa" w:w="216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304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3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</w:t>
            </w:r>
          </w:p>
        </w:tc>
        <w:tc>
          <w:tcPr>
            <w:tcW w:type="dxa" w:w="216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30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328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____________________________</w:t>
            </w:r>
          </w:p>
        </w:tc>
        <w:tc>
          <w:tcPr>
            <w:tcW w:type="dxa" w:w="2160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type="dxa" w:w="2304"/>
            <w:shd w:fill="F0F4F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  <w:t>________________</w:t>
            </w:r>
          </w:p>
        </w:tc>
      </w:tr>
    </w:tbl>
    <w:p>
      <w:r>
        <w:t>Supervisor signature: __________________________     Date: __________________</w:t>
        <w:br/>
        <w:t>Intern acknowledgment: _________________________     Date: __________________</w:t>
      </w:r>
    </w:p>
    <w:p>
      <w:r>
        <w:t>Status at preparation: pending supervisor review and signature. Confirm the meeting date directly; no deadline is inferred from conflicting calendar references in the assignment materials.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Xuan Li  |  InGen Dynamics  |  Week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