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Log</w:t>
      </w:r>
    </w:p>
    <w:p>
      <w:r>
        <w:t>Xuan Li | Strategy proposal | 23 October 2026</w:t>
      </w:r>
    </w:p>
    <w:p>
      <w:r>
        <w:t>My most important decision this week was to give the Fari campaign a recognizable creative idea while keeping the older adult’s choice at the center. I developed “On Your Terms” as a working campaign concept. Each execution begins with a person deciding what help they would welcome, rather than a robot announcing what it can do. The aim is to make an unfamiliar category easier to discuss without presenting a development intention as an available benefit.</w:t>
      </w:r>
    </w:p>
    <w:p>
      <w:r>
        <w:t>This decision builds on the Week 2 research and the Week 3 content pillars. Smarr and colleagues found that older adults’ preferences for robot assistance differed by task. I interpret that as a reason to start with a concrete question, but it does not establish demand for Fari. Similarly, research on appropriate reliance supports explaining boundaries; it does not prove that this campaign will increase trust or conversion. I have therefore separated the published evidence from the audience assumptions and proposed actions.</w:t>
      </w:r>
    </w:p>
    <w:p>
      <w:r>
        <w:t>The creative challenge was to preserve warmth without relying on guilt. A caregiver may worry about being less present, but I cannot assume that this concern applies to every family. The proposed film instead shows an adult child asking what the parent wants. The accompanying conversation card gives both people a useful next step. For Chinese-American families, I adapted the idea into a bilingual discussion format with language choice and space for different preferences. This is a cultural adaptation hypothesis to review with intended readers, not a claim about all Chinese families.</w:t>
      </w:r>
    </w:p>
    <w:p>
      <w:r>
        <w:t>I also differentiated the other campaign briefs. Senpai centers on the teacher directing and correcting a lesson, with a separate explanation for parents. Rover centers on the human response to an event or failure. These executions translate the earlier messaging framework into assets a creative team can produce, rather than repeating a general innovation story across products.</w:t>
      </w:r>
    </w:p>
    <w:p>
      <w:r>
        <w:t>The first-year Fari plan separates concept learning from later demonstration and expansion. Product readiness determines whether those later stages can proceed. Initial measures focus on whether people understand the development status, the decision-maker’s role and the next step. Proposed participant counts and review criteria are planning choices, not completed results or forecasts.</w:t>
      </w:r>
    </w:p>
    <w:p>
      <w:r>
        <w:t>My next step would be to obtain product review of the scripts, prepare the three concept assets and arrange approved formative feedback. I would revise any execution that implies guaranteed protection, substitutes for a family relationship or leaves the human role unclear. The midpoint review should then confirm priorities and resources for Weeks 5 through 8. Its scores, meeting outcome and signatures remain for the supervisor to complete.</w:t>
      </w:r>
    </w:p>
    <w:p>
      <w:r>
        <w:t>Word count: 427 excluding title and references.</w:t>
      </w:r>
    </w:p>
    <w:p>
      <w:pPr>
        <w:pStyle w:val="Heading2"/>
      </w:pPr>
      <w:r>
        <w:t>References</w:t>
      </w:r>
    </w:p>
    <w:p>
      <w:r>
        <w:t>Smarr et al. (2014). https://doi.org/10.1007/s12369-013-0220-0</w:t>
        <w:br/>
        <w:t>Lee and See (2004). https://doi.org/10.1518/hfes.46.1.50_30392</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Xuan Li  |  InGen Dynamics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