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Competitive Brand Analysis</w:t>
      </w:r>
    </w:p>
    <w:p>
      <w:pPr>
        <w:pStyle w:val="Subtitle"/>
      </w:pPr>
      <w:r>
        <w:t>Week 1 • Xuan Li • Six profiles • September 28, 2026</w:t>
      </w:r>
    </w:p>
    <w:p>
      <w:pPr>
        <w:pStyle w:val="Heading1"/>
      </w:pPr>
      <w:r>
        <w:t>Headline differentiation finding</w:t>
      </w:r>
    </w:p>
    <w:p>
      <w:r>
        <w:t>Proposed territory: Human-led physical AI, with proof at every handoff. InGen should organize its brand around understandable human authority: who decides, what the robot does, when a person takes over and what evidence supports the promise. The opportunity is to make this a consistent buying experience across care, learning and security—not merely add another ethical-AI slogan.</w:t>
      </w:r>
    </w:p>
    <w:p>
      <w:r>
        <w:t>The sampled material does not establish that this territory is globally unoccupied. It suggests an opportunity for a clearer cross-product expression. The closest overlaps are ElliQ in supportive companionship, Knightscope in accountable human–machine security, and UBTECH in portfolio breadth. These are substantive competitors; InGen must demonstrate execution rather than claim uniqueness by default.</w:t>
      </w:r>
    </w:p>
    <w:p>
      <w:pPr>
        <w:pStyle w:val="Heading1"/>
      </w:pPr>
      <w:r>
        <w:t>Scope and comparison method</w:t>
      </w:r>
    </w:p>
    <w:p>
      <w:r>
        <w:t>Six profiles use the same six fields. Five current corporate websites provide the active benchmark set; Embodied/Moxie is retained as the requested historical comparator. Companies compete in different applications, so the analysis compares communication rather than treating all products as direct substitutes. Emotional positioning is an interpretation of copy and formats, not measured audience sentiment. “Primary channel” means the main observable channel in this desk review, not a traffic or spending ranking.</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Company</w:t>
            </w:r>
          </w:p>
        </w:tc>
        <w:tc>
          <w:tcPr>
            <w:tcW w:type="dxa" w:w="3360"/>
          </w:tcPr>
          <w:p>
            <w:r>
              <w:rPr>
                <w:sz w:val="18"/>
              </w:rPr>
              <w:t>Benchmark role</w:t>
            </w:r>
          </w:p>
        </w:tc>
        <w:tc>
          <w:tcPr>
            <w:tcW w:type="dxa" w:w="3360"/>
          </w:tcPr>
          <w:p>
            <w:r>
              <w:rPr>
                <w:sz w:val="18"/>
              </w:rPr>
              <w:t>Competitive implication</w:t>
            </w:r>
          </w:p>
        </w:tc>
      </w:tr>
      <w:tr>
        <w:trPr>
          <w:cantSplit/>
        </w:trPr>
        <w:tc>
          <w:tcPr>
            <w:tcW w:type="dxa" w:w="3360"/>
          </w:tcPr>
          <w:p>
            <w:r>
              <w:rPr>
                <w:sz w:val="18"/>
              </w:rPr>
              <w:t>Knightscope</w:t>
            </w:r>
          </w:p>
        </w:tc>
        <w:tc>
          <w:tcPr>
            <w:tcW w:type="dxa" w:w="3360"/>
          </w:tcPr>
          <w:p>
            <w:r>
              <w:rPr>
                <w:sz w:val="18"/>
              </w:rPr>
              <w:t>Security messaging [C1]</w:t>
            </w:r>
          </w:p>
        </w:tc>
        <w:tc>
          <w:tcPr>
            <w:tcW w:type="dxa" w:w="3360"/>
          </w:tcPr>
          <w:p>
            <w:r>
              <w:rPr>
                <w:sz w:val="18"/>
              </w:rPr>
              <w:t>Accountability and human augmentation are already occupied themes.</w:t>
            </w:r>
          </w:p>
        </w:tc>
      </w:tr>
      <w:tr>
        <w:trPr>
          <w:cantSplit/>
        </w:trPr>
        <w:tc>
          <w:tcPr>
            <w:tcW w:type="dxa" w:w="3360"/>
          </w:tcPr>
          <w:p>
            <w:r>
              <w:rPr>
                <w:sz w:val="18"/>
              </w:rPr>
              <w:t>Intuition Robotics / ElliQ</w:t>
            </w:r>
          </w:p>
        </w:tc>
        <w:tc>
          <w:tcPr>
            <w:tcW w:type="dxa" w:w="3360"/>
          </w:tcPr>
          <w:p>
            <w:r>
              <w:rPr>
                <w:sz w:val="18"/>
              </w:rPr>
              <w:t>Eldercare companionship [C2]</w:t>
            </w:r>
          </w:p>
        </w:tc>
        <w:tc>
          <w:tcPr>
            <w:tcW w:type="dxa" w:w="3360"/>
          </w:tcPr>
          <w:p>
            <w:r>
              <w:rPr>
                <w:sz w:val="18"/>
              </w:rPr>
              <w:t>Warmth and family connection cannot be claimed as new.</w:t>
            </w:r>
          </w:p>
        </w:tc>
      </w:tr>
      <w:tr>
        <w:trPr>
          <w:cantSplit/>
        </w:trPr>
        <w:tc>
          <w:tcPr>
            <w:tcW w:type="dxa" w:w="3360"/>
          </w:tcPr>
          <w:p>
            <w:r>
              <w:rPr>
                <w:sz w:val="18"/>
              </w:rPr>
              <w:t>Boston Dynamics</w:t>
            </w:r>
          </w:p>
        </w:tc>
        <w:tc>
          <w:tcPr>
            <w:tcW w:type="dxa" w:w="3360"/>
          </w:tcPr>
          <w:p>
            <w:r>
              <w:rPr>
                <w:sz w:val="18"/>
              </w:rPr>
              <w:t>Professional robotics brand [C3]</w:t>
            </w:r>
          </w:p>
        </w:tc>
        <w:tc>
          <w:tcPr>
            <w:tcW w:type="dxa" w:w="3360"/>
          </w:tcPr>
          <w:p>
            <w:r>
              <w:rPr>
                <w:sz w:val="18"/>
              </w:rPr>
              <w:t>Capability needs demonstrable workflow relevance.</w:t>
            </w:r>
          </w:p>
        </w:tc>
      </w:tr>
      <w:tr>
        <w:trPr>
          <w:cantSplit/>
        </w:trPr>
        <w:tc>
          <w:tcPr>
            <w:tcW w:type="dxa" w:w="3360"/>
          </w:tcPr>
          <w:p>
            <w:r>
              <w:rPr>
                <w:sz w:val="18"/>
              </w:rPr>
              <w:t>UBTECH</w:t>
            </w:r>
          </w:p>
        </w:tc>
        <w:tc>
          <w:tcPr>
            <w:tcW w:type="dxa" w:w="3360"/>
          </w:tcPr>
          <w:p>
            <w:r>
              <w:rPr>
                <w:sz w:val="18"/>
              </w:rPr>
              <w:t>Education and humanoid portfolio [C4, C8]</w:t>
            </w:r>
          </w:p>
        </w:tc>
        <w:tc>
          <w:tcPr>
            <w:tcW w:type="dxa" w:w="3360"/>
          </w:tcPr>
          <w:p>
            <w:r>
              <w:rPr>
                <w:sz w:val="18"/>
              </w:rPr>
              <w:t>Breadth and education are not exclusive advantages.</w:t>
            </w:r>
          </w:p>
        </w:tc>
      </w:tr>
      <w:tr>
        <w:trPr>
          <w:cantSplit/>
        </w:trPr>
        <w:tc>
          <w:tcPr>
            <w:tcW w:type="dxa" w:w="3360"/>
          </w:tcPr>
          <w:p>
            <w:r>
              <w:rPr>
                <w:sz w:val="18"/>
              </w:rPr>
              <w:t>Embodied / Moxie</w:t>
            </w:r>
          </w:p>
        </w:tc>
        <w:tc>
          <w:tcPr>
            <w:tcW w:type="dxa" w:w="3360"/>
          </w:tcPr>
          <w:p>
            <w:r>
              <w:rPr>
                <w:sz w:val="18"/>
              </w:rPr>
              <w:t>Historical child-companion case [C5, C7]</w:t>
            </w:r>
          </w:p>
        </w:tc>
        <w:tc>
          <w:tcPr>
            <w:tcW w:type="dxa" w:w="3360"/>
          </w:tcPr>
          <w:p>
            <w:r>
              <w:rPr>
                <w:sz w:val="18"/>
              </w:rPr>
              <w:t>Support continuity belongs in the trust conversation.</w:t>
            </w:r>
          </w:p>
        </w:tc>
      </w:tr>
      <w:tr>
        <w:trPr>
          <w:cantSplit/>
        </w:trPr>
        <w:tc>
          <w:tcPr>
            <w:tcW w:type="dxa" w:w="3360"/>
          </w:tcPr>
          <w:p>
            <w:r>
              <w:rPr>
                <w:sz w:val="18"/>
              </w:rPr>
              <w:t>SoftBank Robotics</w:t>
            </w:r>
          </w:p>
        </w:tc>
        <w:tc>
          <w:tcPr>
            <w:tcW w:type="dxa" w:w="3360"/>
          </w:tcPr>
          <w:p>
            <w:r>
              <w:rPr>
                <w:sz w:val="18"/>
              </w:rPr>
              <w:t>Integration benchmark [C6]</w:t>
            </w:r>
          </w:p>
        </w:tc>
        <w:tc>
          <w:tcPr>
            <w:tcW w:type="dxa" w:w="3360"/>
          </w:tcPr>
          <w:p>
            <w:r>
              <w:rPr>
                <w:sz w:val="18"/>
              </w:rPr>
              <w:t>Adoption support can matter as much as robot novelty.</w:t>
            </w:r>
          </w:p>
        </w:tc>
      </w:tr>
    </w:tbl>
    <w:p>
      <w:r>
        <w:br w:type="page"/>
      </w:r>
    </w:p>
    <w:p>
      <w:pPr>
        <w:pStyle w:val="Heading1"/>
      </w:pPr>
      <w:r>
        <w:t>1. Knightscope — security with accountable operations</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An integrated, accountable security provider combining technology and people [C1].</w:t>
            </w:r>
          </w:p>
        </w:tc>
      </w:tr>
      <w:tr>
        <w:trPr>
          <w:cantSplit/>
        </w:trPr>
        <w:tc>
          <w:tcPr>
            <w:tcW w:type="dxa" w:w="5040"/>
          </w:tcPr>
          <w:p>
            <w:r>
              <w:rPr>
                <w:sz w:val="18"/>
              </w:rPr>
              <w:t>Target audience</w:t>
            </w:r>
          </w:p>
        </w:tc>
        <w:tc>
          <w:tcPr>
            <w:tcW w:type="dxa" w:w="5040"/>
          </w:tcPr>
          <w:p>
            <w:r>
              <w:rPr>
                <w:sz w:val="18"/>
              </w:rPr>
              <w:t>Security leaders and operators across institutional and commercial settings.</w:t>
            </w:r>
          </w:p>
        </w:tc>
      </w:tr>
      <w:tr>
        <w:trPr>
          <w:cantSplit/>
        </w:trPr>
        <w:tc>
          <w:tcPr>
            <w:tcW w:type="dxa" w:w="5040"/>
          </w:tcPr>
          <w:p>
            <w:r>
              <w:rPr>
                <w:sz w:val="18"/>
              </w:rPr>
              <w:t>Emotional positioning</w:t>
            </w:r>
          </w:p>
        </w:tc>
        <w:tc>
          <w:tcPr>
            <w:tcW w:type="dxa" w:w="5040"/>
          </w:tcPr>
          <w:p>
            <w:r>
              <w:rPr>
                <w:sz w:val="18"/>
              </w:rPr>
              <w:t>Vigilance, urgency and relief from fragmented responsibility; interpretation of its risk scenarios.</w:t>
            </w:r>
          </w:p>
        </w:tc>
      </w:tr>
      <w:tr>
        <w:trPr>
          <w:cantSplit/>
        </w:trPr>
        <w:tc>
          <w:tcPr>
            <w:tcW w:type="dxa" w:w="5040"/>
          </w:tcPr>
          <w:p>
            <w:r>
              <w:rPr>
                <w:sz w:val="18"/>
              </w:rPr>
              <w:t>Primary channel</w:t>
            </w:r>
          </w:p>
        </w:tc>
        <w:tc>
          <w:tcPr>
            <w:tcW w:type="dxa" w:w="5040"/>
          </w:tcPr>
          <w:p>
            <w:r>
              <w:rPr>
                <w:sz w:val="18"/>
              </w:rPr>
              <w:t>Corporate website in this sample; social-channel effectiveness not measured.</w:t>
            </w:r>
          </w:p>
        </w:tc>
      </w:tr>
      <w:tr>
        <w:trPr>
          <w:cantSplit/>
        </w:trPr>
        <w:tc>
          <w:tcPr>
            <w:tcW w:type="dxa" w:w="5040"/>
          </w:tcPr>
          <w:p>
            <w:r>
              <w:rPr>
                <w:sz w:val="18"/>
              </w:rPr>
              <w:t>Key content format</w:t>
            </w:r>
          </w:p>
        </w:tc>
        <w:tc>
          <w:tcPr>
            <w:tcW w:type="dxa" w:w="5040"/>
          </w:tcPr>
          <w:p>
            <w:r>
              <w:rPr>
                <w:sz w:val="18"/>
              </w:rPr>
              <w:t>Incident scenarios, operational claims, service architecture and outcome examples.</w:t>
            </w:r>
          </w:p>
        </w:tc>
      </w:tr>
      <w:tr>
        <w:trPr>
          <w:cantSplit/>
        </w:trPr>
        <w:tc>
          <w:tcPr>
            <w:tcW w:type="dxa" w:w="5040"/>
          </w:tcPr>
          <w:p>
            <w:r>
              <w:rPr>
                <w:sz w:val="18"/>
              </w:rPr>
              <w:t>InGen opportunity</w:t>
            </w:r>
          </w:p>
        </w:tc>
        <w:tc>
          <w:tcPr>
            <w:tcW w:type="dxa" w:w="5040"/>
          </w:tcPr>
          <w:p>
            <w:r>
              <w:rPr>
                <w:sz w:val="18"/>
              </w:rPr>
              <w:t>For Rover and Sentinel, show a simple task-to-human escalation journey. Do not claim that accountability or augmenting guards is an uncontested message.</w:t>
            </w:r>
          </w:p>
        </w:tc>
      </w:tr>
    </w:tbl>
    <w:p>
      <w:r>
        <w:t>Implication: a technically dense security page should help a buyer understand responsibility, not only detection. InGen’s proposed proof format would specify the trigger, confidence limits, authorized responder and evidence retained. This is a recommended communication design, not a verified competitor feature gap.</w:t>
      </w:r>
    </w:p>
    <w:p>
      <w:pPr>
        <w:pStyle w:val="Heading1"/>
      </w:pPr>
      <w:r>
        <w:t>2. Intuition Robotics / ElliQ — companionship in everyday life</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Everyday companionship connected to wellbeing and social connection [C2].</w:t>
            </w:r>
          </w:p>
        </w:tc>
      </w:tr>
      <w:tr>
        <w:trPr>
          <w:cantSplit/>
        </w:trPr>
        <w:tc>
          <w:tcPr>
            <w:tcW w:type="dxa" w:w="5040"/>
          </w:tcPr>
          <w:p>
            <w:r>
              <w:rPr>
                <w:sz w:val="18"/>
              </w:rPr>
              <w:t>Target audience</w:t>
            </w:r>
          </w:p>
        </w:tc>
        <w:tc>
          <w:tcPr>
            <w:tcW w:type="dxa" w:w="5040"/>
          </w:tcPr>
          <w:p>
            <w:r>
              <w:rPr>
                <w:sz w:val="18"/>
              </w:rPr>
              <w:t>Older adults, caregivers, families and healthcare/program partners.</w:t>
            </w:r>
          </w:p>
        </w:tc>
      </w:tr>
      <w:tr>
        <w:trPr>
          <w:cantSplit/>
        </w:trPr>
        <w:tc>
          <w:tcPr>
            <w:tcW w:type="dxa" w:w="5040"/>
          </w:tcPr>
          <w:p>
            <w:r>
              <w:rPr>
                <w:sz w:val="18"/>
              </w:rPr>
              <w:t>Emotional positioning</w:t>
            </w:r>
          </w:p>
        </w:tc>
        <w:tc>
          <w:tcPr>
            <w:tcW w:type="dxa" w:w="5040"/>
          </w:tcPr>
          <w:p>
            <w:r>
              <w:rPr>
                <w:sz w:val="18"/>
              </w:rPr>
              <w:t>Warmth, belonging and reassurance; reinforced through personal stories.</w:t>
            </w:r>
          </w:p>
        </w:tc>
      </w:tr>
      <w:tr>
        <w:trPr>
          <w:cantSplit/>
        </w:trPr>
        <w:tc>
          <w:tcPr>
            <w:tcW w:type="dxa" w:w="5040"/>
          </w:tcPr>
          <w:p>
            <w:r>
              <w:rPr>
                <w:sz w:val="18"/>
              </w:rPr>
              <w:t>Primary channel</w:t>
            </w:r>
          </w:p>
        </w:tc>
        <w:tc>
          <w:tcPr>
            <w:tcW w:type="dxa" w:w="5040"/>
          </w:tcPr>
          <w:p>
            <w:r>
              <w:rPr>
                <w:sz w:val="18"/>
              </w:rPr>
              <w:t>Consumer website, with caregiver and partner routes; relative channel reach unknown.</w:t>
            </w:r>
          </w:p>
        </w:tc>
      </w:tr>
      <w:tr>
        <w:trPr>
          <w:cantSplit/>
        </w:trPr>
        <w:tc>
          <w:tcPr>
            <w:tcW w:type="dxa" w:w="5040"/>
          </w:tcPr>
          <w:p>
            <w:r>
              <w:rPr>
                <w:sz w:val="18"/>
              </w:rPr>
              <w:t>Key content format</w:t>
            </w:r>
          </w:p>
        </w:tc>
        <w:tc>
          <w:tcPr>
            <w:tcW w:type="dxa" w:w="5040"/>
          </w:tcPr>
          <w:p>
            <w:r>
              <w:rPr>
                <w:sz w:val="18"/>
              </w:rPr>
              <w:t>Member testimonials, daily-use explanations and research-oriented claims.</w:t>
            </w:r>
          </w:p>
        </w:tc>
      </w:tr>
      <w:tr>
        <w:trPr>
          <w:cantSplit/>
        </w:trPr>
        <w:tc>
          <w:tcPr>
            <w:tcW w:type="dxa" w:w="5040"/>
          </w:tcPr>
          <w:p>
            <w:r>
              <w:rPr>
                <w:sz w:val="18"/>
              </w:rPr>
              <w:t>InGen opportunity</w:t>
            </w:r>
          </w:p>
        </w:tc>
        <w:tc>
          <w:tcPr>
            <w:tcW w:type="dxa" w:w="5040"/>
          </w:tcPr>
          <w:p>
            <w:r>
              <w:rPr>
                <w:sz w:val="18"/>
              </w:rPr>
              <w:t>Explain Fari’s proposed care workflow and user control with unusual clarity. Emotional companionship alone would not differentiate it.</w:t>
            </w:r>
          </w:p>
        </w:tc>
      </w:tr>
    </w:tbl>
    <w:p>
      <w:r>
        <w:t>Implication: ElliQ is the closest challenge to an easy “warmth plus trust” positioning claim. InGen should not imply superior clinical credibility without comparable evidence. A narrower starting point is a transparent evaluation experience for care teams, including limitations and consent decisions.</w:t>
      </w:r>
    </w:p>
    <w:p>
      <w:r>
        <w:br w:type="page"/>
      </w:r>
    </w:p>
    <w:p>
      <w:pPr>
        <w:pStyle w:val="Heading1"/>
      </w:pPr>
      <w:r>
        <w:t>3. Boston Dynamics — useful capability made visible</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Robots that support useful work, safety and productivity [C3].</w:t>
            </w:r>
          </w:p>
        </w:tc>
      </w:tr>
      <w:tr>
        <w:trPr>
          <w:cantSplit/>
        </w:trPr>
        <w:tc>
          <w:tcPr>
            <w:tcW w:type="dxa" w:w="5040"/>
          </w:tcPr>
          <w:p>
            <w:r>
              <w:rPr>
                <w:sz w:val="18"/>
              </w:rPr>
              <w:t>Target audience</w:t>
            </w:r>
          </w:p>
        </w:tc>
        <w:tc>
          <w:tcPr>
            <w:tcW w:type="dxa" w:w="5040"/>
          </w:tcPr>
          <w:p>
            <w:r>
              <w:rPr>
                <w:sz w:val="18"/>
              </w:rPr>
              <w:t>Industrial operators, logistics teams, infrastructure users and researchers.</w:t>
            </w:r>
          </w:p>
        </w:tc>
      </w:tr>
      <w:tr>
        <w:trPr>
          <w:cantSplit/>
        </w:trPr>
        <w:tc>
          <w:tcPr>
            <w:tcW w:type="dxa" w:w="5040"/>
          </w:tcPr>
          <w:p>
            <w:r>
              <w:rPr>
                <w:sz w:val="18"/>
              </w:rPr>
              <w:t>Emotional positioning</w:t>
            </w:r>
          </w:p>
        </w:tc>
        <w:tc>
          <w:tcPr>
            <w:tcW w:type="dxa" w:w="5040"/>
          </w:tcPr>
          <w:p>
            <w:r>
              <w:rPr>
                <w:sz w:val="18"/>
              </w:rPr>
              <w:t>Competence, confidence and technical possibility; analytical interpretation.</w:t>
            </w:r>
          </w:p>
        </w:tc>
      </w:tr>
      <w:tr>
        <w:trPr>
          <w:cantSplit/>
        </w:trPr>
        <w:tc>
          <w:tcPr>
            <w:tcW w:type="dxa" w:w="5040"/>
          </w:tcPr>
          <w:p>
            <w:r>
              <w:rPr>
                <w:sz w:val="18"/>
              </w:rPr>
              <w:t>Primary channel</w:t>
            </w:r>
          </w:p>
        </w:tc>
        <w:tc>
          <w:tcPr>
            <w:tcW w:type="dxa" w:w="5040"/>
          </w:tcPr>
          <w:p>
            <w:r>
              <w:rPr>
                <w:sz w:val="18"/>
              </w:rPr>
              <w:t>Product/industry website and its video/resource hub; no reach ranking established.</w:t>
            </w:r>
          </w:p>
        </w:tc>
      </w:tr>
      <w:tr>
        <w:trPr>
          <w:cantSplit/>
        </w:trPr>
        <w:tc>
          <w:tcPr>
            <w:tcW w:type="dxa" w:w="5040"/>
          </w:tcPr>
          <w:p>
            <w:r>
              <w:rPr>
                <w:sz w:val="18"/>
              </w:rPr>
              <w:t>Key content format</w:t>
            </w:r>
          </w:p>
        </w:tc>
        <w:tc>
          <w:tcPr>
            <w:tcW w:type="dxa" w:w="5040"/>
          </w:tcPr>
          <w:p>
            <w:r>
              <w:rPr>
                <w:sz w:val="18"/>
              </w:rPr>
              <w:t>Robot demonstrations, customer case studies, webinars and implementation resources.</w:t>
            </w:r>
          </w:p>
        </w:tc>
      </w:tr>
      <w:tr>
        <w:trPr>
          <w:cantSplit/>
        </w:trPr>
        <w:tc>
          <w:tcPr>
            <w:tcW w:type="dxa" w:w="5040"/>
          </w:tcPr>
          <w:p>
            <w:r>
              <w:rPr>
                <w:sz w:val="18"/>
              </w:rPr>
              <w:t>InGen opportunity</w:t>
            </w:r>
          </w:p>
        </w:tc>
        <w:tc>
          <w:tcPr>
            <w:tcW w:type="dxa" w:w="5040"/>
          </w:tcPr>
          <w:p>
            <w:r>
              <w:rPr>
                <w:sz w:val="18"/>
              </w:rPr>
              <w:t>Explain smaller, specific human outcomes rather than compete primarily on spectacle or generalized technical ambition.</w:t>
            </w:r>
          </w:p>
        </w:tc>
      </w:tr>
    </w:tbl>
    <w:p>
      <w:r>
        <w:t>Implication: Rover and Humanoid content should present one task, its operating conditions and the human decision that follows. Label a prototype as a prototype. A clear limitation can make a demonstration more useful to a buyer than a broad future promise.</w:t>
      </w:r>
    </w:p>
    <w:p>
      <w:pPr>
        <w:pStyle w:val="Heading1"/>
      </w:pPr>
      <w:r>
        <w:t>4. UBTECH — robotics breadth and education systems</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A broad robotics portfolio spanning humanoids, education, commercial uses and care [C4].</w:t>
            </w:r>
          </w:p>
        </w:tc>
      </w:tr>
      <w:tr>
        <w:trPr>
          <w:cantSplit/>
        </w:trPr>
        <w:tc>
          <w:tcPr>
            <w:tcW w:type="dxa" w:w="5040"/>
          </w:tcPr>
          <w:p>
            <w:r>
              <w:rPr>
                <w:sz w:val="18"/>
              </w:rPr>
              <w:t>Target audience</w:t>
            </w:r>
          </w:p>
        </w:tc>
        <w:tc>
          <w:tcPr>
            <w:tcW w:type="dxa" w:w="5040"/>
          </w:tcPr>
          <w:p>
            <w:r>
              <w:rPr>
                <w:sz w:val="18"/>
              </w:rPr>
              <w:t>Industrial and institutional buyers, educators and users of consumer hardware.</w:t>
            </w:r>
          </w:p>
        </w:tc>
      </w:tr>
      <w:tr>
        <w:trPr>
          <w:cantSplit/>
        </w:trPr>
        <w:tc>
          <w:tcPr>
            <w:tcW w:type="dxa" w:w="5040"/>
          </w:tcPr>
          <w:p>
            <w:r>
              <w:rPr>
                <w:sz w:val="18"/>
              </w:rPr>
              <w:t>Emotional positioning</w:t>
            </w:r>
          </w:p>
        </w:tc>
        <w:tc>
          <w:tcPr>
            <w:tcW w:type="dxa" w:w="5040"/>
          </w:tcPr>
          <w:p>
            <w:r>
              <w:rPr>
                <w:sz w:val="18"/>
              </w:rPr>
              <w:t>Scale, modernity and progress; interpretation of portfolio presentation.</w:t>
            </w:r>
          </w:p>
        </w:tc>
      </w:tr>
      <w:tr>
        <w:trPr>
          <w:cantSplit/>
        </w:trPr>
        <w:tc>
          <w:tcPr>
            <w:tcW w:type="dxa" w:w="5040"/>
          </w:tcPr>
          <w:p>
            <w:r>
              <w:rPr>
                <w:sz w:val="18"/>
              </w:rPr>
              <w:t>Primary channel</w:t>
            </w:r>
          </w:p>
        </w:tc>
        <w:tc>
          <w:tcPr>
            <w:tcW w:type="dxa" w:w="5040"/>
          </w:tcPr>
          <w:p>
            <w:r>
              <w:rPr>
                <w:sz w:val="18"/>
              </w:rPr>
              <w:t>Corporate and solution websites in this sample; localized channel performance unknown.</w:t>
            </w:r>
          </w:p>
        </w:tc>
      </w:tr>
      <w:tr>
        <w:trPr>
          <w:cantSplit/>
        </w:trPr>
        <w:tc>
          <w:tcPr>
            <w:tcW w:type="dxa" w:w="5040"/>
          </w:tcPr>
          <w:p>
            <w:r>
              <w:rPr>
                <w:sz w:val="18"/>
              </w:rPr>
              <w:t>Key content format</w:t>
            </w:r>
          </w:p>
        </w:tc>
        <w:tc>
          <w:tcPr>
            <w:tcW w:type="dxa" w:w="5040"/>
          </w:tcPr>
          <w:p>
            <w:r>
              <w:rPr>
                <w:sz w:val="18"/>
              </w:rPr>
              <w:t>Product families, application categories and education solution pages [C4, C8].</w:t>
            </w:r>
          </w:p>
        </w:tc>
      </w:tr>
      <w:tr>
        <w:trPr>
          <w:cantSplit/>
        </w:trPr>
        <w:tc>
          <w:tcPr>
            <w:tcW w:type="dxa" w:w="5040"/>
          </w:tcPr>
          <w:p>
            <w:r>
              <w:rPr>
                <w:sz w:val="18"/>
              </w:rPr>
              <w:t>InGen opportunity</w:t>
            </w:r>
          </w:p>
        </w:tc>
        <w:tc>
          <w:tcPr>
            <w:tcW w:type="dxa" w:w="5040"/>
          </w:tcPr>
          <w:p>
            <w:r>
              <w:rPr>
                <w:sz w:val="18"/>
              </w:rPr>
              <w:t>Give each audience a short, role-specific route through the portfolio. Do not use “multiple robots on one brand” as the sole differentiator.</w:t>
            </w:r>
          </w:p>
        </w:tc>
      </w:tr>
    </w:tbl>
    <w:p>
      <w:r>
        <w:t>Implication: Senpai needs a concrete educator decision path—what to evaluate, who supervises, how success is assessed—rather than a generic claim about the future of education. InGen’s breadth only adds value when the buyer can still find a clear answer for one context.</w:t>
      </w:r>
    </w:p>
    <w:p>
      <w:r>
        <w:br w:type="page"/>
      </w:r>
    </w:p>
    <w:p>
      <w:pPr>
        <w:pStyle w:val="Heading1"/>
      </w:pPr>
      <w:r>
        <w:t>5. Embodied / Moxie — historical emotional-learning benchmark</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A child-facing companion supporting social and emotional learning; historical research framing [C5].</w:t>
            </w:r>
          </w:p>
        </w:tc>
      </w:tr>
      <w:tr>
        <w:trPr>
          <w:cantSplit/>
        </w:trPr>
        <w:tc>
          <w:tcPr>
            <w:tcW w:type="dxa" w:w="5040"/>
          </w:tcPr>
          <w:p>
            <w:r>
              <w:rPr>
                <w:sz w:val="18"/>
              </w:rPr>
              <w:t>Target audience</w:t>
            </w:r>
          </w:p>
        </w:tc>
        <w:tc>
          <w:tcPr>
            <w:tcW w:type="dxa" w:w="5040"/>
          </w:tcPr>
          <w:p>
            <w:r>
              <w:rPr>
                <w:sz w:val="18"/>
              </w:rPr>
              <w:t>Children and their parents/caregivers; research described ages five to ten.</w:t>
            </w:r>
          </w:p>
        </w:tc>
      </w:tr>
      <w:tr>
        <w:trPr>
          <w:cantSplit/>
        </w:trPr>
        <w:tc>
          <w:tcPr>
            <w:tcW w:type="dxa" w:w="5040"/>
          </w:tcPr>
          <w:p>
            <w:r>
              <w:rPr>
                <w:sz w:val="18"/>
              </w:rPr>
              <w:t>Emotional positioning</w:t>
            </w:r>
          </w:p>
        </w:tc>
        <w:tc>
          <w:tcPr>
            <w:tcW w:type="dxa" w:w="5040"/>
          </w:tcPr>
          <w:p>
            <w:r>
              <w:rPr>
                <w:sz w:val="18"/>
              </w:rPr>
              <w:t>Friendship, encouragement and developmental reassurance; interpretation.</w:t>
            </w:r>
          </w:p>
        </w:tc>
      </w:tr>
      <w:tr>
        <w:trPr>
          <w:cantSplit/>
        </w:trPr>
        <w:tc>
          <w:tcPr>
            <w:tcW w:type="dxa" w:w="5040"/>
          </w:tcPr>
          <w:p>
            <w:r>
              <w:rPr>
                <w:sz w:val="18"/>
              </w:rPr>
              <w:t>Primary channel</w:t>
            </w:r>
          </w:p>
        </w:tc>
        <w:tc>
          <w:tcPr>
            <w:tcW w:type="dxa" w:w="5040"/>
          </w:tcPr>
          <w:p>
            <w:r>
              <w:rPr>
                <w:sz w:val="18"/>
              </w:rPr>
              <w:t>Historical research publication and news coverage reviewed; current sales/social activity not verified.</w:t>
            </w:r>
          </w:p>
        </w:tc>
      </w:tr>
      <w:tr>
        <w:trPr>
          <w:cantSplit/>
        </w:trPr>
        <w:tc>
          <w:tcPr>
            <w:tcW w:type="dxa" w:w="5040"/>
          </w:tcPr>
          <w:p>
            <w:r>
              <w:rPr>
                <w:sz w:val="18"/>
              </w:rPr>
              <w:t>Key content format</w:t>
            </w:r>
          </w:p>
        </w:tc>
        <w:tc>
          <w:tcPr>
            <w:tcW w:type="dxa" w:w="5040"/>
          </w:tcPr>
          <w:p>
            <w:r>
              <w:rPr>
                <w:sz w:val="18"/>
              </w:rPr>
              <w:t>Structured interaction research and parent-facing companion context.</w:t>
            </w:r>
          </w:p>
        </w:tc>
      </w:tr>
      <w:tr>
        <w:trPr>
          <w:cantSplit/>
        </w:trPr>
        <w:tc>
          <w:tcPr>
            <w:tcW w:type="dxa" w:w="5040"/>
          </w:tcPr>
          <w:p>
            <w:r>
              <w:rPr>
                <w:sz w:val="18"/>
              </w:rPr>
              <w:t>InGen opportunity</w:t>
            </w:r>
          </w:p>
        </w:tc>
        <w:tc>
          <w:tcPr>
            <w:tcW w:type="dxa" w:w="5040"/>
          </w:tcPr>
          <w:p>
            <w:r>
              <w:rPr>
                <w:sz w:val="18"/>
              </w:rPr>
              <w:t>For Senpai, explain service support, adult involvement and what happens if connectivity or service ends. Avoid creating expectations of an irreplaceable emotional relationship.</w:t>
            </w:r>
          </w:p>
        </w:tc>
      </w:tr>
    </w:tbl>
    <w:p>
      <w:r>
        <w:t>Status note: Axios reported Embodied’s shutdown in December 2024 [C7]. The Moxie address now redirects, but usable current product information could not be retrieved. This report does not infer that every Moxie service remains unavailable in 2026 or that ownership is unchanged. The original research is preliminary, not proof that Senpai will deliver similar outcomes [C5].</w:t>
      </w:r>
    </w:p>
    <w:p>
      <w:pPr>
        <w:pStyle w:val="Heading1"/>
      </w:pPr>
      <w:r>
        <w:t>6. SoftBank Robotics — value through integration</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rPr>
                <w:sz w:val="18"/>
              </w:rPr>
              <w:t>Field</w:t>
            </w:r>
          </w:p>
        </w:tc>
        <w:tc>
          <w:tcPr>
            <w:tcW w:type="dxa" w:w="5040"/>
          </w:tcPr>
          <w:p>
            <w:r>
              <w:rPr>
                <w:sz w:val="18"/>
              </w:rPr>
              <w:t>Assessment</w:t>
            </w:r>
          </w:p>
        </w:tc>
      </w:tr>
      <w:tr>
        <w:trPr>
          <w:cantSplit/>
        </w:trPr>
        <w:tc>
          <w:tcPr>
            <w:tcW w:type="dxa" w:w="5040"/>
          </w:tcPr>
          <w:p>
            <w:r>
              <w:rPr>
                <w:sz w:val="18"/>
              </w:rPr>
              <w:t>Primary brand message</w:t>
            </w:r>
          </w:p>
        </w:tc>
        <w:tc>
          <w:tcPr>
            <w:tcW w:type="dxa" w:w="5040"/>
          </w:tcPr>
          <w:p>
            <w:r>
              <w:rPr>
                <w:sz w:val="18"/>
              </w:rPr>
              <w:t>A robot integrator focused on extracting practical value from robotics [C6].</w:t>
            </w:r>
          </w:p>
        </w:tc>
      </w:tr>
      <w:tr>
        <w:trPr>
          <w:cantSplit/>
        </w:trPr>
        <w:tc>
          <w:tcPr>
            <w:tcW w:type="dxa" w:w="5040"/>
          </w:tcPr>
          <w:p>
            <w:r>
              <w:rPr>
                <w:sz w:val="18"/>
              </w:rPr>
              <w:t>Target audience</w:t>
            </w:r>
          </w:p>
        </w:tc>
        <w:tc>
          <w:tcPr>
            <w:tcW w:type="dxa" w:w="5040"/>
          </w:tcPr>
          <w:p>
            <w:r>
              <w:rPr>
                <w:sz w:val="18"/>
              </w:rPr>
              <w:t>Organizations seeking automation solutions and implementation support.</w:t>
            </w:r>
          </w:p>
        </w:tc>
      </w:tr>
      <w:tr>
        <w:trPr>
          <w:cantSplit/>
        </w:trPr>
        <w:tc>
          <w:tcPr>
            <w:tcW w:type="dxa" w:w="5040"/>
          </w:tcPr>
          <w:p>
            <w:r>
              <w:rPr>
                <w:sz w:val="18"/>
              </w:rPr>
              <w:t>Emotional positioning</w:t>
            </w:r>
          </w:p>
        </w:tc>
        <w:tc>
          <w:tcPr>
            <w:tcW w:type="dxa" w:w="5040"/>
          </w:tcPr>
          <w:p>
            <w:r>
              <w:rPr>
                <w:sz w:val="18"/>
              </w:rPr>
              <w:t>Pragmatism, organizational confidence and reduced adoption complexity.</w:t>
            </w:r>
          </w:p>
        </w:tc>
      </w:tr>
      <w:tr>
        <w:trPr>
          <w:cantSplit/>
        </w:trPr>
        <w:tc>
          <w:tcPr>
            <w:tcW w:type="dxa" w:w="5040"/>
          </w:tcPr>
          <w:p>
            <w:r>
              <w:rPr>
                <w:sz w:val="18"/>
              </w:rPr>
              <w:t>Primary channel</w:t>
            </w:r>
          </w:p>
        </w:tc>
        <w:tc>
          <w:tcPr>
            <w:tcW w:type="dxa" w:w="5040"/>
          </w:tcPr>
          <w:p>
            <w:r>
              <w:rPr>
                <w:sz w:val="18"/>
              </w:rPr>
              <w:t>Corporate website and regional solution routes in this sample.</w:t>
            </w:r>
          </w:p>
        </w:tc>
      </w:tr>
      <w:tr>
        <w:trPr>
          <w:cantSplit/>
        </w:trPr>
        <w:tc>
          <w:tcPr>
            <w:tcW w:type="dxa" w:w="5040"/>
          </w:tcPr>
          <w:p>
            <w:r>
              <w:rPr>
                <w:sz w:val="18"/>
              </w:rPr>
              <w:t>Key content format</w:t>
            </w:r>
          </w:p>
        </w:tc>
        <w:tc>
          <w:tcPr>
            <w:tcW w:type="dxa" w:w="5040"/>
          </w:tcPr>
          <w:p>
            <w:r>
              <w:rPr>
                <w:sz w:val="18"/>
              </w:rPr>
              <w:t>Solution narratives, deployment announcements and group/region navigation.</w:t>
            </w:r>
          </w:p>
        </w:tc>
      </w:tr>
      <w:tr>
        <w:trPr>
          <w:cantSplit/>
        </w:trPr>
        <w:tc>
          <w:tcPr>
            <w:tcW w:type="dxa" w:w="5040"/>
          </w:tcPr>
          <w:p>
            <w:r>
              <w:rPr>
                <w:sz w:val="18"/>
              </w:rPr>
              <w:t>InGen opportunity</w:t>
            </w:r>
          </w:p>
        </w:tc>
        <w:tc>
          <w:tcPr>
            <w:tcW w:type="dxa" w:w="5040"/>
          </w:tcPr>
          <w:p>
            <w:r>
              <w:rPr>
                <w:sz w:val="18"/>
              </w:rPr>
              <w:t>Make pilot onboarding and human handoffs legible. A buyer should understand the adoption process before being asked to believe the long-term platform story.</w:t>
            </w:r>
          </w:p>
        </w:tc>
      </w:tr>
    </w:tbl>
    <w:p>
      <w:r>
        <w:t>Implication: ease of adoption deserves its own evidence. InGen could document an evaluation sequence, responsibilities and support boundaries without claiming deployment readiness for products that remain in development.</w:t>
      </w:r>
    </w:p>
    <w:p>
      <w:r>
        <w:br w:type="page"/>
      </w:r>
    </w:p>
    <w:p>
      <w:pPr>
        <w:pStyle w:val="Heading1"/>
      </w:pPr>
      <w:r>
        <w:t>From benchmarking to a defensible brand territory</w:t>
      </w:r>
    </w:p>
    <w:p>
      <w:r>
        <w:t>The common competitive pressure is clear: appealing ideals are already shared. “Human-centered,” “intelligent,” “safe” and “helpful” do not distinguish a brand without specific execution. The proposed territory narrows the promise to a recurring moment that every audience can understand: the handoff between a machine’s output and a person’s authority.</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Proof requirement</w:t>
            </w:r>
          </w:p>
        </w:tc>
        <w:tc>
          <w:tcPr>
            <w:tcW w:type="dxa" w:w="3360"/>
          </w:tcPr>
          <w:p>
            <w:r>
              <w:rPr>
                <w:sz w:val="18"/>
              </w:rPr>
              <w:t>What InGen should show</w:t>
            </w:r>
          </w:p>
        </w:tc>
        <w:tc>
          <w:tcPr>
            <w:tcW w:type="dxa" w:w="3360"/>
          </w:tcPr>
          <w:p>
            <w:r>
              <w:rPr>
                <w:sz w:val="18"/>
              </w:rPr>
              <w:t>Why it matters</w:t>
            </w:r>
          </w:p>
        </w:tc>
      </w:tr>
      <w:tr>
        <w:trPr>
          <w:cantSplit/>
        </w:trPr>
        <w:tc>
          <w:tcPr>
            <w:tcW w:type="dxa" w:w="3360"/>
          </w:tcPr>
          <w:p>
            <w:r>
              <w:rPr>
                <w:sz w:val="18"/>
              </w:rPr>
              <w:t>Human role</w:t>
            </w:r>
          </w:p>
        </w:tc>
        <w:tc>
          <w:tcPr>
            <w:tcW w:type="dxa" w:w="3360"/>
          </w:tcPr>
          <w:p>
            <w:r>
              <w:rPr>
                <w:sz w:val="18"/>
              </w:rPr>
              <w:t>Who can approve, pause, override or refuse a proposed action.</w:t>
            </w:r>
          </w:p>
        </w:tc>
        <w:tc>
          <w:tcPr>
            <w:tcW w:type="dxa" w:w="3360"/>
          </w:tcPr>
          <w:p>
            <w:r>
              <w:rPr>
                <w:sz w:val="18"/>
              </w:rPr>
              <w:t>Turns abstract ethics into an understandable interaction.</w:t>
            </w:r>
          </w:p>
        </w:tc>
      </w:tr>
      <w:tr>
        <w:trPr>
          <w:cantSplit/>
        </w:trPr>
        <w:tc>
          <w:tcPr>
            <w:tcW w:type="dxa" w:w="3360"/>
          </w:tcPr>
          <w:p>
            <w:r>
              <w:rPr>
                <w:sz w:val="18"/>
              </w:rPr>
              <w:t>Product stage</w:t>
            </w:r>
          </w:p>
        </w:tc>
        <w:tc>
          <w:tcPr>
            <w:tcW w:type="dxa" w:w="3360"/>
          </w:tcPr>
          <w:p>
            <w:r>
              <w:rPr>
                <w:sz w:val="18"/>
              </w:rPr>
              <w:t>Available, pilot, prototype or planned—by capability and version.</w:t>
            </w:r>
          </w:p>
        </w:tc>
        <w:tc>
          <w:tcPr>
            <w:tcW w:type="dxa" w:w="3360"/>
          </w:tcPr>
          <w:p>
            <w:r>
              <w:rPr>
                <w:sz w:val="18"/>
              </w:rPr>
              <w:t>Prevents portfolio-wide assumptions about readiness.</w:t>
            </w:r>
          </w:p>
        </w:tc>
      </w:tr>
      <w:tr>
        <w:trPr>
          <w:cantSplit/>
        </w:trPr>
        <w:tc>
          <w:tcPr>
            <w:tcW w:type="dxa" w:w="3360"/>
          </w:tcPr>
          <w:p>
            <w:r>
              <w:rPr>
                <w:sz w:val="18"/>
              </w:rPr>
              <w:t>Operating boundary</w:t>
            </w:r>
          </w:p>
        </w:tc>
        <w:tc>
          <w:tcPr>
            <w:tcW w:type="dxa" w:w="3360"/>
          </w:tcPr>
          <w:p>
            <w:r>
              <w:rPr>
                <w:sz w:val="18"/>
              </w:rPr>
              <w:t>Conditions where the system may fail or require help.</w:t>
            </w:r>
          </w:p>
        </w:tc>
        <w:tc>
          <w:tcPr>
            <w:tcW w:type="dxa" w:w="3360"/>
          </w:tcPr>
          <w:p>
            <w:r>
              <w:rPr>
                <w:sz w:val="18"/>
              </w:rPr>
              <w:t>Supports informed evaluation instead of exaggerated confidence.</w:t>
            </w:r>
          </w:p>
        </w:tc>
      </w:tr>
      <w:tr>
        <w:trPr>
          <w:cantSplit/>
        </w:trPr>
        <w:tc>
          <w:tcPr>
            <w:tcW w:type="dxa" w:w="3360"/>
          </w:tcPr>
          <w:p>
            <w:r>
              <w:rPr>
                <w:sz w:val="18"/>
              </w:rPr>
              <w:t>Evidence</w:t>
            </w:r>
          </w:p>
        </w:tc>
        <w:tc>
          <w:tcPr>
            <w:tcW w:type="dxa" w:w="3360"/>
          </w:tcPr>
          <w:p>
            <w:r>
              <w:rPr>
                <w:sz w:val="18"/>
              </w:rPr>
              <w:t>Dated demonstration or study, method and limitations.</w:t>
            </w:r>
          </w:p>
        </w:tc>
        <w:tc>
          <w:tcPr>
            <w:tcW w:type="dxa" w:w="3360"/>
          </w:tcPr>
          <w:p>
            <w:r>
              <w:rPr>
                <w:sz w:val="18"/>
              </w:rPr>
              <w:t>Separates a design ambition from a tested result.</w:t>
            </w:r>
          </w:p>
        </w:tc>
      </w:tr>
      <w:tr>
        <w:trPr>
          <w:cantSplit/>
        </w:trPr>
        <w:tc>
          <w:tcPr>
            <w:tcW w:type="dxa" w:w="3360"/>
          </w:tcPr>
          <w:p>
            <w:r>
              <w:rPr>
                <w:sz w:val="18"/>
              </w:rPr>
              <w:t>Continuity</w:t>
            </w:r>
          </w:p>
        </w:tc>
        <w:tc>
          <w:tcPr>
            <w:tcW w:type="dxa" w:w="3360"/>
          </w:tcPr>
          <w:p>
            <w:r>
              <w:rPr>
                <w:sz w:val="18"/>
              </w:rPr>
              <w:t>Named support process and an explanation of service dependence.</w:t>
            </w:r>
          </w:p>
        </w:tc>
        <w:tc>
          <w:tcPr>
            <w:tcW w:type="dxa" w:w="3360"/>
          </w:tcPr>
          <w:p>
            <w:r>
              <w:rPr>
                <w:sz w:val="18"/>
              </w:rPr>
              <w:t>Makes ongoing responsibility part of the brand promise.</w:t>
            </w:r>
          </w:p>
        </w:tc>
      </w:tr>
    </w:tbl>
    <w:p>
      <w:r>
        <w:t>Why InGen can pursue it: the public Fari, Senpai and Sentinel materials already discuss human authority or governance [I2–I4]. This gives the company a starting vocabulary. It does not establish commercial superiority; the next step is to convert that vocabulary into usable public evidence and consistent buyer-facing communication.</w:t>
      </w:r>
    </w:p>
    <w:p>
      <w:r>
        <w:t>Closest overlap and defense: Knightscope already emphasizes operational accountability, while ElliQ communicates human connection. InGen’s proposed distinction is a common, visible handoff standard across care, education and security. That cross-product expression could be distinctive within this sample, but portfolio breadth alone is insufficient, especially against UBTECH. The claim must remain provisional until customer testing and a wider competitor review support it.</w:t>
      </w:r>
    </w:p>
    <w:p>
      <w:pPr>
        <w:pStyle w:val="Heading1"/>
      </w:pPr>
      <w:r>
        <w:t>Recommended first test</w:t>
      </w:r>
    </w:p>
    <w:p>
      <w:r>
        <w:t>Create two Fari information-page concepts: one organized around features, the other around human roles and evidence. Ask potential evaluators to identify the development stage, explain who remains in control and name one limitation. Measure comprehension and quality of follow-up questions before optimizing clicks. This is a proposed study, not a completed experiment or a claim about buyer preferences.</w:t>
      </w:r>
    </w:p>
    <w:p>
      <w:r>
        <w:t>Working positioning line: “Physical AI that supports people—and makes their control clear.” Use only with product-specific qualifiers. Do not advertise verified outcomes, regulatory clearance or market exclusivity that the available evidence does not establish.</w:t>
      </w:r>
    </w:p>
    <w:p>
      <w:r>
        <w:br w:type="page"/>
      </w:r>
    </w:p>
    <w:p>
      <w:pPr>
        <w:pStyle w:val="Heading1"/>
      </w:pPr>
      <w:r>
        <w:t>Sources &amp; research boundaries</w:t>
      </w:r>
    </w:p>
    <w:p>
      <w:r>
        <w:t>Public sources reviewed September 28, 2026. Bracketed IDs connect observations to sources. Corporate statements are evidence of brand communication, not independent confirmation of product performance. Interpretations and proposed actions are the author’s analysis. Product status, palette and typography entries report what the cited public pages state as of the review date; they are not independent certification. No revenue, funding, market-size, accuracy, adoption or performance statistics are used as established facts. Audience and benefit classifications are analytical interpretations. No claims of first-hand interviews, customer testing or completed experiments are made.</w:t>
      </w:r>
    </w:p>
    <w:p>
      <w:r>
        <w:t>[C1] Knightscope. Corporate homepage and positioning.</w:t>
        <w:br/>
        <w:t>https://knightscope.com/</w:t>
      </w:r>
    </w:p>
    <w:p>
      <w:r>
        <w:t>[C2] Intuition Robotics. ElliQ consumer website.</w:t>
        <w:br/>
        <w:t>https://elliq.com/</w:t>
      </w:r>
    </w:p>
    <w:p>
      <w:r>
        <w:t>[C3] Boston Dynamics. Corporate homepage, products and resource navigation.</w:t>
        <w:br/>
        <w:t>https://bostondynamics.com/</w:t>
      </w:r>
    </w:p>
    <w:p>
      <w:r>
        <w:t>[C4] UBTECH. English corporate homepage.</w:t>
        <w:br/>
        <w:t>https://www.ubtrobot.com/en/</w:t>
      </w:r>
    </w:p>
    <w:p>
      <w:r>
        <w:t>[C5] Hurst, N., Clabaugh, C., Baynes, R., Cohn, J., Mitroff, D., &amp; Scherer, S. (2020). Social and Emotional Skills Training with Embodied Moxie. Research preprint.</w:t>
        <w:br/>
        <w:t>https://arxiv.org/abs/2004.12962</w:t>
      </w:r>
    </w:p>
    <w:p>
      <w:r>
        <w:t>[C6] SoftBank Robotics Group. Corporate homepage.</w:t>
        <w:br/>
        <w:t>https://www.softbankrobotics.com/</w:t>
      </w:r>
    </w:p>
    <w:p>
      <w:r>
        <w:t>[C7] Axios. (2024, December 10). Maker of AI robots for kids abruptly shutters. Historical reporting.</w:t>
        <w:br/>
        <w:t>https://www.axios.com/2024/12/10/moxie-kids-robot-shuts-down</w:t>
      </w:r>
    </w:p>
    <w:p>
      <w:r>
        <w:t>[C8] UBTECH. AI Education solutions.</w:t>
        <w:br/>
        <w:t>https://www.ubtrobot.com/en/ai-education</w:t>
      </w:r>
    </w:p>
    <w:p>
      <w:r>
        <w:t>[I2] InGen Dynamics. Fari: product, engineering and UX/UI sections.</w:t>
        <w:br/>
        <w:t>https://www.ingendynamics.com/fari.html</w:t>
      </w:r>
    </w:p>
    <w:p>
      <w:r>
        <w:t>[I3] InGen Dynamics. Senpai: overview, inclusion and design system.</w:t>
        <w:br/>
        <w:t>https://www.ingendynamics.com/senpai.html</w:t>
      </w:r>
    </w:p>
    <w:p>
      <w:r>
        <w:t>[I4] InGen Dynamics. Sentinel Prime AI: engineering and design system.</w:t>
        <w:br/>
        <w:t>https://www.ingendynamics.com/sentinel.html</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Xuan Li  •  Week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INGEN DYNAMICS  /  MARKETING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B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