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InGen Brand Audit</w:t>
      </w:r>
    </w:p>
    <w:p>
      <w:pPr>
        <w:pStyle w:val="Subtitle"/>
      </w:pPr>
      <w:r>
        <w:t>Week 1 • Xuan Li • Public-material review • September 28, 2026</w:t>
      </w:r>
    </w:p>
    <w:p>
      <w:pPr>
        <w:pStyle w:val="Heading1"/>
      </w:pPr>
      <w:r>
        <w:t>Executive finding</w:t>
      </w:r>
    </w:p>
    <w:p>
      <w:r>
        <w:t>InGen should make human control easy to understand and easy to verify. Its opportunity is to connect an ambitious robotics story to specific decisions: who stays in charge, what the system can do today, and what evidence supports each promise. This is a proposed positioning direction, not a claim of established market leadership.</w:t>
      </w:r>
    </w:p>
    <w:p>
      <w:r>
        <w:t>The audit covers Fari, Senpai, Aido Rover, Sentinel Prime AI and Aido Humanoid across all six required dimensions. It uses the corporate site, three detailed product pages, a published media profile and a university partnership announcement. LinkedIn is linked from the corporate site, but its posts could not be retrieved; cross-channel consistency is therefore only partly assessable. No customer interviews or internal analytics were used.</w:t>
      </w:r>
    </w:p>
    <w:p>
      <w:pPr>
        <w:pStyle w:val="Heading1"/>
      </w:pPr>
      <w:r>
        <w:t>1. Brand voice and tone</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r>
              <w:rPr>
                <w:sz w:val="18"/>
              </w:rPr>
              <w:t>Surface / evidence</w:t>
            </w:r>
          </w:p>
        </w:tc>
        <w:tc>
          <w:tcPr>
            <w:tcW w:type="dxa" w:w="3360"/>
          </w:tcPr>
          <w:p>
            <w:r>
              <w:rPr>
                <w:sz w:val="18"/>
              </w:rPr>
              <w:t>Interpretation</w:t>
            </w:r>
          </w:p>
        </w:tc>
        <w:tc>
          <w:tcPr>
            <w:tcW w:type="dxa" w:w="3360"/>
          </w:tcPr>
          <w:p>
            <w:r>
              <w:rPr>
                <w:sz w:val="18"/>
              </w:rPr>
              <w:t>Marketing implication</w:t>
            </w:r>
          </w:p>
        </w:tc>
      </w:tr>
      <w:tr>
        <w:trPr>
          <w:cantSplit/>
        </w:trPr>
        <w:tc>
          <w:tcPr>
            <w:tcW w:type="dxa" w:w="3360"/>
          </w:tcPr>
          <w:p>
            <w:r>
              <w:rPr>
                <w:sz w:val="18"/>
              </w:rPr>
              <w:t>Corporate site [I1]</w:t>
            </w:r>
          </w:p>
        </w:tc>
        <w:tc>
          <w:tcPr>
            <w:tcW w:type="dxa" w:w="3360"/>
          </w:tcPr>
          <w:p>
            <w:r>
              <w:rPr>
                <w:sz w:val="18"/>
              </w:rPr>
              <w:t>Vision-led, expansive and founder-centered; a shared platform narrative connects diverse products.</w:t>
            </w:r>
          </w:p>
        </w:tc>
        <w:tc>
          <w:tcPr>
            <w:tcW w:type="dxa" w:w="3360"/>
          </w:tcPr>
          <w:p>
            <w:r>
              <w:rPr>
                <w:sz w:val="18"/>
              </w:rPr>
              <w:t>Lead each audience journey with one concrete use case before introducing the portfolio.</w:t>
            </w:r>
          </w:p>
        </w:tc>
      </w:tr>
      <w:tr>
        <w:trPr>
          <w:cantSplit/>
        </w:trPr>
        <w:tc>
          <w:tcPr>
            <w:tcW w:type="dxa" w:w="3360"/>
          </w:tcPr>
          <w:p>
            <w:r>
              <w:rPr>
                <w:sz w:val="18"/>
              </w:rPr>
              <w:t>Fari product page [I2]</w:t>
            </w:r>
          </w:p>
        </w:tc>
        <w:tc>
          <w:tcPr>
            <w:tcW w:type="dxa" w:w="3360"/>
          </w:tcPr>
          <w:p>
            <w:r>
              <w:rPr>
                <w:sz w:val="18"/>
              </w:rPr>
              <w:t>Care language sits alongside clinical and engineering terminology.</w:t>
            </w:r>
          </w:p>
        </w:tc>
        <w:tc>
          <w:tcPr>
            <w:tcW w:type="dxa" w:w="3360"/>
          </w:tcPr>
          <w:p>
            <w:r>
              <w:rPr>
                <w:sz w:val="18"/>
              </w:rPr>
              <w:t>Separate family-facing explanations from technical evaluation material.</w:t>
            </w:r>
          </w:p>
        </w:tc>
      </w:tr>
      <w:tr>
        <w:trPr>
          <w:cantSplit/>
        </w:trPr>
        <w:tc>
          <w:tcPr>
            <w:tcW w:type="dxa" w:w="3360"/>
          </w:tcPr>
          <w:p>
            <w:r>
              <w:rPr>
                <w:sz w:val="18"/>
              </w:rPr>
              <w:t>Senpai product page [I3]</w:t>
            </w:r>
          </w:p>
        </w:tc>
        <w:tc>
          <w:tcPr>
            <w:tcW w:type="dxa" w:w="3360"/>
          </w:tcPr>
          <w:p>
            <w:r>
              <w:rPr>
                <w:sz w:val="18"/>
              </w:rPr>
              <w:t>Inclusive and encouraging, with a strong technical layer.</w:t>
            </w:r>
          </w:p>
        </w:tc>
        <w:tc>
          <w:tcPr>
            <w:tcW w:type="dxa" w:w="3360"/>
          </w:tcPr>
          <w:p>
            <w:r>
              <w:rPr>
                <w:sz w:val="18"/>
              </w:rPr>
              <w:t>Address educators as decision-makers; show the practical teaching workflow.</w:t>
            </w:r>
          </w:p>
        </w:tc>
      </w:tr>
      <w:tr>
        <w:trPr>
          <w:cantSplit/>
        </w:trPr>
        <w:tc>
          <w:tcPr>
            <w:tcW w:type="dxa" w:w="3360"/>
          </w:tcPr>
          <w:p>
            <w:r>
              <w:rPr>
                <w:sz w:val="18"/>
              </w:rPr>
              <w:t>Sentinel product page [I4]</w:t>
            </w:r>
          </w:p>
        </w:tc>
        <w:tc>
          <w:tcPr>
            <w:tcW w:type="dxa" w:w="3360"/>
          </w:tcPr>
          <w:p>
            <w:r>
              <w:rPr>
                <w:sz w:val="18"/>
              </w:rPr>
              <w:t>Precise, operational and control-oriented.</w:t>
            </w:r>
          </w:p>
        </w:tc>
        <w:tc>
          <w:tcPr>
            <w:tcW w:type="dxa" w:w="3360"/>
          </w:tcPr>
          <w:p>
            <w:r>
              <w:rPr>
                <w:sz w:val="18"/>
              </w:rPr>
              <w:t>Connect specifications to operator decisions and evidence requirements.</w:t>
            </w:r>
          </w:p>
        </w:tc>
      </w:tr>
      <w:tr>
        <w:trPr>
          <w:cantSplit/>
        </w:trPr>
        <w:tc>
          <w:tcPr>
            <w:tcW w:type="dxa" w:w="3360"/>
          </w:tcPr>
          <w:p>
            <w:r>
              <w:rPr>
                <w:sz w:val="18"/>
              </w:rPr>
              <w:t>Entrepreneur profile [I5]</w:t>
            </w:r>
          </w:p>
        </w:tc>
        <w:tc>
          <w:tcPr>
            <w:tcW w:type="dxa" w:w="3360"/>
          </w:tcPr>
          <w:p>
            <w:r>
              <w:rPr>
                <w:sz w:val="18"/>
              </w:rPr>
              <w:t>Promotional, founder-led and optimistic; emphasizes scale, recognition and social benefit.</w:t>
            </w:r>
          </w:p>
        </w:tc>
        <w:tc>
          <w:tcPr>
            <w:tcW w:type="dxa" w:w="3360"/>
          </w:tcPr>
          <w:p>
            <w:r>
              <w:rPr>
                <w:sz w:val="18"/>
              </w:rPr>
              <w:t>Use for narrative context, not independent verification of commercial claims.</w:t>
            </w:r>
          </w:p>
        </w:tc>
      </w:tr>
      <w:tr>
        <w:trPr>
          <w:cantSplit/>
        </w:trPr>
        <w:tc>
          <w:tcPr>
            <w:tcW w:type="dxa" w:w="3360"/>
          </w:tcPr>
          <w:p>
            <w:r>
              <w:rPr>
                <w:sz w:val="18"/>
              </w:rPr>
              <w:t>Manchester announcement [I6]</w:t>
            </w:r>
          </w:p>
        </w:tc>
        <w:tc>
          <w:tcPr>
            <w:tcW w:type="dxa" w:w="3360"/>
          </w:tcPr>
          <w:p>
            <w:r>
              <w:rPr>
                <w:sz w:val="18"/>
              </w:rPr>
              <w:t>Institutional and collaborative; describes a research partnership.</w:t>
            </w:r>
          </w:p>
        </w:tc>
        <w:tc>
          <w:tcPr>
            <w:tcW w:type="dxa" w:w="3360"/>
          </w:tcPr>
          <w:p>
            <w:r>
              <w:rPr>
                <w:sz w:val="18"/>
              </w:rPr>
              <w:t>Distinguish partnership intent from validated product outcomes.</w:t>
            </w:r>
          </w:p>
        </w:tc>
      </w:tr>
      <w:tr>
        <w:trPr>
          <w:cantSplit/>
        </w:trPr>
        <w:tc>
          <w:tcPr>
            <w:tcW w:type="dxa" w:w="3360"/>
          </w:tcPr>
          <w:p>
            <w:r>
              <w:rPr>
                <w:sz w:val="18"/>
              </w:rPr>
              <w:t>LinkedIn / interviews</w:t>
            </w:r>
          </w:p>
        </w:tc>
        <w:tc>
          <w:tcPr>
            <w:tcW w:type="dxa" w:w="3360"/>
          </w:tcPr>
          <w:p>
            <w:r>
              <w:rPr>
                <w:sz w:val="18"/>
              </w:rPr>
              <w:t>LinkedIn posts were inaccessible. The media feature is not a verified interview transcript.</w:t>
            </w:r>
          </w:p>
        </w:tc>
        <w:tc>
          <w:tcPr>
            <w:tcW w:type="dxa" w:w="3360"/>
          </w:tcPr>
          <w:p>
            <w:r>
              <w:rPr>
                <w:sz w:val="18"/>
              </w:rPr>
              <w:t>Do not claim a measured posting pattern or interview-wide consistency.</w:t>
            </w:r>
          </w:p>
        </w:tc>
      </w:tr>
    </w:tbl>
    <w:p>
      <w:r>
        <w:t>Assessment: purpose is reasonably coherent across the reviewed material, while reading difficulty varies. Audience-specific tone is appropriate; inconsistency arises when an emotional promise is followed immediately by unexplained model names or metrics. A common editorial sequence—user need, human role, evidence, next step—would preserve distinct voices while improving clarity.</w:t>
      </w:r>
    </w:p>
    <w:p>
      <w:r>
        <w:br w:type="page"/>
      </w:r>
    </w:p>
    <w:p>
      <w:pPr>
        <w:pStyle w:val="Heading1"/>
      </w:pPr>
      <w:r>
        <w:t>2. Visual identity</w:t>
      </w:r>
    </w:p>
    <w:p>
      <w:r>
        <w:t>The strongest inspectable evidence is the published product design specification. These are declared visual systems, not confirmation that every live interface implements them. Direct browser inspection encountered a verification screen, so exact corporate-site typography, responsive behavior and image consistency were not visually certified.</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r>
              <w:rPr>
                <w:sz w:val="18"/>
              </w:rPr>
              <w:t>Product</w:t>
            </w:r>
          </w:p>
        </w:tc>
        <w:tc>
          <w:tcPr>
            <w:tcW w:type="dxa" w:w="3360"/>
          </w:tcPr>
          <w:p>
            <w:r>
              <w:rPr>
                <w:sz w:val="18"/>
              </w:rPr>
              <w:t>Published visual specification</w:t>
            </w:r>
          </w:p>
        </w:tc>
        <w:tc>
          <w:tcPr>
            <w:tcW w:type="dxa" w:w="3360"/>
          </w:tcPr>
          <w:p>
            <w:r>
              <w:rPr>
                <w:sz w:val="18"/>
              </w:rPr>
              <w:t>Interpretation</w:t>
            </w:r>
          </w:p>
        </w:tc>
      </w:tr>
      <w:tr>
        <w:trPr>
          <w:cantSplit/>
        </w:trPr>
        <w:tc>
          <w:tcPr>
            <w:tcW w:type="dxa" w:w="3360"/>
          </w:tcPr>
          <w:p>
            <w:r>
              <w:rPr>
                <w:sz w:val="18"/>
              </w:rPr>
              <w:t>Fari [I2]</w:t>
            </w:r>
          </w:p>
        </w:tc>
        <w:tc>
          <w:tcPr>
            <w:tcW w:type="dxa" w:w="3360"/>
          </w:tcPr>
          <w:p>
            <w:r>
              <w:rPr>
                <w:sz w:val="18"/>
              </w:rPr>
              <w:t>Cream #F7F3ED, warm white #FDFBF7, lavender #B39DDB; Cormorant Garamond, Outfit and IBM Plex Mono.</w:t>
            </w:r>
          </w:p>
        </w:tc>
        <w:tc>
          <w:tcPr>
            <w:tcW w:type="dxa" w:w="3360"/>
          </w:tcPr>
          <w:p>
            <w:r>
              <w:rPr>
                <w:sz w:val="18"/>
              </w:rPr>
              <w:t>Editorial warmth with a technical information layer.</w:t>
            </w:r>
          </w:p>
        </w:tc>
      </w:tr>
      <w:tr>
        <w:trPr>
          <w:cantSplit/>
        </w:trPr>
        <w:tc>
          <w:tcPr>
            <w:tcW w:type="dxa" w:w="3360"/>
          </w:tcPr>
          <w:p>
            <w:r>
              <w:rPr>
                <w:sz w:val="18"/>
              </w:rPr>
              <w:t>Senpai [I3]</w:t>
            </w:r>
          </w:p>
        </w:tc>
        <w:tc>
          <w:tcPr>
            <w:tcW w:type="dxa" w:w="3360"/>
          </w:tcPr>
          <w:p>
            <w:r>
              <w:rPr>
                <w:sz w:val="18"/>
              </w:rPr>
              <w:t>Warm indigo display; orange/cream website guidance. Nunito, DM Sans and Space Mono / JetBrains Mono.</w:t>
            </w:r>
          </w:p>
        </w:tc>
        <w:tc>
          <w:tcPr>
            <w:tcW w:type="dxa" w:w="3360"/>
          </w:tcPr>
          <w:p>
            <w:r>
              <w:rPr>
                <w:sz w:val="18"/>
              </w:rPr>
              <w:t>Approachable learning identity; distinct treatment of learner and adult interfaces.</w:t>
            </w:r>
          </w:p>
        </w:tc>
      </w:tr>
      <w:tr>
        <w:trPr>
          <w:cantSplit/>
        </w:trPr>
        <w:tc>
          <w:tcPr>
            <w:tcW w:type="dxa" w:w="3360"/>
          </w:tcPr>
          <w:p>
            <w:r>
              <w:rPr>
                <w:sz w:val="18"/>
              </w:rPr>
              <w:t>Sentinel [I4]</w:t>
            </w:r>
          </w:p>
        </w:tc>
        <w:tc>
          <w:tcPr>
            <w:tcW w:type="dxa" w:w="3360"/>
          </w:tcPr>
          <w:p>
            <w:r>
              <w:rPr>
                <w:sz w:val="18"/>
              </w:rPr>
              <w:t>Navy #0A1628; reserved red #E82020 and amber #FFA515. Playfair Display, DM Sans and IBM Plex Mono.</w:t>
            </w:r>
          </w:p>
        </w:tc>
        <w:tc>
          <w:tcPr>
            <w:tcW w:type="dxa" w:w="3360"/>
          </w:tcPr>
          <w:p>
            <w:r>
              <w:rPr>
                <w:sz w:val="18"/>
              </w:rPr>
              <w:t>Serious monitoring environment with strong status hierarchy.</w:t>
            </w:r>
          </w:p>
        </w:tc>
      </w:tr>
      <w:tr>
        <w:trPr>
          <w:cantSplit/>
        </w:trPr>
        <w:tc>
          <w:tcPr>
            <w:tcW w:type="dxa" w:w="3360"/>
          </w:tcPr>
          <w:p>
            <w:r>
              <w:rPr>
                <w:sz w:val="18"/>
              </w:rPr>
              <w:t>Rover / Humanoid [I1]</w:t>
            </w:r>
          </w:p>
        </w:tc>
        <w:tc>
          <w:tcPr>
            <w:tcW w:type="dxa" w:w="3360"/>
          </w:tcPr>
          <w:p>
            <w:r>
              <w:rPr>
                <w:sz w:val="18"/>
              </w:rPr>
              <w:t>Named product imagery appears in the portfolio; a separate verified design-token system was not obtained.</w:t>
            </w:r>
          </w:p>
        </w:tc>
        <w:tc>
          <w:tcPr>
            <w:tcW w:type="dxa" w:w="3360"/>
          </w:tcPr>
          <w:p>
            <w:r>
              <w:rPr>
                <w:sz w:val="18"/>
              </w:rPr>
              <w:t>Do not assign an invented palette or typeface to these products.</w:t>
            </w:r>
          </w:p>
        </w:tc>
      </w:tr>
    </w:tbl>
    <w:p>
      <w:r>
        <w:t>Imagery assessment: the public material includes product illustrations/images and video showcases [I1–I3]. The key audit issue is evidentiary labeling: a product image or concept video cannot, by itself, demonstrate a working deployment. Recommend captions that distinguish concept visualization, prototype demonstration and customer deployment, with dates. Avoid describing all imagery as real-world photography when that has not been verified.</w:t>
      </w:r>
    </w:p>
    <w:p>
      <w:r>
        <w:t>Design recommendation: keep audience-specific colors, but standardize the InGen endorsement, development-status badge, source/date treatment and evidence labels. Use readable body text, restrained technical notation and a clear visual distinction between measured results and proposed specifications. For care and education, show the human participant’s role before presenting technical dashboards.</w:t>
      </w:r>
    </w:p>
    <w:p>
      <w:pPr>
        <w:pStyle w:val="Heading1"/>
      </w:pPr>
      <w:r>
        <w:t>3. Per-platform messaging</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r>
              <w:rPr>
                <w:sz w:val="18"/>
              </w:rPr>
              <w:t>Platform / public framing</w:t>
            </w:r>
          </w:p>
        </w:tc>
        <w:tc>
          <w:tcPr>
            <w:tcW w:type="dxa" w:w="3360"/>
          </w:tcPr>
          <w:p>
            <w:r>
              <w:t>Implied audience (inference)</w:t>
            </w:r>
          </w:p>
        </w:tc>
        <w:tc>
          <w:tcPr>
            <w:tcW w:type="dxa" w:w="3360"/>
          </w:tcPr>
          <w:p>
            <w:r>
              <w:t>Benefit communicated (interpretation)</w:t>
            </w:r>
          </w:p>
        </w:tc>
      </w:tr>
      <w:tr>
        <w:trPr>
          <w:cantSplit/>
        </w:trPr>
        <w:tc>
          <w:tcPr>
            <w:tcW w:type="dxa" w:w="3360"/>
          </w:tcPr>
          <w:p>
            <w:r>
              <w:rPr>
                <w:sz w:val="18"/>
              </w:rPr>
              <w:t>Fari: care companionship; active development [I2]</w:t>
            </w:r>
          </w:p>
        </w:tc>
        <w:tc>
          <w:tcPr>
            <w:tcW w:type="dxa" w:w="3360"/>
          </w:tcPr>
          <w:p>
            <w:r>
              <w:rPr>
                <w:sz w:val="18"/>
              </w:rPr>
              <w:t>Care providers, older adults and families</w:t>
            </w:r>
          </w:p>
        </w:tc>
        <w:tc>
          <w:tcPr>
            <w:tcW w:type="dxa" w:w="3360"/>
          </w:tcPr>
          <w:p>
            <w:r>
              <w:rPr>
                <w:sz w:val="18"/>
              </w:rPr>
              <w:t>Reassurance and dignity; practical support for care.</w:t>
            </w:r>
          </w:p>
        </w:tc>
      </w:tr>
      <w:tr>
        <w:trPr>
          <w:cantSplit/>
        </w:trPr>
        <w:tc>
          <w:tcPr>
            <w:tcW w:type="dxa" w:w="3360"/>
          </w:tcPr>
          <w:p>
            <w:r>
              <w:rPr>
                <w:sz w:val="18"/>
              </w:rPr>
              <w:t>Senpai: adaptive, inclusive educational companion; development stage [I3]</w:t>
            </w:r>
          </w:p>
        </w:tc>
        <w:tc>
          <w:tcPr>
            <w:tcW w:type="dxa" w:w="3360"/>
          </w:tcPr>
          <w:p>
            <w:r>
              <w:rPr>
                <w:sz w:val="18"/>
              </w:rPr>
              <w:t>Teachers, school leaders, parents and learners</w:t>
            </w:r>
          </w:p>
        </w:tc>
        <w:tc>
          <w:tcPr>
            <w:tcW w:type="dxa" w:w="3360"/>
          </w:tcPr>
          <w:p>
            <w:r>
              <w:rPr>
                <w:sz w:val="18"/>
              </w:rPr>
              <w:t>Belonging and encouragement; personalized learning support.</w:t>
            </w:r>
          </w:p>
        </w:tc>
      </w:tr>
      <w:tr>
        <w:trPr>
          <w:cantSplit/>
        </w:trPr>
        <w:tc>
          <w:tcPr>
            <w:tcW w:type="dxa" w:w="3360"/>
          </w:tcPr>
          <w:p>
            <w:r>
              <w:rPr>
                <w:sz w:val="18"/>
              </w:rPr>
              <w:t>Aido Rover: outdoor patrol and inspection; research stage [I1]</w:t>
            </w:r>
          </w:p>
        </w:tc>
        <w:tc>
          <w:tcPr>
            <w:tcW w:type="dxa" w:w="3360"/>
          </w:tcPr>
          <w:p>
            <w:r>
              <w:rPr>
                <w:sz w:val="18"/>
              </w:rPr>
              <w:t>Facilities and security decision-makers</w:t>
            </w:r>
          </w:p>
        </w:tc>
        <w:tc>
          <w:tcPr>
            <w:tcW w:type="dxa" w:w="3360"/>
          </w:tcPr>
          <w:p>
            <w:r>
              <w:rPr>
                <w:sz w:val="18"/>
              </w:rPr>
              <w:t>Confidence in site coverage; reduced exposure to difficult tasks.</w:t>
            </w:r>
          </w:p>
        </w:tc>
      </w:tr>
      <w:tr>
        <w:trPr>
          <w:cantSplit/>
        </w:trPr>
        <w:tc>
          <w:tcPr>
            <w:tcW w:type="dxa" w:w="3360"/>
          </w:tcPr>
          <w:p>
            <w:r>
              <w:rPr>
                <w:sz w:val="18"/>
              </w:rPr>
              <w:t>Sentinel Prime AI: enterprise security intelligence [I1, I4]</w:t>
            </w:r>
          </w:p>
        </w:tc>
        <w:tc>
          <w:tcPr>
            <w:tcW w:type="dxa" w:w="3360"/>
          </w:tcPr>
          <w:p>
            <w:r>
              <w:rPr>
                <w:sz w:val="18"/>
              </w:rPr>
              <w:t>Security operations teams, buyers and technical evaluators</w:t>
            </w:r>
          </w:p>
        </w:tc>
        <w:tc>
          <w:tcPr>
            <w:tcW w:type="dxa" w:w="3360"/>
          </w:tcPr>
          <w:p>
            <w:r>
              <w:rPr>
                <w:sz w:val="18"/>
              </w:rPr>
              <w:t>Control and vigilance; more useful operational information.</w:t>
            </w:r>
          </w:p>
        </w:tc>
      </w:tr>
      <w:tr>
        <w:trPr>
          <w:cantSplit/>
        </w:trPr>
        <w:tc>
          <w:tcPr>
            <w:tcW w:type="dxa" w:w="3360"/>
          </w:tcPr>
          <w:p>
            <w:r>
              <w:rPr>
                <w:sz w:val="18"/>
              </w:rPr>
              <w:t>Aido Humanoid: longer-term robotics research [I1]</w:t>
            </w:r>
          </w:p>
        </w:tc>
        <w:tc>
          <w:tcPr>
            <w:tcW w:type="dxa" w:w="3360"/>
          </w:tcPr>
          <w:p>
            <w:r>
              <w:rPr>
                <w:sz w:val="18"/>
              </w:rPr>
              <w:t>Research partners and industrial innovation teams</w:t>
            </w:r>
          </w:p>
        </w:tc>
        <w:tc>
          <w:tcPr>
            <w:tcW w:type="dxa" w:w="3360"/>
          </w:tcPr>
          <w:p>
            <w:r>
              <w:rPr>
                <w:sz w:val="18"/>
              </w:rPr>
              <w:t>Possibility and technical ambition; future task flexibility.</w:t>
            </w:r>
          </w:p>
        </w:tc>
      </w:tr>
    </w:tbl>
    <w:p>
      <w:r>
        <w:t>Platform status matters: the corporate site’s operational Sentinel label and the detailed page’s development targets should be reconciled by version and capability [I1, I4]. Do not transfer an operational claim from one system to every proposed feature.</w:t>
      </w:r>
    </w:p>
    <w:p>
      <w:r>
        <w:br w:type="page"/>
      </w:r>
    </w:p>
    <w:p>
      <w:pPr>
        <w:pStyle w:val="Heading1"/>
      </w:pPr>
      <w:r>
        <w:t>4. Messaging gaps: answer the buyer’s actual question</w:t>
      </w:r>
    </w:p>
    <w:p>
      <w:r>
        <w:t>A gap means an answer is insufficiently clear or evidenced in the reviewed material; it does not prove that the company lacks a policy or capability. Priorities below are the author’s judgment, based on likely decision impact.</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r>
              <w:rPr>
                <w:sz w:val="18"/>
              </w:rPr>
              <w:t>Platform / audience question</w:t>
            </w:r>
          </w:p>
        </w:tc>
        <w:tc>
          <w:tcPr>
            <w:tcW w:type="dxa" w:w="3360"/>
          </w:tcPr>
          <w:p>
            <w:r>
              <w:rPr>
                <w:sz w:val="18"/>
              </w:rPr>
              <w:t>What is already addressed</w:t>
            </w:r>
          </w:p>
        </w:tc>
        <w:tc>
          <w:tcPr>
            <w:tcW w:type="dxa" w:w="3360"/>
          </w:tcPr>
          <w:p>
            <w:r>
              <w:rPr>
                <w:sz w:val="18"/>
              </w:rPr>
              <w:t>Specific next communication</w:t>
            </w:r>
          </w:p>
        </w:tc>
      </w:tr>
      <w:tr>
        <w:trPr>
          <w:cantSplit/>
        </w:trPr>
        <w:tc>
          <w:tcPr>
            <w:tcW w:type="dxa" w:w="3360"/>
          </w:tcPr>
          <w:p>
            <w:r>
              <w:rPr>
                <w:sz w:val="18"/>
              </w:rPr>
              <w:t>Fari: “What can my parent refuse, and who responds when help is needed?”</w:t>
            </w:r>
          </w:p>
        </w:tc>
        <w:tc>
          <w:tcPr>
            <w:tcW w:type="dxa" w:w="3360"/>
          </w:tcPr>
          <w:p>
            <w:r>
              <w:rPr>
                <w:sz w:val="18"/>
              </w:rPr>
              <w:t>Privacy and human authority are explicitly discussed as design intentions [I2].</w:t>
            </w:r>
          </w:p>
        </w:tc>
        <w:tc>
          <w:tcPr>
            <w:tcW w:type="dxa" w:w="3360"/>
          </w:tcPr>
          <w:p>
            <w:r>
              <w:rPr>
                <w:sz w:val="18"/>
              </w:rPr>
              <w:t>P1: Plain-language consent, refusal and escalation journey; distinguish target workflow from validated operation.</w:t>
            </w:r>
          </w:p>
        </w:tc>
      </w:tr>
      <w:tr>
        <w:trPr>
          <w:cantSplit/>
        </w:trPr>
        <w:tc>
          <w:tcPr>
            <w:tcW w:type="dxa" w:w="3360"/>
          </w:tcPr>
          <w:p>
            <w:r>
              <w:rPr>
                <w:sz w:val="18"/>
              </w:rPr>
              <w:t>Senpai: “How does this fit my lesson, and can I override it?”</w:t>
            </w:r>
          </w:p>
        </w:tc>
        <w:tc>
          <w:tcPr>
            <w:tcW w:type="dxa" w:w="3360"/>
          </w:tcPr>
          <w:p>
            <w:r>
              <w:rPr>
                <w:sz w:val="18"/>
              </w:rPr>
              <w:t>Teacher authority and inclusion appear in the planned design [I3].</w:t>
            </w:r>
          </w:p>
        </w:tc>
        <w:tc>
          <w:tcPr>
            <w:tcW w:type="dxa" w:w="3360"/>
          </w:tcPr>
          <w:p>
            <w:r>
              <w:rPr>
                <w:sz w:val="18"/>
              </w:rPr>
              <w:t>P1: A teacher-led lesson scenario, setup requirements and an evaluation plan; label demonstrations honestly.</w:t>
            </w:r>
          </w:p>
        </w:tc>
      </w:tr>
      <w:tr>
        <w:trPr>
          <w:cantSplit/>
        </w:trPr>
        <w:tc>
          <w:tcPr>
            <w:tcW w:type="dxa" w:w="3360"/>
          </w:tcPr>
          <w:p>
            <w:r>
              <w:rPr>
                <w:sz w:val="18"/>
              </w:rPr>
              <w:t>Rover: “Will this replace officers, and what happens when it cannot act?”</w:t>
            </w:r>
          </w:p>
        </w:tc>
        <w:tc>
          <w:tcPr>
            <w:tcW w:type="dxa" w:w="3360"/>
          </w:tcPr>
          <w:p>
            <w:r>
              <w:rPr>
                <w:sz w:val="18"/>
              </w:rPr>
              <w:t>Patrol/inspection use cases are described [I1].</w:t>
            </w:r>
          </w:p>
        </w:tc>
        <w:tc>
          <w:tcPr>
            <w:tcW w:type="dxa" w:w="3360"/>
          </w:tcPr>
          <w:p>
            <w:r>
              <w:rPr>
                <w:sz w:val="18"/>
              </w:rPr>
              <w:t>P1: Human–robot responsibility map, escalation ownership and operating boundaries; avoid unsupported staffing savings.</w:t>
            </w:r>
          </w:p>
        </w:tc>
      </w:tr>
      <w:tr>
        <w:trPr>
          <w:cantSplit/>
        </w:trPr>
        <w:tc>
          <w:tcPr>
            <w:tcW w:type="dxa" w:w="3360"/>
          </w:tcPr>
          <w:p>
            <w:r>
              <w:rPr>
                <w:sz w:val="18"/>
              </w:rPr>
              <w:t>Sentinel: “Which functions are operational in the version I am buying?”</w:t>
            </w:r>
          </w:p>
        </w:tc>
        <w:tc>
          <w:tcPr>
            <w:tcW w:type="dxa" w:w="3360"/>
          </w:tcPr>
          <w:p>
            <w:r>
              <w:rPr>
                <w:sz w:val="18"/>
              </w:rPr>
              <w:t>Detailed engineering targets and governance concepts are provided [I4].</w:t>
            </w:r>
          </w:p>
        </w:tc>
        <w:tc>
          <w:tcPr>
            <w:tcW w:type="dxa" w:w="3360"/>
          </w:tcPr>
          <w:p>
            <w:r>
              <w:rPr>
                <w:sz w:val="18"/>
              </w:rPr>
              <w:t>P1: Versioned capability sheet: available, in pilot, planned; attach test conditions and dated evidence.</w:t>
            </w:r>
          </w:p>
        </w:tc>
      </w:tr>
      <w:tr>
        <w:trPr>
          <w:cantSplit/>
        </w:trPr>
        <w:tc>
          <w:tcPr>
            <w:tcW w:type="dxa" w:w="3360"/>
          </w:tcPr>
          <w:p>
            <w:r>
              <w:rPr>
                <w:sz w:val="18"/>
              </w:rPr>
              <w:t>Humanoid: “What task has actually been shown, and what remains research?”</w:t>
            </w:r>
          </w:p>
        </w:tc>
        <w:tc>
          <w:tcPr>
            <w:tcW w:type="dxa" w:w="3360"/>
          </w:tcPr>
          <w:p>
            <w:r>
              <w:rPr>
                <w:sz w:val="18"/>
              </w:rPr>
              <w:t>Research-stage positioning is visible [I1].</w:t>
            </w:r>
          </w:p>
        </w:tc>
        <w:tc>
          <w:tcPr>
            <w:tcW w:type="dxa" w:w="3360"/>
          </w:tcPr>
          <w:p>
            <w:r>
              <w:rPr>
                <w:sz w:val="18"/>
              </w:rPr>
              <w:t>P2: Dated task demonstrations and explicit research milestones; invite research collaboration rather than imply near-term delivery.</w:t>
            </w:r>
          </w:p>
        </w:tc>
      </w:tr>
    </w:tbl>
    <w:p>
      <w:pPr>
        <w:pStyle w:val="Heading1"/>
      </w:pPr>
      <w:r>
        <w:t>5. Brand personality profile</w:t>
      </w:r>
    </w:p>
    <w:p>
      <w:r>
        <w:t>If InGen were a person, it would be an ambitious engineer-educator who wants to explain how technology can improve everyday life. The reviewed founder story contributes optimism and scale; the product pages contribute technical intensity. This is a qualitative reading of communication, not a psychometric assessment [I1–I5].</w:t>
      </w:r>
    </w:p>
    <w:p>
      <w:r>
        <w:t>The strength is purposeful ambition. The risk is speaking like an expert presenting to other experts when a caregiver or teacher needs a simple answer. A stronger expression would be a patient, accountable guide: curious about the user’s context, precise about uncertainty and comfortable saying what has not yet been demonstrated.</w:t>
      </w:r>
    </w:p>
    <w:p>
      <w:r>
        <w:t>Recommended voice rule: explain the person’s task first; use one technical term only when it helps a decision; attach evidence to consequential claims; finish with an appropriate next action. A research-stage product should invite an evaluation conversation, not imply immediate purchase readiness.</w:t>
      </w:r>
    </w:p>
    <w:p>
      <w:r>
        <w:br w:type="page"/>
      </w:r>
    </w:p>
    <w:p>
      <w:pPr>
        <w:pStyle w:val="Heading1"/>
      </w:pPr>
      <w:r>
        <w:t>6. Channel presence and audience fit</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tcPr>
          <w:p>
            <w:r>
              <w:rPr>
                <w:sz w:val="18"/>
              </w:rPr>
              <w:t>Channel / evidence</w:t>
            </w:r>
          </w:p>
        </w:tc>
        <w:tc>
          <w:tcPr>
            <w:tcW w:type="dxa" w:w="3360"/>
          </w:tcPr>
          <w:p>
            <w:r>
              <w:rPr>
                <w:sz w:val="18"/>
              </w:rPr>
              <w:t>What can be concluded</w:t>
            </w:r>
          </w:p>
        </w:tc>
        <w:tc>
          <w:tcPr>
            <w:tcW w:type="dxa" w:w="3360"/>
          </w:tcPr>
          <w:p>
            <w:r>
              <w:rPr>
                <w:sz w:val="18"/>
              </w:rPr>
              <w:t>Opportunity</w:t>
            </w:r>
          </w:p>
        </w:tc>
      </w:tr>
      <w:tr>
        <w:trPr>
          <w:cantSplit/>
        </w:trPr>
        <w:tc>
          <w:tcPr>
            <w:tcW w:type="dxa" w:w="3360"/>
          </w:tcPr>
          <w:p>
            <w:r>
              <w:rPr>
                <w:sz w:val="18"/>
              </w:rPr>
              <w:t>Corporate and product websites [I1–I4]</w:t>
            </w:r>
          </w:p>
        </w:tc>
        <w:tc>
          <w:tcPr>
            <w:tcW w:type="dxa" w:w="3360"/>
          </w:tcPr>
          <w:p>
            <w:r>
              <w:rPr>
                <w:sz w:val="18"/>
              </w:rPr>
              <w:t>Public material is available and detailed.</w:t>
            </w:r>
          </w:p>
        </w:tc>
        <w:tc>
          <w:tcPr>
            <w:tcW w:type="dxa" w:w="3360"/>
          </w:tcPr>
          <w:p>
            <w:r>
              <w:rPr>
                <w:sz w:val="18"/>
              </w:rPr>
              <w:t>Build separate routes for families, educators, security buyers and research partners.</w:t>
            </w:r>
          </w:p>
        </w:tc>
      </w:tr>
      <w:tr>
        <w:trPr>
          <w:cantSplit/>
        </w:trPr>
        <w:tc>
          <w:tcPr>
            <w:tcW w:type="dxa" w:w="3360"/>
          </w:tcPr>
          <w:p>
            <w:r>
              <w:rPr>
                <w:sz w:val="18"/>
              </w:rPr>
              <w:t>LinkedIn link [I1]</w:t>
            </w:r>
          </w:p>
        </w:tc>
        <w:tc>
          <w:tcPr>
            <w:tcW w:type="dxa" w:w="3360"/>
          </w:tcPr>
          <w:p>
            <w:r>
              <w:rPr>
                <w:sz w:val="18"/>
              </w:rPr>
              <w:t>Presence is signposted; post activity and engagement were not verified.</w:t>
            </w:r>
          </w:p>
        </w:tc>
        <w:tc>
          <w:tcPr>
            <w:tcW w:type="dxa" w:w="3360"/>
          </w:tcPr>
          <w:p>
            <w:r>
              <w:rPr>
                <w:sz w:val="18"/>
              </w:rPr>
              <w:t>Audit recent posts before setting a cadence; test evidence-led B2B explainers.</w:t>
            </w:r>
          </w:p>
        </w:tc>
      </w:tr>
      <w:tr>
        <w:trPr>
          <w:cantSplit/>
        </w:trPr>
        <w:tc>
          <w:tcPr>
            <w:tcW w:type="dxa" w:w="3360"/>
          </w:tcPr>
          <w:p>
            <w:r>
              <w:rPr>
                <w:sz w:val="18"/>
              </w:rPr>
              <w:t>Vimeo links / embeds [I1–I3]</w:t>
            </w:r>
          </w:p>
        </w:tc>
        <w:tc>
          <w:tcPr>
            <w:tcW w:type="dxa" w:w="3360"/>
          </w:tcPr>
          <w:p>
            <w:r>
              <w:rPr>
                <w:sz w:val="18"/>
              </w:rPr>
              <w:t>Video is a visible distribution format; views and recency were not measured.</w:t>
            </w:r>
          </w:p>
        </w:tc>
        <w:tc>
          <w:tcPr>
            <w:tcW w:type="dxa" w:w="3360"/>
          </w:tcPr>
          <w:p>
            <w:r>
              <w:rPr>
                <w:sz w:val="18"/>
              </w:rPr>
              <w:t>Use short, captioned demonstrations with a named human role and a status label.</w:t>
            </w:r>
          </w:p>
        </w:tc>
      </w:tr>
      <w:tr>
        <w:trPr>
          <w:cantSplit/>
        </w:trPr>
        <w:tc>
          <w:tcPr>
            <w:tcW w:type="dxa" w:w="3360"/>
          </w:tcPr>
          <w:p>
            <w:r>
              <w:rPr>
                <w:sz w:val="18"/>
              </w:rPr>
              <w:t>Media feature [I5]</w:t>
            </w:r>
          </w:p>
        </w:tc>
        <w:tc>
          <w:tcPr>
            <w:tcW w:type="dxa" w:w="3360"/>
          </w:tcPr>
          <w:p>
            <w:r>
              <w:rPr>
                <w:sz w:val="18"/>
              </w:rPr>
              <w:t>Published founder/company visibility exists.</w:t>
            </w:r>
          </w:p>
        </w:tc>
        <w:tc>
          <w:tcPr>
            <w:tcW w:type="dxa" w:w="3360"/>
          </w:tcPr>
          <w:p>
            <w:r>
              <w:rPr>
                <w:sz w:val="18"/>
              </w:rPr>
              <w:t>Balance ambition stories with product-specific evidence and buyer FAQs.</w:t>
            </w:r>
          </w:p>
        </w:tc>
      </w:tr>
      <w:tr>
        <w:trPr>
          <w:cantSplit/>
        </w:trPr>
        <w:tc>
          <w:tcPr>
            <w:tcW w:type="dxa" w:w="3360"/>
          </w:tcPr>
          <w:p>
            <w:r>
              <w:rPr>
                <w:sz w:val="18"/>
              </w:rPr>
              <w:t>University news [I6]</w:t>
            </w:r>
          </w:p>
        </w:tc>
        <w:tc>
          <w:tcPr>
            <w:tcW w:type="dxa" w:w="3360"/>
          </w:tcPr>
          <w:p>
            <w:r>
              <w:rPr>
                <w:sz w:val="18"/>
              </w:rPr>
              <w:t>An institutional collaboration announcement exists.</w:t>
            </w:r>
          </w:p>
        </w:tc>
        <w:tc>
          <w:tcPr>
            <w:tcW w:type="dxa" w:w="3360"/>
          </w:tcPr>
          <w:p>
            <w:r>
              <w:rPr>
                <w:sz w:val="18"/>
              </w:rPr>
              <w:t>Publish concrete joint milestones when approved and achieved.</w:t>
            </w:r>
          </w:p>
        </w:tc>
      </w:tr>
      <w:tr>
        <w:trPr>
          <w:cantSplit/>
        </w:trPr>
        <w:tc>
          <w:tcPr>
            <w:tcW w:type="dxa" w:w="3360"/>
          </w:tcPr>
          <w:p>
            <w:r>
              <w:rPr>
                <w:sz w:val="18"/>
              </w:rPr>
              <w:t>Instagram, YouTube, Xiaohongshu, WeChat</w:t>
            </w:r>
          </w:p>
        </w:tc>
        <w:tc>
          <w:tcPr>
            <w:tcW w:type="dxa" w:w="3360"/>
          </w:tcPr>
          <w:p>
            <w:r>
              <w:rPr>
                <w:sz w:val="18"/>
              </w:rPr>
              <w:t>No verified account/activity audit in this review; absence is not established.</w:t>
            </w:r>
          </w:p>
        </w:tc>
        <w:tc>
          <w:tcPr>
            <w:tcW w:type="dxa" w:w="3360"/>
          </w:tcPr>
          <w:p>
            <w:r>
              <w:rPr>
                <w:sz w:val="18"/>
              </w:rPr>
              <w:t>Map audience demand and existing accounts before creating new channels.</w:t>
            </w:r>
          </w:p>
        </w:tc>
      </w:tr>
    </w:tbl>
    <w:p>
      <w:pPr>
        <w:pStyle w:val="Heading1"/>
      </w:pPr>
      <w:r>
        <w:t>Recommended order of work</w:t>
      </w:r>
    </w:p>
    <w:p>
      <w:r>
        <w:t>First, create a shared claim register: exact statement, product/version, public source, status, evidence owner and review date. Resolve status ambiguity before expanding reach. Second, produce one plain-language trust FAQ for Fari and one role-and-escalation diagram for security. Third, adapt approved evidence into short video and LinkedIn formats. These are recommended next steps, not work already completed.</w:t>
      </w:r>
    </w:p>
    <w:p>
      <w:r>
        <w:t>Use practical validation measures: can a reader correctly identify the product stage, explain the human’s role and choose the right next step? Track qualified inquiries separately from impressions. No baseline, conversion target or measured customer response is claimed in this audit.</w:t>
      </w:r>
    </w:p>
    <w:p>
      <w:pPr>
        <w:pStyle w:val="Heading1"/>
      </w:pPr>
      <w:r>
        <w:t>Connection to the competitive landscape</w:t>
      </w:r>
    </w:p>
    <w:p>
      <w:r>
        <w:t>Warmth, human augmentation and broad robotics capability already appear in competitor communication. The companion analysis therefore proposes “Human-led physical AI, with proof at every handoff” as a focused territory to test. InGen would need to earn it through understandable controls, clear limitations and product-specific evidence. It should not advertise an exclusive advantage before comparative validation.</w:t>
      </w:r>
    </w:p>
    <w:p>
      <w:r>
        <w:br w:type="page"/>
      </w:r>
    </w:p>
    <w:p>
      <w:pPr>
        <w:pStyle w:val="Heading1"/>
      </w:pPr>
      <w:r>
        <w:t>Sources &amp; research boundaries</w:t>
      </w:r>
    </w:p>
    <w:p>
      <w:r>
        <w:t>Public sources reviewed September 28, 2026. Bracketed IDs connect observations to sources. Corporate statements are evidence of brand communication, not independent confirmation of product performance. Interpretations and proposed actions are the author’s analysis. Product status, palette and typography entries report what the cited public pages state as of the review date; they are not independent certification. No revenue, funding, market-size, accuracy, adoption or performance statistics are used as established facts. Audience and benefit classifications are analytical interpretations. No claims of first-hand interviews, customer testing or completed experiments are made.</w:t>
      </w:r>
    </w:p>
    <w:p>
      <w:r>
        <w:t>[I1] InGen Dynamics. Corporate website: positioning, product portfolio and channel links.</w:t>
        <w:br/>
        <w:t>https://www.ingendynamics.com/</w:t>
      </w:r>
    </w:p>
    <w:p>
      <w:r>
        <w:t>[I2] InGen Dynamics. Fari: product, engineering and UX/UI sections.</w:t>
        <w:br/>
        <w:t>https://www.ingendynamics.com/fari.html</w:t>
      </w:r>
    </w:p>
    <w:p>
      <w:r>
        <w:t>[I3] InGen Dynamics. Senpai: overview, inclusion and design system.</w:t>
        <w:br/>
        <w:t>https://www.ingendynamics.com/senpai.html</w:t>
      </w:r>
    </w:p>
    <w:p>
      <w:r>
        <w:t>[I4] InGen Dynamics. Sentinel Prime AI: engineering and design system.</w:t>
        <w:br/>
        <w:t>https://www.ingendynamics.com/sentinel.html</w:t>
      </w:r>
    </w:p>
    <w:p>
      <w:r>
        <w:t>[I5] Rampuria, S. (2024, February 15). Shaping the Future with AI and Robotics Innovation. Entrepreneur India. Contributor feature; not an independent product test.</w:t>
        <w:br/>
        <w:t>https://india.entrepreneur.com/technology/shaping-the-future-with-ai-and-robotics-innovation/469783</w:t>
      </w:r>
    </w:p>
    <w:p>
      <w:r>
        <w:t>[I6] University of Manchester. (2025, April 10). The University of Manchester to collaborate with leading innovator in AI-driven automation and robotics.</w:t>
        <w:br/>
        <w:t>https://www.manchester.ac.uk/about/news/the-university-of-manchester-to-collaborate-with-leading-innovator-in-ai-driven-automation-and-robotics/</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Xuan Li  •  Week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INGEN DYNAMICS  /  MARKETING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5B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5B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