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8DE95" w14:textId="3F92443B" w:rsidR="000B181A" w:rsidRPr="000B181A" w:rsidRDefault="000B181A" w:rsidP="000B181A">
      <w:pPr>
        <w:widowControl/>
        <w:spacing w:before="100" w:beforeAutospacing="1" w:after="100" w:afterAutospacing="1" w:line="240" w:lineRule="auto"/>
        <w:outlineLvl w:val="0"/>
        <w:rPr>
          <w:rFonts w:asciiTheme="majorBidi" w:eastAsia="宋体" w:hAnsiTheme="majorBidi" w:cstheme="majorBidi"/>
          <w:kern w:val="0"/>
          <w:sz w:val="24"/>
          <w14:ligatures w14:val="none"/>
        </w:rPr>
      </w:pPr>
      <w:r w:rsidRPr="000B181A">
        <w:rPr>
          <w:rFonts w:asciiTheme="majorBidi" w:eastAsia="宋体" w:hAnsiTheme="majorBidi" w:cstheme="majorBidi"/>
          <w:b/>
          <w:bCs/>
          <w:kern w:val="36"/>
          <w:sz w:val="48"/>
          <w:szCs w:val="48"/>
          <w14:ligatures w14:val="none"/>
        </w:rPr>
        <w:t>Week 1 Log — Xuan Li</w:t>
      </w:r>
    </w:p>
    <w:p w14:paraId="75BFF10A" w14:textId="77777777" w:rsidR="000B181A" w:rsidRPr="000B181A" w:rsidRDefault="000B181A" w:rsidP="000B181A">
      <w:pPr>
        <w:widowControl/>
        <w:spacing w:before="100" w:beforeAutospacing="1" w:after="100" w:afterAutospacing="1" w:line="240" w:lineRule="auto"/>
        <w:rPr>
          <w:rFonts w:asciiTheme="majorBidi" w:eastAsia="宋体" w:hAnsiTheme="majorBidi" w:cstheme="majorBidi"/>
          <w:kern w:val="0"/>
          <w:sz w:val="24"/>
          <w14:ligatures w14:val="none"/>
        </w:rPr>
      </w:pPr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 xml:space="preserve">The most significant opportunity I identified for </w:t>
      </w:r>
      <w:proofErr w:type="spellStart"/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>InGen</w:t>
      </w:r>
      <w:proofErr w:type="spellEnd"/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 xml:space="preserve"> is to make human control visible and understandable across its product communication. I describe this proposed territory as “Human-led physical AI, with proof at every handoff.” Rather than promise that a robot is simply intelligent or caring, the brand should explain who makes decisions, when a person takes over, and what evidence supports each capability.</w:t>
      </w:r>
    </w:p>
    <w:p w14:paraId="5F8EF096" w14:textId="77777777" w:rsidR="000B181A" w:rsidRPr="000B181A" w:rsidRDefault="000B181A" w:rsidP="000B181A">
      <w:pPr>
        <w:widowControl/>
        <w:spacing w:before="100" w:beforeAutospacing="1" w:after="100" w:afterAutospacing="1" w:line="240" w:lineRule="auto"/>
        <w:rPr>
          <w:rFonts w:asciiTheme="majorBidi" w:eastAsia="宋体" w:hAnsiTheme="majorBidi" w:cstheme="majorBidi"/>
          <w:kern w:val="0"/>
          <w:sz w:val="24"/>
          <w14:ligatures w14:val="none"/>
        </w:rPr>
      </w:pPr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>The competitive review helped narrow this idea. ElliQ already emphasizes companionship and connection, so warmth alone is not an open position [C2]. Knightscope communicates accountability and human augmentation in security, making those themes competitive rather than unique [C1]. Boston Dynamics connects robotics to practical work and provides demonstrations and implementation resources [C3]. UBTECH’s broad portfolio means that serving multiple sectors is also insufficient as a standalone distinction [C4]. SoftBank Robotics adds another useful benchmark: customers need help realizing value from robots, not just understanding their technical novelty [C6].</w:t>
      </w:r>
    </w:p>
    <w:p w14:paraId="09B0902C" w14:textId="77777777" w:rsidR="000B181A" w:rsidRPr="000B181A" w:rsidRDefault="000B181A" w:rsidP="000B181A">
      <w:pPr>
        <w:widowControl/>
        <w:spacing w:before="100" w:beforeAutospacing="1" w:after="100" w:afterAutospacing="1" w:line="240" w:lineRule="auto"/>
        <w:rPr>
          <w:rFonts w:asciiTheme="majorBidi" w:eastAsia="宋体" w:hAnsiTheme="majorBidi" w:cstheme="majorBidi"/>
          <w:kern w:val="0"/>
          <w:sz w:val="24"/>
          <w14:ligatures w14:val="none"/>
        </w:rPr>
      </w:pPr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 xml:space="preserve">Moxie was useful as a historical comparison, particularly for Senpai. Its research framing connected a companion robot with social and emotional learning [C5]. Reporting on </w:t>
      </w:r>
      <w:proofErr w:type="spellStart"/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>Embodied’s</w:t>
      </w:r>
      <w:proofErr w:type="spellEnd"/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 xml:space="preserve"> 2024 shutdown raised a different brand question: what happens to a relationship-oriented product when its supporting service changes [C7]? I treated this as a continuity lesson, not as evidence of Moxie’s current operating status.</w:t>
      </w:r>
    </w:p>
    <w:p w14:paraId="5597AE1E" w14:textId="77777777" w:rsidR="000B181A" w:rsidRPr="000B181A" w:rsidRDefault="000B181A" w:rsidP="000B181A">
      <w:pPr>
        <w:widowControl/>
        <w:spacing w:before="100" w:beforeAutospacing="1" w:after="100" w:afterAutospacing="1" w:line="240" w:lineRule="auto"/>
        <w:rPr>
          <w:rFonts w:asciiTheme="majorBidi" w:eastAsia="宋体" w:hAnsiTheme="majorBidi" w:cstheme="majorBidi"/>
          <w:kern w:val="0"/>
          <w:sz w:val="24"/>
          <w14:ligatures w14:val="none"/>
        </w:rPr>
      </w:pPr>
      <w:proofErr w:type="spellStart"/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>InGen</w:t>
      </w:r>
      <w:proofErr w:type="spellEnd"/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 xml:space="preserve"> already has a foundation for the proposed direction. Its detailed product materials discuss human authority and governance [I2–I4]. The communication opportunity is to translate these ideas into a simple evaluation experience. For example, a reader should be able to identify the product’s development stage, understand the human role, and distinguish a design target from a demonstrated result. This would connect the brand’s ambition with a more concrete basis for trust.</w:t>
      </w:r>
    </w:p>
    <w:p w14:paraId="36FF8F56" w14:textId="77777777" w:rsidR="000B181A" w:rsidRPr="000B181A" w:rsidRDefault="000B181A" w:rsidP="000B181A">
      <w:pPr>
        <w:widowControl/>
        <w:spacing w:before="100" w:beforeAutospacing="1" w:after="100" w:afterAutospacing="1" w:line="240" w:lineRule="auto"/>
        <w:rPr>
          <w:rFonts w:asciiTheme="majorBidi" w:eastAsia="宋体" w:hAnsiTheme="majorBidi" w:cstheme="majorBidi"/>
          <w:kern w:val="0"/>
          <w:sz w:val="24"/>
          <w14:ligatures w14:val="none"/>
        </w:rPr>
      </w:pPr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>I would begin with a short Fari trust guide and a consistent evidence format across the five platforms. Each capability should identify its status, supporting source, limits, and human escalation path. For Senpai, the same approach should explain the teacher’s role; for Rover and Sentinel, it should explain operational responsibility. Humanoid communication should distinguish research milestones from commercial readiness.</w:t>
      </w:r>
    </w:p>
    <w:p w14:paraId="052AB94D" w14:textId="77777777" w:rsidR="000B181A" w:rsidRPr="000B181A" w:rsidRDefault="000B181A" w:rsidP="000B181A">
      <w:pPr>
        <w:widowControl/>
        <w:spacing w:before="100" w:beforeAutospacing="1" w:after="100" w:afterAutospacing="1" w:line="240" w:lineRule="auto"/>
        <w:rPr>
          <w:rFonts w:asciiTheme="majorBidi" w:eastAsia="宋体" w:hAnsiTheme="majorBidi" w:cstheme="majorBidi"/>
          <w:kern w:val="0"/>
          <w:sz w:val="24"/>
          <w14:ligatures w14:val="none"/>
        </w:rPr>
      </w:pPr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t xml:space="preserve">This is a positioning hypothesis, not a proven claim that no competitor occupies the territory. My next step would be to test whether potential evaluators understand the proposed material better than a feature-led alternative. The goal is not to sound more </w:t>
      </w:r>
      <w:r w:rsidRPr="000B181A">
        <w:rPr>
          <w:rFonts w:asciiTheme="majorBidi" w:eastAsia="宋体" w:hAnsiTheme="majorBidi" w:cstheme="majorBidi"/>
          <w:kern w:val="0"/>
          <w:sz w:val="24"/>
          <w14:ligatures w14:val="none"/>
        </w:rPr>
        <w:lastRenderedPageBreak/>
        <w:t>reassuring without evidence, but to make the evidence and the person’s control easier to evaluate.</w:t>
      </w:r>
    </w:p>
    <w:p w14:paraId="3FC6BD5C" w14:textId="77777777" w:rsidR="000B181A" w:rsidRPr="000B181A" w:rsidRDefault="000B181A">
      <w:pPr>
        <w:rPr>
          <w:rFonts w:asciiTheme="majorBidi" w:hAnsiTheme="majorBidi" w:cstheme="majorBidi"/>
        </w:rPr>
      </w:pPr>
    </w:p>
    <w:sectPr w:rsidR="000B181A" w:rsidRPr="000B1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1A"/>
    <w:rsid w:val="000B181A"/>
    <w:rsid w:val="0044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D6BF4"/>
  <w15:chartTrackingRefBased/>
  <w15:docId w15:val="{03155AC5-36AB-C847-8F77-23D55A14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18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8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8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8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8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8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8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8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18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1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1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18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18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18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18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18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18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18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8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18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18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8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18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1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18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181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B181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Li</dc:creator>
  <cp:keywords/>
  <dc:description/>
  <cp:lastModifiedBy>Xuan Li</cp:lastModifiedBy>
  <cp:revision>1</cp:revision>
  <dcterms:created xsi:type="dcterms:W3CDTF">2026-09-28T07:35:00Z</dcterms:created>
  <dcterms:modified xsi:type="dcterms:W3CDTF">2026-09-28T07:35:00Z</dcterms:modified>
</cp:coreProperties>
</file>