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Карта документации ChatAVG v2.0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Новый перечень документов и правила смысловой иерархии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Почему документацию нужно пересобрать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 xml:space="preserve">Проект ChatAVG уже живёт как функциональная реализация. Поэтому новая документация не должна выглядеть как абстрактный план будущего продукта. Она должна выполнять другую функцию: </w:t>
      </w:r>
      <w:r>
        <w:rPr>
          <w:rFonts w:ascii="DejaVu Sans" w:hAnsi="DejaVu Sans" w:eastAsia="DejaVu Sans"/>
          <w:b/>
          <w:sz w:val="20"/>
        </w:rPr>
        <w:t>сохранить точность смыслов Эзоагностики реальности и удержать реализацию от подмены подхода набором AI-функций</w:t>
      </w:r>
      <w:r>
        <w:rPr>
          <w:rFonts w:ascii="DejaVu Sans" w:hAnsi="DejaVu Sans" w:eastAsia="DejaVu Sans"/>
          <w:b w:val="0"/>
          <w:sz w:val="20"/>
        </w:rPr>
        <w:t>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Главная ошибка прежней рамки — слишком раннее помещение архитектуры в центр. Mission Engine, Role Engine, Forge, Conflict Cards и Artifact Workspace важны, но они являются техническими органами. Сердце проекта — не агентная архитектура, а способ работы с человеком и реальностью, построенный на адекватности, области определения, различении уровней и осторожности языка.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Новая иерархия документации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Сначала ЭР как смысловая основа. Затем метод работы с человеком и реальностью. Затем продуктовая форма. Только после этого — архитектура, данные, роли и интеграции.</w:t>
            </w:r>
          </w:p>
        </w:tc>
      </w:tr>
    </w:tbl>
    <w:p/>
    <w:p>
      <w:pPr>
        <w:pStyle w:val="Heading1"/>
        <w:spacing w:before="160" w:after="80"/>
      </w:pPr>
      <w:r>
        <w:t>2. Канонический перечень документов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№</w:t>
            </w:r>
          </w:p>
        </w:tc>
        <w:tc>
          <w:tcPr>
            <w:tcW w:type="dxa" w:w="252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Документ</w:t>
            </w:r>
          </w:p>
        </w:tc>
        <w:tc>
          <w:tcPr>
            <w:tcW w:type="dxa" w:w="252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Назначение</w:t>
            </w:r>
          </w:p>
        </w:tc>
        <w:tc>
          <w:tcPr>
            <w:tcW w:type="dxa" w:w="252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Статус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Карта документации ChatAVG v2.0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Объясняет новую структуру и правила чтения пакета.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Новый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01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Смысловое ядро: Эзоагностика реальности для ChatAVG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Фиксирует, какие смыслы ЭР являются обязательными и не подлежат упрощению до UX-метафор.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Канонический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02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Концепция проекта ChatAVG v2.0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Пересобирает миссию проекта вокруг ЭР, а не вокруг чата, агентов или документов.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Замена прежнего Mission Concept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03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Метод работы ChatAVG с человеком и реальностью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Описывает практический цикл: от ситуации к различению, развилке, артефакту и действию.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Новый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Adequacy Engine v2.0: смысловая спецификация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Переводит ЭР-принципы в структуры данных и процедуры без псевдо-диагностики.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Новый / замена упрощённой карты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05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Архитектурная реализация ChatAVG v2.0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Показывает, как функциональная реализация должна служить ЭР-методу.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Замена Architecture Concept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06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Глоссарий и языковые ограждения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Фиксирует рабочие определения и запреты на опасные формулировки.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Новый</w:t>
            </w:r>
          </w:p>
        </w:tc>
      </w:tr>
    </w:tbl>
    <w:p/>
    <w:p>
      <w:pPr>
        <w:pStyle w:val="Heading1"/>
        <w:spacing w:before="160" w:after="80"/>
      </w:pPr>
      <w:r>
        <w:t>3. Документы второго кольца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Следующий уровень документации нужен не сразу, но его стоит заложить как будущий контур качества.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UX Guide: как показывать пользователю адекватность без перегруза и без позиции «система знает лучше».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Safety and Ethics: границы между ЭР-поддержкой, психологической помощью, диагностикой, терапией и духовным наставничеством.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Evals Corpus: набор кейсов, на которых проверяется, уменьшает ли ChatAVG искажения, а не просто пишет убедительнее.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Prompt and Role Library: библиотека ролей мышления с обязательным протоколом области определения.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Community / Общность Protocol: правила внешней сверки, если в проекте появится социальный контур проверки.</w:t>
      </w:r>
    </w:p>
    <w:p>
      <w:pPr>
        <w:pStyle w:val="Heading1"/>
        <w:spacing w:before="160" w:after="80"/>
      </w:pPr>
      <w:r>
        <w:t>4. Правило чтения пакета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Документы нужно читать не как независимые презентации, а как вложенную систему. Документ 01 задаёт смысловые пределы. Документ 02 формулирует проект. Документ 03 показывает метод работы. Документ 04 переводит метод в функциональные структуры. Документ 05 показывает архитектурную реализацию. Документ 06 защищает язык от деградации.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Нельзя менять архитектуру, если это разрушает смысловые ограничения документа 01.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Нельзя добавлять UX-фичу, если она создаёт у пользователя иллюзию, что система знает его «истину» или «сущность».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Нельзя вводить метрику, если она делает непроверяемое похожим на объективную оценку.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Нельзя использовать ЭР-термины как декоративные названия для обычных AI-функций.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Каждая роль, карта и рекомендация должны сохранять различие между фактом, интерпретацией, переживанием, гипотезой и выбором.</w:t>
      </w:r>
    </w:p>
    <w:p>
      <w:pPr>
        <w:pStyle w:val="Heading1"/>
        <w:spacing w:before="160" w:after="80"/>
      </w:pPr>
      <w:r>
        <w:t>5. Что изменилось относительно прежних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Было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Становится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ChatAVG как Mission Room для создания адекватных артефактов.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ChatAVG как среда практического применения ЭР, где артефакт является следом работы с реальностью.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Adequacy Engine как слой facts / assumptions / distortions.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Adequacy Engine как протокол минимизации искажений с областью определения, картой уровней и языковыми ограничителями.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Role Engine как набор интеллектуальных ролей.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Role Engine как дисциплинированные перспективы, каждая из которых обязана удерживать ЭР-границы.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Architecture-first roadmap.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Meaning-first документация: архитектура является способом реализации, а не источником смысла.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Метрики вроде trajectory alignment как соблазнительный score.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Осторожная траекторная проверка как набор вопросов и наблюдаемых паттернов, без претензии на знание сущности человека.</w:t>
            </w:r>
          </w:p>
        </w:tc>
      </w:tr>
    </w:tbl>
    <w:p/>
    <w:p>
      <w:pPr>
        <w:pStyle w:val="Heading1"/>
        <w:spacing w:before="160" w:after="80"/>
      </w:pPr>
      <w:r>
        <w:t>6. Версионирование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Документы смыслового ядра должны иметь более высокий статус, чем продуктовые и технические документы. Если архитектура меняется, но смысловой протокол ЭР остаётся прежним, повышается версия архитектурного документа. Если меняется понимание адекватности, области определения, Глубины, траектории или Общности, пересматривается весь пакет.</w:t>
      </w:r>
    </w:p>
    <w:p>
      <w:pPr>
        <w:pStyle w:val="Heading1"/>
        <w:spacing w:before="160" w:after="80"/>
      </w:pPr>
      <w:r>
        <w:t>7. Практическое решение по пакету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Этот пакет нужно считать новой концептуальной базой проекта. Прежние документы не отменяются как история развития, но перестают быть верхним уровнем управления смыслом. Новая точка сборки: ЭР задаёт критерии точности, метод задаёт рабочий процесс, продуктовая концепция задаёт форму взаимодействия, архитектура обеспечивает исполнение.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дальнейшем любые изменения следует вносить через связку: сначала уточнить смысл в документе 01 или 06, затем обновить метод в документе 03, после этого — функциональную спецификацию Adequacy Engine и только затем архитектуру.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Любое развитие ChatAVG должно проходить вопрос: увеличивает ли это точность соприкосновения с реальностью или только делает продукт сильнее, эффектнее и убедительнее?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Карта документации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