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5A"/>
          <w:sz w:val="38"/>
        </w:rPr>
        <w:t>ChatAVG v2.3 - Уточнение технологического концепта</w:t>
      </w:r>
    </w:p>
    <w:p>
      <w:pPr>
        <w:jc w:val="center"/>
      </w:pPr>
      <w:r>
        <w:rPr>
          <w:i/>
          <w:sz w:val="22"/>
        </w:rPr>
        <w:t>Responses-inspired ModelGateway, LiteLLM-first adapter layer и Durable Workflow Runtime</w:t>
      </w:r>
    </w:p>
    <w:tbl>
      <w:tblPr>
        <w:tblStyle w:val="TableGrid"/>
        <w:tblW w:type="auto" w:w="0"/>
        <w:tblLook w:firstColumn="1" w:firstRow="1" w:lastColumn="0" w:lastRow="0" w:noHBand="0" w:noVBand="1" w:val="04A0"/>
      </w:tblPr>
      <w:tblGrid>
        <w:gridCol w:w="5112"/>
        <w:gridCol w:w="5112"/>
      </w:tblGrid>
      <w:tr>
        <w:tc>
          <w:tcPr>
            <w:tcW w:type="dxa" w:w="5112"/>
            <w:shd w:fill="EEF5FB"/>
          </w:tcPr>
          <w:p>
            <w:r/>
            <w:r>
              <w:rPr>
                <w:b/>
                <w:sz w:val="17"/>
              </w:rPr>
              <w:t>Версия</w:t>
            </w:r>
          </w:p>
        </w:tc>
        <w:tc>
          <w:tcPr>
            <w:tcW w:type="dxa" w:w="5112"/>
          </w:tcPr>
          <w:p>
            <w:r/>
            <w:r>
              <w:rPr>
                <w:b w:val="0"/>
                <w:sz w:val="17"/>
              </w:rPr>
              <w:t>v1.0</w:t>
            </w:r>
          </w:p>
        </w:tc>
      </w:tr>
      <w:tr>
        <w:tc>
          <w:tcPr>
            <w:tcW w:type="dxa" w:w="5112"/>
            <w:shd w:fill="EEF5FB"/>
          </w:tcPr>
          <w:p>
            <w:r/>
            <w:r>
              <w:rPr>
                <w:b/>
                <w:sz w:val="17"/>
              </w:rPr>
              <w:t>Дата</w:t>
            </w:r>
          </w:p>
        </w:tc>
        <w:tc>
          <w:tcPr>
            <w:tcW w:type="dxa" w:w="5112"/>
          </w:tcPr>
          <w:p>
            <w:r/>
            <w:r>
              <w:rPr>
                <w:b w:val="0"/>
                <w:sz w:val="17"/>
              </w:rPr>
              <w:t>9 мая 2026</w:t>
            </w:r>
          </w:p>
        </w:tc>
      </w:tr>
      <w:tr>
        <w:tc>
          <w:tcPr>
            <w:tcW w:type="dxa" w:w="5112"/>
            <w:shd w:fill="EEF5FB"/>
          </w:tcPr>
          <w:p>
            <w:r/>
            <w:r>
              <w:rPr>
                <w:b/>
                <w:sz w:val="17"/>
              </w:rPr>
              <w:t>Статус</w:t>
            </w:r>
          </w:p>
        </w:tc>
        <w:tc>
          <w:tcPr>
            <w:tcW w:type="dxa" w:w="5112"/>
          </w:tcPr>
          <w:p>
            <w:r/>
            <w:r>
              <w:rPr>
                <w:b w:val="0"/>
                <w:sz w:val="17"/>
              </w:rPr>
              <w:t>Draft for Architecture / Product / Backend Review</w:t>
            </w:r>
          </w:p>
        </w:tc>
      </w:tr>
      <w:tr>
        <w:tc>
          <w:tcPr>
            <w:tcW w:type="dxa" w:w="5112"/>
            <w:shd w:fill="EEF5FB"/>
          </w:tcPr>
          <w:p>
            <w:r/>
            <w:r>
              <w:rPr>
                <w:b/>
                <w:sz w:val="17"/>
              </w:rPr>
              <w:t>Назначение</w:t>
            </w:r>
          </w:p>
        </w:tc>
        <w:tc>
          <w:tcPr>
            <w:tcW w:type="dxa" w:w="5112"/>
          </w:tcPr>
          <w:p>
            <w:r/>
            <w:r>
              <w:rPr>
                <w:b w:val="0"/>
                <w:sz w:val="17"/>
              </w:rPr>
              <w:t>Зафиксировать уточненную технологическую позицию ChatAVG по ModelGateway, OpenAI Responses API, LiteLLM, инструментам, knowledge/vector layer, MCP и workflow execution.</w:t>
            </w:r>
          </w:p>
        </w:tc>
      </w:tr>
    </w:tbl>
    <w:p/>
    <w:p>
      <w:pPr>
        <w:pStyle w:val="Heading1"/>
      </w:pPr>
      <w:r>
        <w:t>1. Executive summary</w:t>
      </w:r>
    </w:p>
    <w:p>
      <w:r>
        <w:t>ChatAVG должен взять OpenAI Responses API не как provider-lock и не как внутренний монолит, а как референсную архитектурную модель для собственного ModelGateway.</w:t>
      </w:r>
    </w:p>
    <w:p>
      <w:r>
        <w:t>LiteLLM остается primary adapter для multi-provider inference, routing, fallback, cost tracking и virtual keys. OpenAI Responses не становится отдельным центральным сервисом, а остается нативным capability adapter там, где нужны специфические возможности OpenAI или точная совместимость с Responses semantics.</w:t>
      </w:r>
    </w:p>
    <w:p>
      <w:r>
        <w:t>Workflow execution не должен жить внутри OpenAI Responses или LiteLLM. Владельцем пользовательских workflow остается ChatAVG Durable Runtime: WorkflowContract, WorkflowRouter, WorkflowRun, Mission/AgentRun state machine, approvals, DecisionRecord, ArtifactPatch, Claim Ledger и trace/audit/cost events.</w:t>
      </w:r>
    </w:p>
    <w:p>
      <w:pPr>
        <w:spacing w:after="120"/>
        <w:ind w:left="317"/>
      </w:pPr>
      <w:r>
        <w:rPr>
          <w:rFonts w:ascii="Courier New" w:hAnsi="Courier New" w:eastAsia="Courier New"/>
          <w:sz w:val="15"/>
        </w:rPr>
        <w:t>ChatAVG ModelGateway = Responses-inspired orchestration semantics</w:t>
        <w:br/>
      </w:r>
      <w:r>
        <w:rPr>
          <w:rFonts w:ascii="Courier New" w:hAnsi="Courier New" w:eastAsia="Courier New"/>
          <w:sz w:val="15"/>
        </w:rPr>
        <w:t xml:space="preserve">  + LiteLLM-first provider/proxy adapter</w:t>
        <w:br/>
      </w:r>
      <w:r>
        <w:rPr>
          <w:rFonts w:ascii="Courier New" w:hAnsi="Courier New" w:eastAsia="Courier New"/>
          <w:sz w:val="15"/>
        </w:rPr>
        <w:t xml:space="preserve">  + OpenAI Native Responses adapter as capability/fallback path</w:t>
        <w:br/>
      </w:r>
      <w:r>
        <w:rPr>
          <w:rFonts w:ascii="Courier New" w:hAnsi="Courier New" w:eastAsia="Courier New"/>
          <w:sz w:val="15"/>
        </w:rPr>
        <w:t xml:space="preserve">  + Local model adapter path</w:t>
        <w:br/>
      </w:r>
      <w:r>
        <w:rPr>
          <w:rFonts w:ascii="Courier New" w:hAnsi="Courier New" w:eastAsia="Courier New"/>
          <w:sz w:val="15"/>
        </w:rPr>
        <w:t xml:space="preserve">  + Tool/Knowledge/Sandbox bridges under ChatAVG policy</w:t>
        <w:br/>
      </w:r>
      <w:r>
        <w:rPr>
          <w:rFonts w:ascii="Courier New" w:hAnsi="Courier New" w:eastAsia="Courier New"/>
          <w:sz w:val="15"/>
        </w:rPr>
        <w:t xml:space="preserve">  + normalized streaming, usage, cost and trace</w:t>
        <w:br/>
      </w:r>
    </w:p>
    <w:p>
      <w:pPr>
        <w:pStyle w:val="Heading1"/>
      </w:pPr>
      <w:r>
        <w:t>2. Контекст и проблема</w:t>
      </w:r>
    </w:p>
    <w:p>
      <w:r>
        <w:t>В проекте одновременно появились три линии: LiteLLM как ModelGateway-кандидат, OpenAI Responses API как новая provider primitive и ChatAVG Workflow Platform как Mission-first система с Artifact, Claim Ledger, DomainBoundary и durable AgentRun.</w:t>
      </w:r>
    </w:p>
    <w:p>
      <w:r>
        <w:t>Риск состоит в смешении уровней: ModelGateway может превратиться в новый OpenAI-centric monolith, а workflow orchestration может быть передан provider API. Это нарушит provider-neutral core, human sovereignty, auditability и artifact-first execution.</w:t>
      </w:r>
    </w:p>
    <w:p>
      <w:pPr>
        <w:spacing w:after="120"/>
        <w:ind w:left="317"/>
      </w:pPr>
      <w:r>
        <w:rPr>
          <w:rFonts w:ascii="Courier New" w:hAnsi="Courier New" w:eastAsia="Courier New"/>
          <w:sz w:val="15"/>
        </w:rPr>
        <w:t>ChatAVG Workflow Runtime owns: state, mission, artifact, approval, semantic gates.</w:t>
        <w:br/>
      </w:r>
      <w:r>
        <w:rPr>
          <w:rFonts w:ascii="Courier New" w:hAnsi="Courier New" w:eastAsia="Courier New"/>
          <w:sz w:val="15"/>
        </w:rPr>
        <w:t>ModelGateway owns: model run normalization, provider routing, tool-call envelope, streaming, cost/usage/trace.</w:t>
        <w:br/>
      </w:r>
      <w:r>
        <w:rPr>
          <w:rFonts w:ascii="Courier New" w:hAnsi="Courier New" w:eastAsia="Courier New"/>
          <w:sz w:val="15"/>
        </w:rPr>
        <w:t>LiteLLM/OpenAI own: provider-specific inference capabilities.</w:t>
        <w:br/>
      </w:r>
    </w:p>
    <w:p>
      <w:pPr>
        <w:pStyle w:val="Heading1"/>
      </w:pPr>
      <w:r>
        <w:t>3. Принципиальная позиция</w:t>
      </w:r>
    </w:p>
    <w:p>
      <w:r>
        <w:t>Принимаем OpenAI Responses как архитектурный образец: unified input/output items, streaming event model, tool-call loop, hosted and remote tools, stateful context, structured outputs, usage/cost visibility and future-proof model interaction primitive.</w:t>
      </w:r>
    </w:p>
    <w:p>
      <w:r>
        <w:t>Не принимаем OpenAI Responses как владельца ChatAVG workflow. Модель может быть агентной внутри ограниченного шага, но она не должна владеть всей миссией, решать approval boundaries, менять artifact без trace или выполнять risky tools без Policy/Approval layer.</w:t>
      </w:r>
    </w:p>
    <w:p>
      <w:pPr>
        <w:spacing w:after="120"/>
        <w:ind w:left="317"/>
      </w:pPr>
      <w:r>
        <w:rPr>
          <w:rFonts w:ascii="Courier New" w:hAnsi="Courier New" w:eastAsia="Courier New"/>
          <w:sz w:val="15"/>
        </w:rPr>
        <w:t>Provider APIs are capability layers.</w:t>
        <w:br/>
      </w:r>
      <w:r>
        <w:rPr>
          <w:rFonts w:ascii="Courier New" w:hAnsi="Courier New" w:eastAsia="Courier New"/>
          <w:sz w:val="15"/>
        </w:rPr>
        <w:t>ChatAVG Workflow Runtime is the system of record.</w:t>
        <w:br/>
      </w:r>
    </w:p>
    <w:p>
      <w:pPr>
        <w:pStyle w:val="Heading1"/>
      </w:pPr>
      <w:r>
        <w:t>4. Целевая архитектура</w:t>
      </w:r>
    </w:p>
    <w:p>
      <w:pPr>
        <w:spacing w:after="120"/>
        <w:ind w:left="317"/>
      </w:pPr>
      <w:r>
        <w:rPr>
          <w:rFonts w:ascii="Courier New" w:hAnsi="Courier New" w:eastAsia="Courier New"/>
          <w:sz w:val="15"/>
        </w:rPr>
        <w:t>Frontend / Mission Cockpit</w:t>
        <w:br/>
      </w:r>
      <w:r>
        <w:rPr>
          <w:rFonts w:ascii="Courier New" w:hAnsi="Courier New" w:eastAsia="Courier New"/>
          <w:sz w:val="15"/>
        </w:rPr>
        <w:t xml:space="preserve">  -&gt; WorkflowRun API</w:t>
        <w:br/>
      </w:r>
      <w:r>
        <w:rPr>
          <w:rFonts w:ascii="Courier New" w:hAnsi="Courier New" w:eastAsia="Courier New"/>
          <w:sz w:val="15"/>
        </w:rPr>
        <w:t xml:space="preserve">  -&gt; WorkflowRouter</w:t>
        <w:br/>
      </w:r>
      <w:r>
        <w:rPr>
          <w:rFonts w:ascii="Courier New" w:hAnsi="Courier New" w:eastAsia="Courier New"/>
          <w:sz w:val="15"/>
        </w:rPr>
        <w:t xml:space="preserve">  -&gt; WorkflowContract</w:t>
        <w:br/>
      </w:r>
      <w:r>
        <w:rPr>
          <w:rFonts w:ascii="Courier New" w:hAnsi="Courier New" w:eastAsia="Courier New"/>
          <w:sz w:val="15"/>
        </w:rPr>
        <w:t xml:space="preserve">  -&gt; Temporal / Durable Runtime</w:t>
        <w:br/>
      </w:r>
      <w:r>
        <w:rPr>
          <w:rFonts w:ascii="Courier New" w:hAnsi="Courier New" w:eastAsia="Courier New"/>
          <w:sz w:val="15"/>
        </w:rPr>
        <w:t xml:space="preserve">      -&gt; Activities:</w:t>
        <w:br/>
      </w:r>
      <w:r>
        <w:rPr>
          <w:rFonts w:ascii="Courier New" w:hAnsi="Courier New" w:eastAsia="Courier New"/>
          <w:sz w:val="15"/>
        </w:rPr>
        <w:t xml:space="preserve">          - ModelGateway.call()</w:t>
        <w:br/>
      </w:r>
      <w:r>
        <w:rPr>
          <w:rFonts w:ascii="Courier New" w:hAnsi="Courier New" w:eastAsia="Courier New"/>
          <w:sz w:val="15"/>
        </w:rPr>
        <w:t xml:space="preserve">          - KnowledgeGateway.retrieve()</w:t>
        <w:br/>
      </w:r>
      <w:r>
        <w:rPr>
          <w:rFonts w:ascii="Courier New" w:hAnsi="Courier New" w:eastAsia="Courier New"/>
          <w:sz w:val="15"/>
        </w:rPr>
        <w:t xml:space="preserve">          - AdequacyEngine.extractClaims()</w:t>
        <w:br/>
      </w:r>
      <w:r>
        <w:rPr>
          <w:rFonts w:ascii="Courier New" w:hAnsi="Courier New" w:eastAsia="Courier New"/>
          <w:sz w:val="15"/>
        </w:rPr>
        <w:t xml:space="preserve">          - ArtifactService.applyPatch()</w:t>
        <w:br/>
      </w:r>
      <w:r>
        <w:rPr>
          <w:rFonts w:ascii="Courier New" w:hAnsi="Courier New" w:eastAsia="Courier New"/>
          <w:sz w:val="15"/>
        </w:rPr>
        <w:t xml:space="preserve">          - PolicyEngine.evaluate()</w:t>
        <w:br/>
      </w:r>
      <w:r>
        <w:rPr>
          <w:rFonts w:ascii="Courier New" w:hAnsi="Courier New" w:eastAsia="Courier New"/>
          <w:sz w:val="15"/>
        </w:rPr>
        <w:t xml:space="preserve">          - ToolGateway.invoke()</w:t>
        <w:br/>
      </w:r>
      <w:r>
        <w:rPr>
          <w:rFonts w:ascii="Courier New" w:hAnsi="Courier New" w:eastAsia="Courier New"/>
          <w:sz w:val="15"/>
        </w:rPr>
        <w:t xml:space="preserve">          - ApprovalService.waitForSignal()</w:t>
        <w:br/>
      </w:r>
      <w:r>
        <w:rPr>
          <w:rFonts w:ascii="Courier New" w:hAnsi="Courier New" w:eastAsia="Courier New"/>
          <w:sz w:val="15"/>
        </w:rPr>
        <w:t xml:space="preserve">          - Forge/Sandbox.execute()</w:t>
        <w:br/>
      </w:r>
    </w:p>
    <w:p>
      <w:pPr>
        <w:pStyle w:val="Heading2"/>
      </w:pPr>
      <w:r>
        <w:t>4.1. ModelGateway internal architecture</w:t>
      </w:r>
    </w:p>
    <w:p>
      <w:pPr>
        <w:spacing w:after="120"/>
        <w:ind w:left="317"/>
      </w:pPr>
      <w:r>
        <w:rPr>
          <w:rFonts w:ascii="Courier New" w:hAnsi="Courier New" w:eastAsia="Courier New"/>
          <w:sz w:val="15"/>
        </w:rPr>
        <w:t>ModelGateway</w:t>
        <w:br/>
      </w:r>
      <w:r>
        <w:rPr>
          <w:rFonts w:ascii="Courier New" w:hAnsi="Courier New" w:eastAsia="Courier New"/>
          <w:sz w:val="15"/>
        </w:rPr>
        <w:t xml:space="preserve">  - ModelRun Orchestrator</w:t>
        <w:br/>
      </w:r>
      <w:r>
        <w:rPr>
          <w:rFonts w:ascii="Courier New" w:hAnsi="Courier New" w:eastAsia="Courier New"/>
          <w:sz w:val="15"/>
        </w:rPr>
        <w:t xml:space="preserve">      - input normalization</w:t>
        <w:br/>
      </w:r>
      <w:r>
        <w:rPr>
          <w:rFonts w:ascii="Courier New" w:hAnsi="Courier New" w:eastAsia="Courier New"/>
          <w:sz w:val="15"/>
        </w:rPr>
        <w:t xml:space="preserve">      - output normalization</w:t>
        <w:br/>
      </w:r>
      <w:r>
        <w:rPr>
          <w:rFonts w:ascii="Courier New" w:hAnsi="Courier New" w:eastAsia="Courier New"/>
          <w:sz w:val="15"/>
        </w:rPr>
        <w:t xml:space="preserve">      - streaming event mapping</w:t>
        <w:br/>
      </w:r>
      <w:r>
        <w:rPr>
          <w:rFonts w:ascii="Courier New" w:hAnsi="Courier New" w:eastAsia="Courier New"/>
          <w:sz w:val="15"/>
        </w:rPr>
        <w:t xml:space="preserve">      - tool policy envelope</w:t>
        <w:br/>
      </w:r>
      <w:r>
        <w:rPr>
          <w:rFonts w:ascii="Courier New" w:hAnsi="Courier New" w:eastAsia="Courier New"/>
          <w:sz w:val="15"/>
        </w:rPr>
        <w:t xml:space="preserve">      - usage/cost accounting</w:t>
        <w:br/>
      </w:r>
      <w:r>
        <w:rPr>
          <w:rFonts w:ascii="Courier New" w:hAnsi="Courier New" w:eastAsia="Courier New"/>
          <w:sz w:val="15"/>
        </w:rPr>
        <w:t xml:space="preserve">      - trace mapping</w:t>
        <w:br/>
      </w:r>
      <w:r>
        <w:rPr>
          <w:rFonts w:ascii="Courier New" w:hAnsi="Courier New" w:eastAsia="Courier New"/>
          <w:sz w:val="15"/>
        </w:rPr>
        <w:t xml:space="preserve">  - Provider Adapters</w:t>
        <w:br/>
      </w:r>
      <w:r>
        <w:rPr>
          <w:rFonts w:ascii="Courier New" w:hAnsi="Courier New" w:eastAsia="Courier New"/>
          <w:sz w:val="15"/>
        </w:rPr>
        <w:t xml:space="preserve">      - LiteLLMAdapter</w:t>
        <w:br/>
      </w:r>
      <w:r>
        <w:rPr>
          <w:rFonts w:ascii="Courier New" w:hAnsi="Courier New" w:eastAsia="Courier New"/>
          <w:sz w:val="15"/>
        </w:rPr>
        <w:t xml:space="preserve">      - OpenAIResponsesAdapter</w:t>
        <w:br/>
      </w:r>
      <w:r>
        <w:rPr>
          <w:rFonts w:ascii="Courier New" w:hAnsi="Courier New" w:eastAsia="Courier New"/>
          <w:sz w:val="15"/>
        </w:rPr>
        <w:t xml:space="preserve">      - LlamaCppAdapter / LocalModelAdapter</w:t>
        <w:br/>
      </w:r>
      <w:r>
        <w:rPr>
          <w:rFonts w:ascii="Courier New" w:hAnsi="Courier New" w:eastAsia="Courier New"/>
          <w:sz w:val="15"/>
        </w:rPr>
        <w:t xml:space="preserve">  - Capability Bridges</w:t>
        <w:br/>
      </w:r>
      <w:r>
        <w:rPr>
          <w:rFonts w:ascii="Courier New" w:hAnsi="Courier New" w:eastAsia="Courier New"/>
          <w:sz w:val="15"/>
        </w:rPr>
        <w:t xml:space="preserve">      - KnowledgeGateway / file search</w:t>
        <w:br/>
      </w:r>
      <w:r>
        <w:rPr>
          <w:rFonts w:ascii="Courier New" w:hAnsi="Courier New" w:eastAsia="Courier New"/>
          <w:sz w:val="15"/>
        </w:rPr>
        <w:t xml:space="preserve">      - MCPToolGateway</w:t>
        <w:br/>
      </w:r>
      <w:r>
        <w:rPr>
          <w:rFonts w:ascii="Courier New" w:hAnsi="Courier New" w:eastAsia="Courier New"/>
          <w:sz w:val="15"/>
        </w:rPr>
        <w:t xml:space="preserve">      - CodeExecutionGateway / Forge</w:t>
        <w:br/>
      </w:r>
      <w:r>
        <w:rPr>
          <w:rFonts w:ascii="Courier New" w:hAnsi="Courier New" w:eastAsia="Courier New"/>
          <w:sz w:val="15"/>
        </w:rPr>
        <w:t xml:space="preserve">      - internal deterministic functions</w:t>
        <w:br/>
      </w:r>
      <w:r>
        <w:rPr>
          <w:rFonts w:ascii="Courier New" w:hAnsi="Courier New" w:eastAsia="Courier New"/>
          <w:sz w:val="15"/>
        </w:rPr>
        <w:t xml:space="preserve">  - State Refs</w:t>
        <w:br/>
      </w:r>
      <w:r>
        <w:rPr>
          <w:rFonts w:ascii="Courier New" w:hAnsi="Courier New" w:eastAsia="Courier New"/>
          <w:sz w:val="15"/>
        </w:rPr>
        <w:t xml:space="preserve">      - ModelRun state</w:t>
        <w:br/>
      </w:r>
      <w:r>
        <w:rPr>
          <w:rFonts w:ascii="Courier New" w:hAnsi="Courier New" w:eastAsia="Courier New"/>
          <w:sz w:val="15"/>
        </w:rPr>
        <w:t xml:space="preserve">      - providerPreviousResponseId</w:t>
        <w:br/>
      </w:r>
      <w:r>
        <w:rPr>
          <w:rFonts w:ascii="Courier New" w:hAnsi="Courier New" w:eastAsia="Courier New"/>
          <w:sz w:val="15"/>
        </w:rPr>
        <w:t xml:space="preserve">      - encryptedReasoningRef</w:t>
        <w:br/>
      </w:r>
      <w:r>
        <w:rPr>
          <w:rFonts w:ascii="Courier New" w:hAnsi="Courier New" w:eastAsia="Courier New"/>
          <w:sz w:val="15"/>
        </w:rPr>
        <w:t xml:space="preserve">      - cache keys</w:t>
        <w:br/>
      </w:r>
      <w:r>
        <w:rPr>
          <w:rFonts w:ascii="Courier New" w:hAnsi="Courier New" w:eastAsia="Courier New"/>
          <w:sz w:val="15"/>
        </w:rPr>
        <w:t xml:space="preserve">      - trace ids</w:t>
        <w:br/>
      </w:r>
    </w:p>
    <w:p>
      <w:pPr>
        <w:pStyle w:val="Heading1"/>
      </w:pPr>
      <w:r>
        <w:t>5. Решение по LiteLLM и OpenAI Responses</w:t>
      </w:r>
    </w:p>
    <w:p>
      <w:pPr>
        <w:pStyle w:val="Heading2"/>
      </w:pPr>
      <w:r>
        <w:t>5.1. LiteLLM-first</w:t>
      </w:r>
    </w:p>
    <w:p>
      <w:r>
        <w:t>LiteLLM является primary provider/proxy adapter для unified model access, provider routing, fallback, virtual keys, rate limits, cost/spend tracking, model registry integration и OpenAI-compatible calls where sufficient.</w:t>
      </w:r>
    </w:p>
    <w:p>
      <w:pPr>
        <w:pStyle w:val="Heading2"/>
      </w:pPr>
      <w:r>
        <w:t>5.2. OpenAI Native Responses Adapter</w:t>
      </w:r>
    </w:p>
    <w:p>
      <w:r>
        <w:t>OpenAI native adapter оставляется как fallback/capability path, а не как отдельный основной сервис. Он нужен для capability parity, direct diagnostics, hosted tools and fallback.</w:t>
      </w:r>
    </w:p>
    <w:p>
      <w:pPr>
        <w:pStyle w:val="Heading2"/>
      </w:pPr>
      <w:r>
        <w:t>5.3. Что запрещено</w:t>
      </w:r>
    </w:p>
    <w:p>
      <w:pPr>
        <w:pStyle w:val="ListBullet"/>
      </w:pPr>
      <w:r>
        <w:t>Делать OpenAI Responses отдельным главным runtime-сервисом ChatAVG.</w:t>
      </w:r>
    </w:p>
    <w:p>
      <w:pPr>
        <w:pStyle w:val="ListBullet"/>
      </w:pPr>
      <w:r>
        <w:t>Вшивать OpenAI-specific logic в Core Platform или Workflow Runtime.</w:t>
      </w:r>
    </w:p>
    <w:p>
      <w:pPr>
        <w:pStyle w:val="ListBullet"/>
      </w:pPr>
      <w:r>
        <w:t>Смешивать inference, knowledge, tools, approvals и business domain в одном OpenAI-facing service.</w:t>
      </w:r>
    </w:p>
    <w:p>
      <w:pPr>
        <w:pStyle w:val="ListBullet"/>
      </w:pPr>
      <w:r>
        <w:t>Считать provider state источником истины для Mission/Workflow/Artifact.</w:t>
      </w:r>
    </w:p>
    <w:p>
      <w:pPr>
        <w:pStyle w:val="Heading1"/>
      </w:pPr>
      <w:r>
        <w:t>6. ModelGateway contract</w:t>
      </w:r>
    </w:p>
    <w:p>
      <w:pPr>
        <w:pStyle w:val="Heading2"/>
      </w:pPr>
      <w:r>
        <w:t>6.1. ModelRequest</w:t>
      </w:r>
    </w:p>
    <w:p>
      <w:pPr>
        <w:spacing w:after="120"/>
        <w:ind w:left="317"/>
      </w:pPr>
      <w:r>
        <w:rPr>
          <w:rFonts w:ascii="Courier New" w:hAnsi="Courier New" w:eastAsia="Courier New"/>
          <w:sz w:val="15"/>
        </w:rPr>
        <w:t>type ModelRequest = {</w:t>
        <w:br/>
      </w:r>
      <w:r>
        <w:rPr>
          <w:rFonts w:ascii="Courier New" w:hAnsi="Courier New" w:eastAsia="Courier New"/>
          <w:sz w:val="15"/>
        </w:rPr>
        <w:t xml:space="preserve">  modelPolicy: string;</w:t>
        <w:br/>
      </w:r>
      <w:r>
        <w:rPr>
          <w:rFonts w:ascii="Courier New" w:hAnsi="Courier New" w:eastAsia="Courier New"/>
          <w:sz w:val="15"/>
        </w:rPr>
        <w:t xml:space="preserve">  input: ModelInputItem[];</w:t>
        <w:br/>
      </w:r>
      <w:r>
        <w:rPr>
          <w:rFonts w:ascii="Courier New" w:hAnsi="Courier New" w:eastAsia="Courier New"/>
          <w:sz w:val="15"/>
        </w:rPr>
        <w:t xml:space="preserve">  instructions?: string;</w:t>
        <w:br/>
      </w:r>
      <w:r>
        <w:rPr>
          <w:rFonts w:ascii="Courier New" w:hAnsi="Courier New" w:eastAsia="Courier New"/>
          <w:sz w:val="15"/>
        </w:rPr>
        <w:t xml:space="preserve">  responseFormat?: JsonSchemaRef;</w:t>
        <w:br/>
      </w:r>
      <w:r>
        <w:rPr>
          <w:rFonts w:ascii="Courier New" w:hAnsi="Courier New" w:eastAsia="Courier New"/>
          <w:sz w:val="15"/>
        </w:rPr>
        <w:t xml:space="preserve">  stream?: boolean;</w:t>
        <w:br/>
      </w:r>
      <w:r>
        <w:rPr>
          <w:rFonts w:ascii="Courier New" w:hAnsi="Courier New" w:eastAsia="Courier New"/>
          <w:sz w:val="15"/>
        </w:rPr>
        <w:t xml:space="preserve">  toolMode: 'none' | 'declared' | 'auto_with_policy' | 'manual_only';</w:t>
        <w:br/>
      </w:r>
      <w:r>
        <w:rPr>
          <w:rFonts w:ascii="Courier New" w:hAnsi="Courier New" w:eastAsia="Courier New"/>
          <w:sz w:val="15"/>
        </w:rPr>
        <w:t xml:space="preserve">  tools?: ToolDescriptor[];</w:t>
        <w:br/>
      </w:r>
      <w:r>
        <w:rPr>
          <w:rFonts w:ascii="Courier New" w:hAnsi="Courier New" w:eastAsia="Courier New"/>
          <w:sz w:val="15"/>
        </w:rPr>
        <w:t xml:space="preserve">  state?: { previousModelRunId?: string; providerPreviousResponseId?: string; storeProviderState?: boolean; };</w:t>
        <w:br/>
      </w:r>
      <w:r>
        <w:rPr>
          <w:rFonts w:ascii="Courier New" w:hAnsi="Courier New" w:eastAsia="Courier New"/>
          <w:sz w:val="15"/>
        </w:rPr>
        <w:t xml:space="preserve">  controls: { maxCostUsd?: number; timeoutMs?: number; riskClass: 'low' | 'medium' | 'high' | 'critical'; };</w:t>
        <w:br/>
      </w:r>
      <w:r>
        <w:rPr>
          <w:rFonts w:ascii="Courier New" w:hAnsi="Courier New" w:eastAsia="Courier New"/>
          <w:sz w:val="15"/>
        </w:rPr>
        <w:t xml:space="preserve">  trace: { workflowRunId?: string; agentRunId?: string; missionId?: string; artifactId?: string; semanticProtocolVersion?: string; };</w:t>
        <w:br/>
      </w:r>
      <w:r>
        <w:rPr>
          <w:rFonts w:ascii="Courier New" w:hAnsi="Courier New" w:eastAsia="Courier New"/>
          <w:sz w:val="15"/>
        </w:rPr>
        <w:t>};</w:t>
        <w:br/>
      </w:r>
    </w:p>
    <w:p>
      <w:pPr>
        <w:pStyle w:val="Heading2"/>
      </w:pPr>
      <w:r>
        <w:t>6.2. ModelEvent</w:t>
      </w:r>
    </w:p>
    <w:p>
      <w:pPr>
        <w:spacing w:after="120"/>
        <w:ind w:left="317"/>
      </w:pPr>
      <w:r>
        <w:rPr>
          <w:rFonts w:ascii="Courier New" w:hAnsi="Courier New" w:eastAsia="Courier New"/>
          <w:sz w:val="15"/>
        </w:rPr>
        <w:t>type ModelEvent =</w:t>
        <w:br/>
      </w:r>
      <w:r>
        <w:rPr>
          <w:rFonts w:ascii="Courier New" w:hAnsi="Courier New" w:eastAsia="Courier New"/>
          <w:sz w:val="15"/>
        </w:rPr>
        <w:t xml:space="preserve">  | { type: 'model.started'; runId: string }</w:t>
        <w:br/>
      </w:r>
      <w:r>
        <w:rPr>
          <w:rFonts w:ascii="Courier New" w:hAnsi="Courier New" w:eastAsia="Courier New"/>
          <w:sz w:val="15"/>
        </w:rPr>
        <w:t xml:space="preserve">  | { type: 'model.output_delta'; text: string }</w:t>
        <w:br/>
      </w:r>
      <w:r>
        <w:rPr>
          <w:rFonts w:ascii="Courier New" w:hAnsi="Courier New" w:eastAsia="Courier New"/>
          <w:sz w:val="15"/>
        </w:rPr>
        <w:t xml:space="preserve">  | { type: 'model.reasoning_delta'; encrypted?: boolean; ref?: string }</w:t>
        <w:br/>
      </w:r>
      <w:r>
        <w:rPr>
          <w:rFonts w:ascii="Courier New" w:hAnsi="Courier New" w:eastAsia="Courier New"/>
          <w:sz w:val="15"/>
        </w:rPr>
        <w:t xml:space="preserve">  | { type: 'tool.requested'; toolCall: ToolCallPlan }</w:t>
        <w:br/>
      </w:r>
      <w:r>
        <w:rPr>
          <w:rFonts w:ascii="Courier New" w:hAnsi="Courier New" w:eastAsia="Courier New"/>
          <w:sz w:val="15"/>
        </w:rPr>
        <w:t xml:space="preserve">  | { type: 'tool.approval_required'; approvalId: string }</w:t>
        <w:br/>
      </w:r>
      <w:r>
        <w:rPr>
          <w:rFonts w:ascii="Courier New" w:hAnsi="Courier New" w:eastAsia="Courier New"/>
          <w:sz w:val="15"/>
        </w:rPr>
        <w:t xml:space="preserve">  | { type: 'tool.completed'; toolCallId: string; outputRef: string }</w:t>
        <w:br/>
      </w:r>
      <w:r>
        <w:rPr>
          <w:rFonts w:ascii="Courier New" w:hAnsi="Courier New" w:eastAsia="Courier New"/>
          <w:sz w:val="15"/>
        </w:rPr>
        <w:t xml:space="preserve">  | { type: 'model.completed'; usage: Usage; output: ModelOutput }</w:t>
        <w:br/>
      </w:r>
      <w:r>
        <w:rPr>
          <w:rFonts w:ascii="Courier New" w:hAnsi="Courier New" w:eastAsia="Courier New"/>
          <w:sz w:val="15"/>
        </w:rPr>
        <w:t xml:space="preserve">  | { type: 'model.failed'; error: NormalizedModelError };</w:t>
        <w:br/>
      </w:r>
    </w:p>
    <w:p>
      <w:pPr>
        <w:pStyle w:val="Heading2"/>
      </w:pPr>
      <w:r>
        <w:t>6.3. ModelResponse</w:t>
      </w:r>
    </w:p>
    <w:p>
      <w:pPr>
        <w:spacing w:after="120"/>
        <w:ind w:left="317"/>
      </w:pPr>
      <w:r>
        <w:rPr>
          <w:rFonts w:ascii="Courier New" w:hAnsi="Courier New" w:eastAsia="Courier New"/>
          <w:sz w:val="15"/>
        </w:rPr>
        <w:t>type ModelResponse = {</w:t>
        <w:br/>
      </w:r>
      <w:r>
        <w:rPr>
          <w:rFonts w:ascii="Courier New" w:hAnsi="Courier New" w:eastAsia="Courier New"/>
          <w:sz w:val="15"/>
        </w:rPr>
        <w:t xml:space="preserve">  modelRunId: string;</w:t>
        <w:br/>
      </w:r>
      <w:r>
        <w:rPr>
          <w:rFonts w:ascii="Courier New" w:hAnsi="Courier New" w:eastAsia="Courier New"/>
          <w:sz w:val="15"/>
        </w:rPr>
        <w:t xml:space="preserve">  provider: 'openai' | 'anthropic' | 'google' | 'local' | 'unknown';</w:t>
        <w:br/>
      </w:r>
      <w:r>
        <w:rPr>
          <w:rFonts w:ascii="Courier New" w:hAnsi="Courier New" w:eastAsia="Courier New"/>
          <w:sz w:val="15"/>
        </w:rPr>
        <w:t xml:space="preserve">  providerRunId?: string;</w:t>
        <w:br/>
      </w:r>
      <w:r>
        <w:rPr>
          <w:rFonts w:ascii="Courier New" w:hAnsi="Courier New" w:eastAsia="Courier New"/>
          <w:sz w:val="15"/>
        </w:rPr>
        <w:t xml:space="preserve">  outputText?: string;</w:t>
        <w:br/>
      </w:r>
      <w:r>
        <w:rPr>
          <w:rFonts w:ascii="Courier New" w:hAnsi="Courier New" w:eastAsia="Courier New"/>
          <w:sz w:val="15"/>
        </w:rPr>
        <w:t xml:space="preserve">  outputJson?: unknown;</w:t>
        <w:br/>
      </w:r>
      <w:r>
        <w:rPr>
          <w:rFonts w:ascii="Courier New" w:hAnsi="Courier New" w:eastAsia="Courier New"/>
          <w:sz w:val="15"/>
        </w:rPr>
        <w:t xml:space="preserve">  outputItems: ModelOutputItem[];</w:t>
        <w:br/>
      </w:r>
      <w:r>
        <w:rPr>
          <w:rFonts w:ascii="Courier New" w:hAnsi="Courier New" w:eastAsia="Courier New"/>
          <w:sz w:val="15"/>
        </w:rPr>
        <w:t xml:space="preserve">  toolCalls: ToolCallRecord[];</w:t>
        <w:br/>
      </w:r>
      <w:r>
        <w:rPr>
          <w:rFonts w:ascii="Courier New" w:hAnsi="Courier New" w:eastAsia="Courier New"/>
          <w:sz w:val="15"/>
        </w:rPr>
        <w:t xml:space="preserve">  usage: { inputTokens?: number; outputTokens?: number; reasoningTokens?: number; cachedTokens?: number; costUsd?: number; };</w:t>
        <w:br/>
      </w:r>
      <w:r>
        <w:rPr>
          <w:rFonts w:ascii="Courier New" w:hAnsi="Courier New" w:eastAsia="Courier New"/>
          <w:sz w:val="15"/>
        </w:rPr>
        <w:t xml:space="preserve">  stateRefs: { previousModelRunId?: string; providerPreviousResponseId?: string; encryptedReasoningRef?: string; };</w:t>
        <w:br/>
      </w:r>
      <w:r>
        <w:rPr>
          <w:rFonts w:ascii="Courier New" w:hAnsi="Courier New" w:eastAsia="Courier New"/>
          <w:sz w:val="15"/>
        </w:rPr>
        <w:t xml:space="preserve">  traceEvents: TraceEvent[];</w:t>
        <w:br/>
      </w:r>
      <w:r>
        <w:rPr>
          <w:rFonts w:ascii="Courier New" w:hAnsi="Courier New" w:eastAsia="Courier New"/>
          <w:sz w:val="15"/>
        </w:rPr>
        <w:t>};</w:t>
        <w:br/>
      </w:r>
    </w:p>
    <w:p>
      <w:pPr>
        <w:pStyle w:val="Heading1"/>
      </w:pPr>
      <w:r>
        <w:t>7. Provider state policy</w:t>
      </w:r>
    </w:p>
    <w:p>
      <w:r>
        <w:t>Provider state дает производительность, cache benefits, reasoning continuity and tool context. Но provider state не является system of record.</w:t>
      </w:r>
    </w:p>
    <w:p>
      <w:pPr>
        <w:spacing w:after="120"/>
        <w:ind w:left="317"/>
      </w:pPr>
      <w:r>
        <w:rPr>
          <w:rFonts w:ascii="Courier New" w:hAnsi="Courier New" w:eastAsia="Courier New"/>
          <w:sz w:val="15"/>
        </w:rPr>
        <w:t>Provider state is optimization, not source of truth.</w:t>
        <w:br/>
      </w:r>
    </w:p>
    <w:p>
      <w:r>
        <w:t>Источник истины в ChatAVG: WorkflowRun, Mission/AgentRun, ArtifactVersion, ArtifactPatch, ClaimLedger, DomainBoundary, DecisionRecord, ApprovalRequest, TraceEvent, AuditEvent and CostEvent.</w:t>
      </w:r>
    </w:p>
    <w:p>
      <w:pPr>
        <w:spacing w:after="120"/>
        <w:ind w:left="317"/>
      </w:pPr>
      <w:r>
        <w:rPr>
          <w:rFonts w:ascii="Courier New" w:hAnsi="Courier New" w:eastAsia="Courier New"/>
          <w:sz w:val="15"/>
        </w:rPr>
        <w:t>type ProviderStatePolicy =</w:t>
        <w:br/>
      </w:r>
      <w:r>
        <w:rPr>
          <w:rFonts w:ascii="Courier New" w:hAnsi="Courier New" w:eastAsia="Courier New"/>
          <w:sz w:val="15"/>
        </w:rPr>
        <w:t xml:space="preserve">  | 'chatavg_only'</w:t>
        <w:br/>
      </w:r>
      <w:r>
        <w:rPr>
          <w:rFonts w:ascii="Courier New" w:hAnsi="Courier New" w:eastAsia="Courier New"/>
          <w:sz w:val="15"/>
        </w:rPr>
        <w:t xml:space="preserve">  | 'provider_state_allowed'</w:t>
        <w:br/>
      </w:r>
      <w:r>
        <w:rPr>
          <w:rFonts w:ascii="Courier New" w:hAnsi="Courier New" w:eastAsia="Courier New"/>
          <w:sz w:val="15"/>
        </w:rPr>
        <w:t xml:space="preserve">  | 'provider_state_required_for_capability'</w:t>
        <w:br/>
      </w:r>
      <w:r>
        <w:rPr>
          <w:rFonts w:ascii="Courier New" w:hAnsi="Courier New" w:eastAsia="Courier New"/>
          <w:sz w:val="15"/>
        </w:rPr>
        <w:t xml:space="preserve">  | 'stateless_with_encrypted_reasoning';</w:t>
        <w:br/>
      </w:r>
    </w:p>
    <w:p>
      <w:pPr>
        <w:pStyle w:val="Heading1"/>
      </w:pPr>
      <w:r>
        <w:t>8. Tool loop policy</w:t>
      </w:r>
    </w:p>
    <w:p>
      <w:r>
        <w:t>OpenAI Responses-style tool loop полезен, но в ChatAVG он должен быть обернут policy envelope.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sz w:val="17"/>
              </w:rPr>
              <w:t>Tool class</w:t>
            </w:r>
          </w:p>
        </w:tc>
        <w:tc>
          <w:tcPr>
            <w:tcW w:type="dxa" w:w="2556"/>
            <w:shd w:fill="D9EAF7"/>
          </w:tcPr>
          <w:p>
            <w:pPr>
              <w:spacing w:after="0"/>
            </w:pPr>
            <w:r/>
            <w:r>
              <w:rPr>
                <w:b/>
                <w:sz w:val="17"/>
              </w:rPr>
              <w:t>Пример</w:t>
            </w:r>
          </w:p>
        </w:tc>
        <w:tc>
          <w:tcPr>
            <w:tcW w:type="dxa" w:w="2556"/>
            <w:shd w:fill="D9EAF7"/>
          </w:tcPr>
          <w:p>
            <w:pPr>
              <w:spacing w:after="0"/>
            </w:pPr>
            <w:r/>
            <w:r>
              <w:rPr>
                <w:b/>
                <w:sz w:val="17"/>
              </w:rPr>
              <w:t>Исполнение</w:t>
            </w:r>
          </w:p>
        </w:tc>
        <w:tc>
          <w:tcPr>
            <w:tcW w:type="dxa" w:w="2556"/>
            <w:shd w:fill="D9EAF7"/>
          </w:tcPr>
          <w:p>
            <w:pPr>
              <w:spacing w:after="0"/>
            </w:pPr>
            <w:r/>
            <w:r>
              <w:rPr>
                <w:b/>
                <w:sz w:val="17"/>
              </w:rPr>
              <w:t>Approval</w:t>
            </w:r>
          </w:p>
        </w:tc>
      </w:tr>
      <w:tr>
        <w:tc>
          <w:tcPr>
            <w:tcW w:type="dxa" w:w="2556"/>
            <w:vAlign w:val="top"/>
          </w:tcPr>
          <w:p>
            <w:pPr>
              <w:spacing w:after="0"/>
            </w:pPr>
            <w:r/>
            <w:r>
              <w:rPr>
                <w:b w:val="0"/>
                <w:sz w:val="16"/>
              </w:rPr>
              <w:t>Read-only low risk</w:t>
            </w:r>
          </w:p>
        </w:tc>
        <w:tc>
          <w:tcPr>
            <w:tcW w:type="dxa" w:w="2556"/>
            <w:vAlign w:val="top"/>
          </w:tcPr>
          <w:p>
            <w:pPr>
              <w:spacing w:after="0"/>
            </w:pPr>
            <w:r/>
            <w:r>
              <w:rPr>
                <w:b w:val="0"/>
                <w:sz w:val="16"/>
              </w:rPr>
              <w:t>local search, source lookup</w:t>
            </w:r>
          </w:p>
        </w:tc>
        <w:tc>
          <w:tcPr>
            <w:tcW w:type="dxa" w:w="2556"/>
            <w:vAlign w:val="top"/>
          </w:tcPr>
          <w:p>
            <w:pPr>
              <w:spacing w:after="0"/>
            </w:pPr>
            <w:r/>
            <w:r>
              <w:rPr>
                <w:b w:val="0"/>
                <w:sz w:val="16"/>
              </w:rPr>
              <w:t>inside ModelRun or Activity</w:t>
            </w:r>
          </w:p>
        </w:tc>
        <w:tc>
          <w:tcPr>
            <w:tcW w:type="dxa" w:w="2556"/>
            <w:vAlign w:val="top"/>
          </w:tcPr>
          <w:p>
            <w:pPr>
              <w:spacing w:after="0"/>
            </w:pPr>
            <w:r/>
            <w:r>
              <w:rPr>
                <w:b w:val="0"/>
                <w:sz w:val="16"/>
              </w:rPr>
              <w:t>обычно нет</w:t>
            </w:r>
          </w:p>
        </w:tc>
      </w:tr>
      <w:tr>
        <w:tc>
          <w:tcPr>
            <w:tcW w:type="dxa" w:w="2556"/>
            <w:vAlign w:val="top"/>
          </w:tcPr>
          <w:p>
            <w:pPr>
              <w:spacing w:after="0"/>
            </w:pPr>
            <w:r/>
            <w:r>
              <w:rPr>
                <w:b w:val="0"/>
                <w:sz w:val="16"/>
              </w:rPr>
              <w:t>Read-only medium</w:t>
            </w:r>
          </w:p>
        </w:tc>
        <w:tc>
          <w:tcPr>
            <w:tcW w:type="dxa" w:w="2556"/>
            <w:vAlign w:val="top"/>
          </w:tcPr>
          <w:p>
            <w:pPr>
              <w:spacing w:after="0"/>
            </w:pPr>
            <w:r/>
            <w:r>
              <w:rPr>
                <w:b w:val="0"/>
                <w:sz w:val="16"/>
              </w:rPr>
              <w:t>external connector read</w:t>
            </w:r>
          </w:p>
        </w:tc>
        <w:tc>
          <w:tcPr>
            <w:tcW w:type="dxa" w:w="2556"/>
            <w:vAlign w:val="top"/>
          </w:tcPr>
          <w:p>
            <w:pPr>
              <w:spacing w:after="0"/>
            </w:pPr>
            <w:r/>
            <w:r>
              <w:rPr>
                <w:b w:val="0"/>
                <w:sz w:val="16"/>
              </w:rPr>
              <w:t>ToolGateway</w:t>
            </w:r>
          </w:p>
        </w:tc>
        <w:tc>
          <w:tcPr>
            <w:tcW w:type="dxa" w:w="2556"/>
            <w:vAlign w:val="top"/>
          </w:tcPr>
          <w:p>
            <w:pPr>
              <w:spacing w:after="0"/>
            </w:pPr>
            <w:r/>
            <w:r>
              <w:rPr>
                <w:b w:val="0"/>
                <w:sz w:val="16"/>
              </w:rPr>
              <w:t>policy-based</w:t>
            </w:r>
          </w:p>
        </w:tc>
      </w:tr>
      <w:tr>
        <w:tc>
          <w:tcPr>
            <w:tcW w:type="dxa" w:w="2556"/>
            <w:vAlign w:val="top"/>
          </w:tcPr>
          <w:p>
            <w:pPr>
              <w:spacing w:after="0"/>
            </w:pPr>
            <w:r/>
            <w:r>
              <w:rPr>
                <w:b w:val="0"/>
                <w:sz w:val="16"/>
              </w:rPr>
              <w:t>Write / side effect</w:t>
            </w:r>
          </w:p>
        </w:tc>
        <w:tc>
          <w:tcPr>
            <w:tcW w:type="dxa" w:w="2556"/>
            <w:vAlign w:val="top"/>
          </w:tcPr>
          <w:p>
            <w:pPr>
              <w:spacing w:after="0"/>
            </w:pPr>
            <w:r/>
            <w:r>
              <w:rPr>
                <w:b w:val="0"/>
                <w:sz w:val="16"/>
              </w:rPr>
              <w:t>create file, send message, API write</w:t>
            </w:r>
          </w:p>
        </w:tc>
        <w:tc>
          <w:tcPr>
            <w:tcW w:type="dxa" w:w="2556"/>
            <w:vAlign w:val="top"/>
          </w:tcPr>
          <w:p>
            <w:pPr>
              <w:spacing w:after="0"/>
            </w:pPr>
            <w:r/>
            <w:r>
              <w:rPr>
                <w:b w:val="0"/>
                <w:sz w:val="16"/>
              </w:rPr>
              <w:t>ToolGateway/Forge</w:t>
            </w:r>
          </w:p>
        </w:tc>
        <w:tc>
          <w:tcPr>
            <w:tcW w:type="dxa" w:w="2556"/>
            <w:vAlign w:val="top"/>
          </w:tcPr>
          <w:p>
            <w:pPr>
              <w:spacing w:after="0"/>
            </w:pPr>
            <w:r/>
            <w:r>
              <w:rPr>
                <w:b w:val="0"/>
                <w:sz w:val="16"/>
              </w:rPr>
              <w:t>да</w:t>
            </w:r>
          </w:p>
        </w:tc>
      </w:tr>
      <w:tr>
        <w:tc>
          <w:tcPr>
            <w:tcW w:type="dxa" w:w="2556"/>
            <w:vAlign w:val="top"/>
          </w:tcPr>
          <w:p>
            <w:pPr>
              <w:spacing w:after="0"/>
            </w:pPr>
            <w:r/>
            <w:r>
              <w:rPr>
                <w:b w:val="0"/>
                <w:sz w:val="16"/>
              </w:rPr>
              <w:t>Code/browser/high risk</w:t>
            </w:r>
          </w:p>
        </w:tc>
        <w:tc>
          <w:tcPr>
            <w:tcW w:type="dxa" w:w="2556"/>
            <w:vAlign w:val="top"/>
          </w:tcPr>
          <w:p>
            <w:pPr>
              <w:spacing w:after="0"/>
            </w:pPr>
            <w:r/>
            <w:r>
              <w:rPr>
                <w:b w:val="0"/>
                <w:sz w:val="16"/>
              </w:rPr>
              <w:t>code execution, browser, repo modification</w:t>
            </w:r>
          </w:p>
        </w:tc>
        <w:tc>
          <w:tcPr>
            <w:tcW w:type="dxa" w:w="2556"/>
            <w:vAlign w:val="top"/>
          </w:tcPr>
          <w:p>
            <w:pPr>
              <w:spacing w:after="0"/>
            </w:pPr>
            <w:r/>
            <w:r>
              <w:rPr>
                <w:b w:val="0"/>
                <w:sz w:val="16"/>
              </w:rPr>
              <w:t>Forge/Sandbox</w:t>
            </w:r>
          </w:p>
        </w:tc>
        <w:tc>
          <w:tcPr>
            <w:tcW w:type="dxa" w:w="2556"/>
            <w:vAlign w:val="top"/>
          </w:tcPr>
          <w:p>
            <w:pPr>
              <w:spacing w:after="0"/>
            </w:pPr>
            <w:r/>
            <w:r>
              <w:rPr>
                <w:b w:val="0"/>
                <w:sz w:val="16"/>
              </w:rPr>
              <w:t>да</w:t>
            </w:r>
          </w:p>
        </w:tc>
      </w:tr>
      <w:tr>
        <w:tc>
          <w:tcPr>
            <w:tcW w:type="dxa" w:w="2556"/>
            <w:vAlign w:val="top"/>
          </w:tcPr>
          <w:p>
            <w:pPr>
              <w:spacing w:after="0"/>
            </w:pPr>
            <w:r/>
            <w:r>
              <w:rPr>
                <w:b w:val="0"/>
                <w:sz w:val="16"/>
              </w:rPr>
              <w:t>Expensive</w:t>
            </w:r>
          </w:p>
        </w:tc>
        <w:tc>
          <w:tcPr>
            <w:tcW w:type="dxa" w:w="2556"/>
            <w:vAlign w:val="top"/>
          </w:tcPr>
          <w:p>
            <w:pPr>
              <w:spacing w:after="0"/>
            </w:pPr>
            <w:r/>
            <w:r>
              <w:rPr>
                <w:b w:val="0"/>
                <w:sz w:val="16"/>
              </w:rPr>
              <w:t>max quality RAG, multi-model analysis</w:t>
            </w:r>
          </w:p>
        </w:tc>
        <w:tc>
          <w:tcPr>
            <w:tcW w:type="dxa" w:w="2556"/>
            <w:vAlign w:val="top"/>
          </w:tcPr>
          <w:p>
            <w:pPr>
              <w:spacing w:after="0"/>
            </w:pPr>
            <w:r/>
            <w:r>
              <w:rPr>
                <w:b w:val="0"/>
                <w:sz w:val="16"/>
              </w:rPr>
              <w:t>preflight</w:t>
            </w:r>
          </w:p>
        </w:tc>
        <w:tc>
          <w:tcPr>
            <w:tcW w:type="dxa" w:w="2556"/>
            <w:vAlign w:val="top"/>
          </w:tcPr>
          <w:p>
            <w:pPr>
              <w:spacing w:after="0"/>
            </w:pPr>
            <w:r/>
            <w:r>
              <w:rPr>
                <w:b w:val="0"/>
                <w:sz w:val="16"/>
              </w:rPr>
              <w:t>возможно</w:t>
            </w:r>
          </w:p>
        </w:tc>
      </w:tr>
    </w:tbl>
    <w:p/>
    <w:p>
      <w:pPr>
        <w:spacing w:after="120"/>
        <w:ind w:left="317"/>
      </w:pPr>
      <w:r>
        <w:rPr>
          <w:rFonts w:ascii="Courier New" w:hAnsi="Courier New" w:eastAsia="Courier New"/>
          <w:sz w:val="15"/>
        </w:rPr>
        <w:t>Model asks for tool</w:t>
        <w:br/>
      </w:r>
      <w:r>
        <w:rPr>
          <w:rFonts w:ascii="Courier New" w:hAnsi="Courier New" w:eastAsia="Courier New"/>
          <w:sz w:val="15"/>
        </w:rPr>
        <w:t xml:space="preserve">  -&gt; ModelGateway emits tool.requested</w:t>
        <w:br/>
      </w:r>
      <w:r>
        <w:rPr>
          <w:rFonts w:ascii="Courier New" w:hAnsi="Courier New" w:eastAsia="Courier New"/>
          <w:sz w:val="15"/>
        </w:rPr>
        <w:t xml:space="preserve">  -&gt; PolicyEngine evaluates risk</w:t>
        <w:br/>
      </w:r>
      <w:r>
        <w:rPr>
          <w:rFonts w:ascii="Courier New" w:hAnsi="Courier New" w:eastAsia="Courier New"/>
          <w:sz w:val="15"/>
        </w:rPr>
        <w:t xml:space="preserve">  -&gt; ApprovalRequest if required</w:t>
        <w:br/>
      </w:r>
      <w:r>
        <w:rPr>
          <w:rFonts w:ascii="Courier New" w:hAnsi="Courier New" w:eastAsia="Courier New"/>
          <w:sz w:val="15"/>
        </w:rPr>
        <w:t xml:space="preserve">  -&gt; Temporal waits for user signal</w:t>
        <w:br/>
      </w:r>
      <w:r>
        <w:rPr>
          <w:rFonts w:ascii="Courier New" w:hAnsi="Courier New" w:eastAsia="Courier New"/>
          <w:sz w:val="15"/>
        </w:rPr>
        <w:t xml:space="preserve">  -&gt; ToolGateway / Forge executes with idempotencyKey</w:t>
        <w:br/>
      </w:r>
      <w:r>
        <w:rPr>
          <w:rFonts w:ascii="Courier New" w:hAnsi="Courier New" w:eastAsia="Courier New"/>
          <w:sz w:val="15"/>
        </w:rPr>
        <w:t xml:space="preserve">  -&gt; result becomes ToolCallRecord and ArtifactPatch/TraceEvent</w:t>
        <w:br/>
      </w:r>
    </w:p>
    <w:p>
      <w:pPr>
        <w:pStyle w:val="Heading1"/>
      </w:pPr>
      <w:r>
        <w:t>9. Knowledge and vector layer</w:t>
      </w:r>
    </w:p>
    <w:p>
      <w:r>
        <w:t>OpenAI file_search/vector stores могут быть одним из providers KnowledgeGateway, но не единственным knowledge layer.</w:t>
      </w:r>
    </w:p>
    <w:p>
      <w:pPr>
        <w:spacing w:after="120"/>
        <w:ind w:left="317"/>
      </w:pPr>
      <w:r>
        <w:rPr>
          <w:rFonts w:ascii="Courier New" w:hAnsi="Courier New" w:eastAsia="Courier New"/>
          <w:sz w:val="15"/>
        </w:rPr>
        <w:t>KnowledgeGateway</w:t>
        <w:br/>
      </w:r>
      <w:r>
        <w:rPr>
          <w:rFonts w:ascii="Courier New" w:hAnsi="Courier New" w:eastAsia="Courier New"/>
          <w:sz w:val="15"/>
        </w:rPr>
        <w:t xml:space="preserve">  - Local SQLite FTS5 / embeddings</w:t>
        <w:br/>
      </w:r>
      <w:r>
        <w:rPr>
          <w:rFonts w:ascii="Courier New" w:hAnsi="Courier New" w:eastAsia="Courier New"/>
          <w:sz w:val="15"/>
        </w:rPr>
        <w:t xml:space="preserve">  - OpenAI vector stores / file_search</w:t>
        <w:br/>
      </w:r>
      <w:r>
        <w:rPr>
          <w:rFonts w:ascii="Courier New" w:hAnsi="Courier New" w:eastAsia="Courier New"/>
          <w:sz w:val="15"/>
        </w:rPr>
        <w:t xml:space="preserve">  - external connectors</w:t>
        <w:br/>
      </w:r>
      <w:r>
        <w:rPr>
          <w:rFonts w:ascii="Courier New" w:hAnsi="Courier New" w:eastAsia="Courier New"/>
          <w:sz w:val="15"/>
        </w:rPr>
        <w:t xml:space="preserve">  - uploaded project docs</w:t>
        <w:br/>
      </w:r>
      <w:r>
        <w:rPr>
          <w:rFonts w:ascii="Courier New" w:hAnsi="Courier New" w:eastAsia="Courier New"/>
          <w:sz w:val="15"/>
        </w:rPr>
        <w:t xml:space="preserve">  - citation/provenance normalizer</w:t>
        <w:br/>
      </w:r>
    </w:p>
    <w:p>
      <w:r>
        <w:t>Любой retrieval provider должен возвращать source, chunk, score, freshness, citation span, source quality, claim linkage и domain boundary relevance. Цель ChatAVG - связать источники с Claim Ledger и Domain Boundary.</w:t>
      </w:r>
    </w:p>
    <w:p>
      <w:pPr>
        <w:pStyle w:val="Heading1"/>
      </w:pPr>
      <w:r>
        <w:t>10. Workflow Runtime</w:t>
      </w:r>
    </w:p>
    <w:p>
      <w:r>
        <w:t>Workflow не должен быть цепочкой промптов. Workflow должен быть управляемой state machine на основе WorkflowContract.</w:t>
      </w:r>
    </w:p>
    <w:p>
      <w:pPr>
        <w:spacing w:after="120"/>
        <w:ind w:left="317"/>
      </w:pPr>
      <w:r>
        <w:rPr>
          <w:rFonts w:ascii="Courier New" w:hAnsi="Courier New" w:eastAsia="Courier New"/>
          <w:sz w:val="15"/>
        </w:rPr>
        <w:t>User intent</w:t>
        <w:br/>
      </w:r>
      <w:r>
        <w:rPr>
          <w:rFonts w:ascii="Courier New" w:hAnsi="Courier New" w:eastAsia="Courier New"/>
          <w:sz w:val="15"/>
        </w:rPr>
        <w:t xml:space="preserve">  -&gt; Workflow Router</w:t>
        <w:br/>
      </w:r>
      <w:r>
        <w:rPr>
          <w:rFonts w:ascii="Courier New" w:hAnsi="Courier New" w:eastAsia="Courier New"/>
          <w:sz w:val="15"/>
        </w:rPr>
        <w:t xml:space="preserve">  -&gt; Workflow Contract</w:t>
        <w:br/>
      </w:r>
      <w:r>
        <w:rPr>
          <w:rFonts w:ascii="Courier New" w:hAnsi="Courier New" w:eastAsia="Courier New"/>
          <w:sz w:val="15"/>
        </w:rPr>
        <w:t xml:space="preserve">  -&gt; WorkflowRun / AgentRun State Machine</w:t>
        <w:br/>
      </w:r>
      <w:r>
        <w:rPr>
          <w:rFonts w:ascii="Courier New" w:hAnsi="Courier New" w:eastAsia="Courier New"/>
          <w:sz w:val="15"/>
        </w:rPr>
        <w:t xml:space="preserve">  -&gt; Visible Progress + Artifact Workspace</w:t>
        <w:br/>
      </w:r>
      <w:r>
        <w:rPr>
          <w:rFonts w:ascii="Courier New" w:hAnsi="Courier New" w:eastAsia="Courier New"/>
          <w:sz w:val="15"/>
        </w:rPr>
        <w:t xml:space="preserve">  -&gt; Semantic / Policy / Cost Guardrails</w:t>
        <w:br/>
      </w:r>
      <w:r>
        <w:rPr>
          <w:rFonts w:ascii="Courier New" w:hAnsi="Courier New" w:eastAsia="Courier New"/>
          <w:sz w:val="15"/>
        </w:rPr>
        <w:t xml:space="preserve">  -&gt; Human Decisions where needed</w:t>
        <w:br/>
      </w:r>
      <w:r>
        <w:rPr>
          <w:rFonts w:ascii="Courier New" w:hAnsi="Courier New" w:eastAsia="Courier New"/>
          <w:sz w:val="15"/>
        </w:rPr>
        <w:t xml:space="preserve">  -&gt; Traceable Artifact / Action / Export</w:t>
        <w:br/>
      </w:r>
    </w:p>
    <w:p>
      <w:pPr>
        <w:spacing w:after="120"/>
        <w:ind w:left="317"/>
      </w:pPr>
      <w:r>
        <w:rPr>
          <w:rFonts w:ascii="Courier New" w:hAnsi="Courier New" w:eastAsia="Courier New"/>
          <w:sz w:val="15"/>
        </w:rPr>
        <w:t>created -&gt; intake -&gt; briefing -&gt; preflight -&gt; mapping -&gt; working</w:t>
        <w:br/>
      </w:r>
      <w:r>
        <w:rPr>
          <w:rFonts w:ascii="Courier New" w:hAnsi="Courier New" w:eastAsia="Courier New"/>
          <w:sz w:val="15"/>
        </w:rPr>
        <w:t xml:space="preserve">  -&gt; requires_action / waiting</w:t>
        <w:br/>
      </w:r>
      <w:r>
        <w:rPr>
          <w:rFonts w:ascii="Courier New" w:hAnsi="Courier New" w:eastAsia="Courier New"/>
          <w:sz w:val="15"/>
        </w:rPr>
        <w:t xml:space="preserve">  -&gt; artifact_build -&gt; review -&gt; forge -&gt; completed</w:t>
        <w:br/>
      </w:r>
      <w:r>
        <w:rPr>
          <w:rFonts w:ascii="Courier New" w:hAnsi="Courier New" w:eastAsia="Courier New"/>
          <w:sz w:val="15"/>
        </w:rPr>
        <w:t xml:space="preserve">  -&gt; failed / cancelled / expired</w:t>
        <w:br/>
      </w:r>
    </w:p>
    <w:p>
      <w:r>
        <w:t>Durable execution rules: long-running WF выполняются через Temporal или совместимый Durable Runtime; model calls являются activities через ModelGateway; approvals являются state/signals; external side effects имеют idempotencyKey; replay не должен повторять side effects; ошибка должна иметь recovery path.</w:t>
      </w:r>
    </w:p>
    <w:p>
      <w:pPr>
        <w:pStyle w:val="Heading1"/>
      </w:pPr>
      <w:r>
        <w:t>11. Data model additions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sz w:val="17"/>
              </w:rPr>
              <w:t>Entity</w:t>
            </w:r>
          </w:p>
        </w:tc>
        <w:tc>
          <w:tcPr>
            <w:tcW w:type="dxa" w:w="5112"/>
            <w:shd w:fill="D9EAF7"/>
          </w:tcPr>
          <w:p>
            <w:pPr>
              <w:spacing w:after="0"/>
            </w:pPr>
            <w:r/>
            <w:r>
              <w:rPr>
                <w:b/>
                <w:sz w:val="17"/>
              </w:rPr>
              <w:t>Назначение</w:t>
            </w:r>
          </w:p>
        </w:tc>
      </w:tr>
      <w:tr>
        <w:tc>
          <w:tcPr>
            <w:tcW w:type="dxa" w:w="5112"/>
            <w:vAlign w:val="top"/>
          </w:tcPr>
          <w:p>
            <w:pPr>
              <w:spacing w:after="0"/>
            </w:pPr>
            <w:r/>
            <w:r>
              <w:rPr>
                <w:b w:val="0"/>
                <w:sz w:val="16"/>
              </w:rPr>
              <w:t>model_runs</w:t>
            </w:r>
          </w:p>
        </w:tc>
        <w:tc>
          <w:tcPr>
            <w:tcW w:type="dxa" w:w="5112"/>
            <w:vAlign w:val="top"/>
          </w:tcPr>
          <w:p>
            <w:pPr>
              <w:spacing w:after="0"/>
            </w:pPr>
            <w:r/>
            <w:r>
              <w:rPr>
                <w:b w:val="0"/>
                <w:sz w:val="16"/>
              </w:rPr>
              <w:t>Нормализованные ModelGateway calls, provider refs, usage, state refs.</w:t>
            </w:r>
          </w:p>
        </w:tc>
      </w:tr>
      <w:tr>
        <w:tc>
          <w:tcPr>
            <w:tcW w:type="dxa" w:w="5112"/>
            <w:vAlign w:val="top"/>
          </w:tcPr>
          <w:p>
            <w:pPr>
              <w:spacing w:after="0"/>
            </w:pPr>
            <w:r/>
            <w:r>
              <w:rPr>
                <w:b w:val="0"/>
                <w:sz w:val="16"/>
              </w:rPr>
              <w:t>model_events</w:t>
            </w:r>
          </w:p>
        </w:tc>
        <w:tc>
          <w:tcPr>
            <w:tcW w:type="dxa" w:w="5112"/>
            <w:vAlign w:val="top"/>
          </w:tcPr>
          <w:p>
            <w:pPr>
              <w:spacing w:after="0"/>
            </w:pPr>
            <w:r/>
            <w:r>
              <w:rPr>
                <w:b w:val="0"/>
                <w:sz w:val="16"/>
              </w:rPr>
              <w:t>Streaming/event log для model runs.</w:t>
            </w:r>
          </w:p>
        </w:tc>
      </w:tr>
      <w:tr>
        <w:tc>
          <w:tcPr>
            <w:tcW w:type="dxa" w:w="5112"/>
            <w:vAlign w:val="top"/>
          </w:tcPr>
          <w:p>
            <w:pPr>
              <w:spacing w:after="0"/>
            </w:pPr>
            <w:r/>
            <w:r>
              <w:rPr>
                <w:b w:val="0"/>
                <w:sz w:val="16"/>
              </w:rPr>
              <w:t>model_tool_calls</w:t>
            </w:r>
          </w:p>
        </w:tc>
        <w:tc>
          <w:tcPr>
            <w:tcW w:type="dxa" w:w="5112"/>
            <w:vAlign w:val="top"/>
          </w:tcPr>
          <w:p>
            <w:pPr>
              <w:spacing w:after="0"/>
            </w:pPr>
            <w:r/>
            <w:r>
              <w:rPr>
                <w:b w:val="0"/>
                <w:sz w:val="16"/>
              </w:rPr>
              <w:t>Tool call plans, approvals, outputs, risk classification.</w:t>
            </w:r>
          </w:p>
        </w:tc>
      </w:tr>
      <w:tr>
        <w:tc>
          <w:tcPr>
            <w:tcW w:type="dxa" w:w="5112"/>
            <w:vAlign w:val="top"/>
          </w:tcPr>
          <w:p>
            <w:pPr>
              <w:spacing w:after="0"/>
            </w:pPr>
            <w:r/>
            <w:r>
              <w:rPr>
                <w:b w:val="0"/>
                <w:sz w:val="16"/>
              </w:rPr>
              <w:t>workflow_contracts</w:t>
            </w:r>
          </w:p>
        </w:tc>
        <w:tc>
          <w:tcPr>
            <w:tcW w:type="dxa" w:w="5112"/>
            <w:vAlign w:val="top"/>
          </w:tcPr>
          <w:p>
            <w:pPr>
              <w:spacing w:after="0"/>
            </w:pPr>
            <w:r/>
            <w:r>
              <w:rPr>
                <w:b w:val="0"/>
                <w:sz w:val="16"/>
              </w:rPr>
              <w:t>Версионированные workflow definitions.</w:t>
            </w:r>
          </w:p>
        </w:tc>
      </w:tr>
      <w:tr>
        <w:tc>
          <w:tcPr>
            <w:tcW w:type="dxa" w:w="5112"/>
            <w:vAlign w:val="top"/>
          </w:tcPr>
          <w:p>
            <w:pPr>
              <w:spacing w:after="0"/>
            </w:pPr>
            <w:r/>
            <w:r>
              <w:rPr>
                <w:b w:val="0"/>
                <w:sz w:val="16"/>
              </w:rPr>
              <w:t>workflow_runs</w:t>
            </w:r>
          </w:p>
        </w:tc>
        <w:tc>
          <w:tcPr>
            <w:tcW w:type="dxa" w:w="5112"/>
            <w:vAlign w:val="top"/>
          </w:tcPr>
          <w:p>
            <w:pPr>
              <w:spacing w:after="0"/>
            </w:pPr>
            <w:r/>
            <w:r>
              <w:rPr>
                <w:b w:val="0"/>
                <w:sz w:val="16"/>
              </w:rPr>
              <w:t>Пользовательские запуски workflow.</w:t>
            </w:r>
          </w:p>
        </w:tc>
      </w:tr>
      <w:tr>
        <w:tc>
          <w:tcPr>
            <w:tcW w:type="dxa" w:w="5112"/>
            <w:vAlign w:val="top"/>
          </w:tcPr>
          <w:p>
            <w:pPr>
              <w:spacing w:after="0"/>
            </w:pPr>
            <w:r/>
            <w:r>
              <w:rPr>
                <w:b w:val="0"/>
                <w:sz w:val="16"/>
              </w:rPr>
              <w:t>workflow_events</w:t>
            </w:r>
          </w:p>
        </w:tc>
        <w:tc>
          <w:tcPr>
            <w:tcW w:type="dxa" w:w="5112"/>
            <w:vAlign w:val="top"/>
          </w:tcPr>
          <w:p>
            <w:pPr>
              <w:spacing w:after="0"/>
            </w:pPr>
            <w:r/>
            <w:r>
              <w:rPr>
                <w:b w:val="0"/>
                <w:sz w:val="16"/>
              </w:rPr>
              <w:t>Высокоуровневые события workflow.</w:t>
            </w:r>
          </w:p>
        </w:tc>
      </w:tr>
      <w:tr>
        <w:tc>
          <w:tcPr>
            <w:tcW w:type="dxa" w:w="5112"/>
            <w:vAlign w:val="top"/>
          </w:tcPr>
          <w:p>
            <w:pPr>
              <w:spacing w:after="0"/>
            </w:pPr>
            <w:r/>
            <w:r>
              <w:rPr>
                <w:b w:val="0"/>
                <w:sz w:val="16"/>
              </w:rPr>
              <w:t>provider_state_refs</w:t>
            </w:r>
          </w:p>
        </w:tc>
        <w:tc>
          <w:tcPr>
            <w:tcW w:type="dxa" w:w="5112"/>
            <w:vAlign w:val="top"/>
          </w:tcPr>
          <w:p>
            <w:pPr>
              <w:spacing w:after="0"/>
            </w:pPr>
            <w:r/>
            <w:r>
              <w:rPr>
                <w:b w:val="0"/>
                <w:sz w:val="16"/>
              </w:rPr>
              <w:t>previous response ids, encrypted reasoning refs, cache metadata.</w:t>
            </w:r>
          </w:p>
        </w:tc>
      </w:tr>
      <w:tr>
        <w:tc>
          <w:tcPr>
            <w:tcW w:type="dxa" w:w="5112"/>
            <w:vAlign w:val="top"/>
          </w:tcPr>
          <w:p>
            <w:pPr>
              <w:spacing w:after="0"/>
            </w:pPr>
            <w:r/>
            <w:r>
              <w:rPr>
                <w:b w:val="0"/>
                <w:sz w:val="16"/>
              </w:rPr>
              <w:t>artifact_patches</w:t>
            </w:r>
          </w:p>
        </w:tc>
        <w:tc>
          <w:tcPr>
            <w:tcW w:type="dxa" w:w="5112"/>
            <w:vAlign w:val="top"/>
          </w:tcPr>
          <w:p>
            <w:pPr>
              <w:spacing w:after="0"/>
            </w:pPr>
            <w:r/>
            <w:r>
              <w:rPr>
                <w:b w:val="0"/>
                <w:sz w:val="16"/>
              </w:rPr>
              <w:t>Версионированные изменения артефактов.</w:t>
            </w:r>
          </w:p>
        </w:tc>
      </w:tr>
      <w:tr>
        <w:tc>
          <w:tcPr>
            <w:tcW w:type="dxa" w:w="5112"/>
            <w:vAlign w:val="top"/>
          </w:tcPr>
          <w:p>
            <w:pPr>
              <w:spacing w:after="0"/>
            </w:pPr>
            <w:r/>
            <w:r>
              <w:rPr>
                <w:b w:val="0"/>
                <w:sz w:val="16"/>
              </w:rPr>
              <w:t>decision_records</w:t>
            </w:r>
          </w:p>
        </w:tc>
        <w:tc>
          <w:tcPr>
            <w:tcW w:type="dxa" w:w="5112"/>
            <w:vAlign w:val="top"/>
          </w:tcPr>
          <w:p>
            <w:pPr>
              <w:spacing w:after="0"/>
            </w:pPr>
            <w:r/>
            <w:r>
              <w:rPr>
                <w:b w:val="0"/>
                <w:sz w:val="16"/>
              </w:rPr>
              <w:t>Человеческие и системные решения.</w:t>
            </w:r>
          </w:p>
        </w:tc>
      </w:tr>
      <w:tr>
        <w:tc>
          <w:tcPr>
            <w:tcW w:type="dxa" w:w="5112"/>
            <w:vAlign w:val="top"/>
          </w:tcPr>
          <w:p>
            <w:pPr>
              <w:spacing w:after="0"/>
            </w:pPr>
            <w:r/>
            <w:r>
              <w:rPr>
                <w:b w:val="0"/>
                <w:sz w:val="16"/>
              </w:rPr>
              <w:t>approval_requests</w:t>
            </w:r>
          </w:p>
        </w:tc>
        <w:tc>
          <w:tcPr>
            <w:tcW w:type="dxa" w:w="5112"/>
            <w:vAlign w:val="top"/>
          </w:tcPr>
          <w:p>
            <w:pPr>
              <w:spacing w:after="0"/>
            </w:pPr>
            <w:r/>
            <w:r>
              <w:rPr>
                <w:b w:val="0"/>
                <w:sz w:val="16"/>
              </w:rPr>
              <w:t>Durable approval lifecycle.</w:t>
            </w:r>
          </w:p>
        </w:tc>
      </w:tr>
    </w:tbl>
    <w:p/>
    <w:p>
      <w:pPr>
        <w:pStyle w:val="Heading1"/>
      </w:pPr>
      <w:r>
        <w:t>12. ADR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sz w:val="17"/>
              </w:rPr>
              <w:t>ADR</w:t>
            </w:r>
          </w:p>
        </w:tc>
        <w:tc>
          <w:tcPr>
            <w:tcW w:type="dxa" w:w="5112"/>
            <w:shd w:fill="D9EAF7"/>
          </w:tcPr>
          <w:p>
            <w:pPr>
              <w:spacing w:after="0"/>
            </w:pPr>
            <w:r/>
            <w:r>
              <w:rPr>
                <w:b/>
                <w:sz w:val="17"/>
              </w:rPr>
              <w:t>Decision</w:t>
            </w:r>
          </w:p>
        </w:tc>
      </w:tr>
      <w:tr>
        <w:tc>
          <w:tcPr>
            <w:tcW w:type="dxa" w:w="5112"/>
            <w:vAlign w:val="top"/>
          </w:tcPr>
          <w:p>
            <w:pPr>
              <w:spacing w:after="0"/>
            </w:pPr>
            <w:r/>
            <w:r>
              <w:rPr>
                <w:b w:val="0"/>
                <w:sz w:val="16"/>
              </w:rPr>
              <w:t>ADR-001: Responses-inspired ModelGateway</w:t>
            </w:r>
          </w:p>
        </w:tc>
        <w:tc>
          <w:tcPr>
            <w:tcW w:type="dxa" w:w="5112"/>
            <w:vAlign w:val="top"/>
          </w:tcPr>
          <w:p>
            <w:pPr>
              <w:spacing w:after="0"/>
            </w:pPr>
            <w:r/>
            <w:r>
              <w:rPr>
                <w:b w:val="0"/>
                <w:sz w:val="16"/>
              </w:rPr>
              <w:t>ModelGateway adopts Responses-style semantics: input/output items, streaming, tool-call loop, state refs, structured outputs, usage/cost/trace normalization.</w:t>
            </w:r>
          </w:p>
        </w:tc>
      </w:tr>
      <w:tr>
        <w:tc>
          <w:tcPr>
            <w:tcW w:type="dxa" w:w="5112"/>
            <w:vAlign w:val="top"/>
          </w:tcPr>
          <w:p>
            <w:pPr>
              <w:spacing w:after="0"/>
            </w:pPr>
            <w:r/>
            <w:r>
              <w:rPr>
                <w:b w:val="0"/>
                <w:sz w:val="16"/>
              </w:rPr>
              <w:t>ADR-002: LiteLLM-first adapter</w:t>
            </w:r>
          </w:p>
        </w:tc>
        <w:tc>
          <w:tcPr>
            <w:tcW w:type="dxa" w:w="5112"/>
            <w:vAlign w:val="top"/>
          </w:tcPr>
          <w:p>
            <w:pPr>
              <w:spacing w:after="0"/>
            </w:pPr>
            <w:r/>
            <w:r>
              <w:rPr>
                <w:b w:val="0"/>
                <w:sz w:val="16"/>
              </w:rPr>
              <w:t>LiteLLM is primary provider/proxy adapter for multi-provider inference, routing, fallback and cost tracking.</w:t>
            </w:r>
          </w:p>
        </w:tc>
      </w:tr>
      <w:tr>
        <w:tc>
          <w:tcPr>
            <w:tcW w:type="dxa" w:w="5112"/>
            <w:vAlign w:val="top"/>
          </w:tcPr>
          <w:p>
            <w:pPr>
              <w:spacing w:after="0"/>
            </w:pPr>
            <w:r/>
            <w:r>
              <w:rPr>
                <w:b w:val="0"/>
                <w:sz w:val="16"/>
              </w:rPr>
              <w:t>ADR-003: OpenAI Native Responses adapter</w:t>
            </w:r>
          </w:p>
        </w:tc>
        <w:tc>
          <w:tcPr>
            <w:tcW w:type="dxa" w:w="5112"/>
            <w:vAlign w:val="top"/>
          </w:tcPr>
          <w:p>
            <w:pPr>
              <w:spacing w:after="0"/>
            </w:pPr>
            <w:r/>
            <w:r>
              <w:rPr>
                <w:b w:val="0"/>
                <w:sz w:val="16"/>
              </w:rPr>
              <w:t>Retained for capability parity, diagnostics, hosted tools and fallback; not workflow owner and not central service.</w:t>
            </w:r>
          </w:p>
        </w:tc>
      </w:tr>
      <w:tr>
        <w:tc>
          <w:tcPr>
            <w:tcW w:type="dxa" w:w="5112"/>
            <w:vAlign w:val="top"/>
          </w:tcPr>
          <w:p>
            <w:pPr>
              <w:spacing w:after="0"/>
            </w:pPr>
            <w:r/>
            <w:r>
              <w:rPr>
                <w:b w:val="0"/>
                <w:sz w:val="16"/>
              </w:rPr>
              <w:t>ADR-004: ChatAVG owns workflow state</w:t>
            </w:r>
          </w:p>
        </w:tc>
        <w:tc>
          <w:tcPr>
            <w:tcW w:type="dxa" w:w="5112"/>
            <w:vAlign w:val="top"/>
          </w:tcPr>
          <w:p>
            <w:pPr>
              <w:spacing w:after="0"/>
            </w:pPr>
            <w:r/>
            <w:r>
              <w:rPr>
                <w:b w:val="0"/>
                <w:sz w:val="16"/>
              </w:rPr>
              <w:t>WorkflowRun, AgentRun, approvals, artifacts, claims, decisions, policies and trace remain owned by ChatAVG.</w:t>
            </w:r>
          </w:p>
        </w:tc>
      </w:tr>
      <w:tr>
        <w:tc>
          <w:tcPr>
            <w:tcW w:type="dxa" w:w="5112"/>
            <w:vAlign w:val="top"/>
          </w:tcPr>
          <w:p>
            <w:pPr>
              <w:spacing w:after="0"/>
            </w:pPr>
            <w:r/>
            <w:r>
              <w:rPr>
                <w:b w:val="0"/>
                <w:sz w:val="16"/>
              </w:rPr>
              <w:t>ADR-005: Separate tool and knowledge boundaries</w:t>
            </w:r>
          </w:p>
        </w:tc>
        <w:tc>
          <w:tcPr>
            <w:tcW w:type="dxa" w:w="5112"/>
            <w:vAlign w:val="top"/>
          </w:tcPr>
          <w:p>
            <w:pPr>
              <w:spacing w:after="0"/>
            </w:pPr>
            <w:r/>
            <w:r>
              <w:rPr>
                <w:b w:val="0"/>
                <w:sz w:val="16"/>
              </w:rPr>
              <w:t>MCPToolGateway handles tools/connectors; KnowledgeGateway handles retrieval/citations/provenance; ModelGateway coordinates model calls.</w:t>
            </w:r>
          </w:p>
        </w:tc>
      </w:tr>
    </w:tbl>
    <w:p/>
    <w:p>
      <w:pPr>
        <w:pStyle w:val="Heading1"/>
      </w:pPr>
      <w:r>
        <w:t>13. Implementation roadmap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sz w:val="17"/>
              </w:rPr>
              <w:t>Phase</w:t>
            </w:r>
          </w:p>
        </w:tc>
        <w:tc>
          <w:tcPr>
            <w:tcW w:type="dxa" w:w="5112"/>
            <w:shd w:fill="D9EAF7"/>
          </w:tcPr>
          <w:p>
            <w:pPr>
              <w:spacing w:after="0"/>
            </w:pPr>
            <w:r/>
            <w:r>
              <w:rPr>
                <w:b/>
                <w:sz w:val="17"/>
              </w:rPr>
              <w:t>Scope</w:t>
            </w:r>
          </w:p>
        </w:tc>
      </w:tr>
      <w:tr>
        <w:tc>
          <w:tcPr>
            <w:tcW w:type="dxa" w:w="5112"/>
            <w:vAlign w:val="top"/>
          </w:tcPr>
          <w:p>
            <w:pPr>
              <w:spacing w:after="0"/>
            </w:pPr>
            <w:r/>
            <w:r>
              <w:rPr>
                <w:b w:val="0"/>
                <w:sz w:val="16"/>
              </w:rPr>
              <w:t>Phase 1 - ModelGateway core</w:t>
            </w:r>
          </w:p>
        </w:tc>
        <w:tc>
          <w:tcPr>
            <w:tcW w:type="dxa" w:w="5112"/>
            <w:vAlign w:val="top"/>
          </w:tcPr>
          <w:p>
            <w:pPr>
              <w:spacing w:after="0"/>
            </w:pPr>
            <w:r/>
            <w:r>
              <w:rPr>
                <w:b w:val="0"/>
                <w:sz w:val="16"/>
              </w:rPr>
              <w:t>Define ModelRequest/Response/Event; implement LiteLLMAdapter and OpenAIResponsesAdapter; normalized streaming; usage/cost/error mapping; feature flags.</w:t>
            </w:r>
          </w:p>
        </w:tc>
      </w:tr>
      <w:tr>
        <w:tc>
          <w:tcPr>
            <w:tcW w:type="dxa" w:w="5112"/>
            <w:vAlign w:val="top"/>
          </w:tcPr>
          <w:p>
            <w:pPr>
              <w:spacing w:after="0"/>
            </w:pPr>
            <w:r/>
            <w:r>
              <w:rPr>
                <w:b w:val="0"/>
                <w:sz w:val="16"/>
              </w:rPr>
              <w:t>Phase 2 - Tool envelope</w:t>
            </w:r>
          </w:p>
        </w:tc>
        <w:tc>
          <w:tcPr>
            <w:tcW w:type="dxa" w:w="5112"/>
            <w:vAlign w:val="top"/>
          </w:tcPr>
          <w:p>
            <w:pPr>
              <w:spacing w:after="0"/>
            </w:pPr>
            <w:r/>
            <w:r>
              <w:rPr>
                <w:b w:val="0"/>
                <w:sz w:val="16"/>
              </w:rPr>
              <w:t>ToolDescriptor, ToolCallPlan, tool risk class, policy check, approval_required event, ToolGateway bridge.</w:t>
            </w:r>
          </w:p>
        </w:tc>
      </w:tr>
      <w:tr>
        <w:tc>
          <w:tcPr>
            <w:tcW w:type="dxa" w:w="5112"/>
            <w:vAlign w:val="top"/>
          </w:tcPr>
          <w:p>
            <w:pPr>
              <w:spacing w:after="0"/>
            </w:pPr>
            <w:r/>
            <w:r>
              <w:rPr>
                <w:b w:val="0"/>
                <w:sz w:val="16"/>
              </w:rPr>
              <w:t>Phase 3 - Provider state and cache</w:t>
            </w:r>
          </w:p>
        </w:tc>
        <w:tc>
          <w:tcPr>
            <w:tcW w:type="dxa" w:w="5112"/>
            <w:vAlign w:val="top"/>
          </w:tcPr>
          <w:p>
            <w:pPr>
              <w:spacing w:after="0"/>
            </w:pPr>
            <w:r/>
            <w:r>
              <w:rPr>
                <w:b w:val="0"/>
                <w:sz w:val="16"/>
              </w:rPr>
              <w:t>ModelRun table, providerPreviousResponseId, encryptedReasoningRef, ProviderStatePolicy, cache key strategy.</w:t>
            </w:r>
          </w:p>
        </w:tc>
      </w:tr>
      <w:tr>
        <w:tc>
          <w:tcPr>
            <w:tcW w:type="dxa" w:w="5112"/>
            <w:vAlign w:val="top"/>
          </w:tcPr>
          <w:p>
            <w:pPr>
              <w:spacing w:after="0"/>
            </w:pPr>
            <w:r/>
            <w:r>
              <w:rPr>
                <w:b w:val="0"/>
                <w:sz w:val="16"/>
              </w:rPr>
              <w:t>Phase 4 - Knowledge bridge</w:t>
            </w:r>
          </w:p>
        </w:tc>
        <w:tc>
          <w:tcPr>
            <w:tcW w:type="dxa" w:w="5112"/>
            <w:vAlign w:val="top"/>
          </w:tcPr>
          <w:p>
            <w:pPr>
              <w:spacing w:after="0"/>
            </w:pPr>
            <w:r/>
            <w:r>
              <w:rPr>
                <w:b w:val="0"/>
                <w:sz w:val="16"/>
              </w:rPr>
              <w:t>KnowledgeGateway provider interface, OpenAI file_search/vector adapter, local FTS/vector adapter, citation/provenance normalizer.</w:t>
            </w:r>
          </w:p>
        </w:tc>
      </w:tr>
      <w:tr>
        <w:tc>
          <w:tcPr>
            <w:tcW w:type="dxa" w:w="5112"/>
            <w:vAlign w:val="top"/>
          </w:tcPr>
          <w:p>
            <w:pPr>
              <w:spacing w:after="0"/>
            </w:pPr>
            <w:r/>
            <w:r>
              <w:rPr>
                <w:b w:val="0"/>
                <w:sz w:val="16"/>
              </w:rPr>
              <w:t>Phase 5 - Workflow integration</w:t>
            </w:r>
          </w:p>
        </w:tc>
        <w:tc>
          <w:tcPr>
            <w:tcW w:type="dxa" w:w="5112"/>
            <w:vAlign w:val="top"/>
          </w:tcPr>
          <w:p>
            <w:pPr>
              <w:spacing w:after="0"/>
            </w:pPr>
            <w:r/>
            <w:r>
              <w:rPr>
                <w:b w:val="0"/>
                <w:sz w:val="16"/>
              </w:rPr>
              <w:t>ModelGateway as Temporal Activity; tool calls as durable events; approvals as workflow signals; outputs into ClaimLedger/ArtifactPatch/DecisionRecord.</w:t>
            </w:r>
          </w:p>
        </w:tc>
      </w:tr>
    </w:tbl>
    <w:p/>
    <w:p>
      <w:pPr>
        <w:pStyle w:val="Heading1"/>
      </w:pPr>
      <w:r>
        <w:t>14. Quality gates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sz w:val="17"/>
              </w:rPr>
              <w:t>Gate</w:t>
            </w:r>
          </w:p>
        </w:tc>
        <w:tc>
          <w:tcPr>
            <w:tcW w:type="dxa" w:w="5112"/>
            <w:shd w:fill="D9EAF7"/>
          </w:tcPr>
          <w:p>
            <w:pPr>
              <w:spacing w:after="0"/>
            </w:pPr>
            <w:r/>
            <w:r>
              <w:rPr>
                <w:b/>
                <w:sz w:val="17"/>
              </w:rPr>
              <w:t>Минимальное требование</w:t>
            </w:r>
          </w:p>
        </w:tc>
      </w:tr>
      <w:tr>
        <w:tc>
          <w:tcPr>
            <w:tcW w:type="dxa" w:w="5112"/>
            <w:vAlign w:val="top"/>
          </w:tcPr>
          <w:p>
            <w:pPr>
              <w:spacing w:after="0"/>
            </w:pPr>
            <w:r/>
            <w:r>
              <w:rPr>
                <w:b w:val="0"/>
                <w:sz w:val="16"/>
              </w:rPr>
              <w:t>Contract gate</w:t>
            </w:r>
          </w:p>
        </w:tc>
        <w:tc>
          <w:tcPr>
            <w:tcW w:type="dxa" w:w="5112"/>
            <w:vAlign w:val="top"/>
          </w:tcPr>
          <w:p>
            <w:pPr>
              <w:spacing w:after="0"/>
            </w:pPr>
            <w:r/>
            <w:r>
              <w:rPr>
                <w:b w:val="0"/>
                <w:sz w:val="16"/>
              </w:rPr>
              <w:t>ModelGateway contract covers streaming, structured outputs, tools, state refs, usage/cost.</w:t>
            </w:r>
          </w:p>
        </w:tc>
      </w:tr>
      <w:tr>
        <w:tc>
          <w:tcPr>
            <w:tcW w:type="dxa" w:w="5112"/>
            <w:vAlign w:val="top"/>
          </w:tcPr>
          <w:p>
            <w:pPr>
              <w:spacing w:after="0"/>
            </w:pPr>
            <w:r/>
            <w:r>
              <w:rPr>
                <w:b w:val="0"/>
                <w:sz w:val="16"/>
              </w:rPr>
              <w:t>Provider gate</w:t>
            </w:r>
          </w:p>
        </w:tc>
        <w:tc>
          <w:tcPr>
            <w:tcW w:type="dxa" w:w="5112"/>
            <w:vAlign w:val="top"/>
          </w:tcPr>
          <w:p>
            <w:pPr>
              <w:spacing w:after="0"/>
            </w:pPr>
            <w:r/>
            <w:r>
              <w:rPr>
                <w:b w:val="0"/>
                <w:sz w:val="16"/>
              </w:rPr>
              <w:t>LiteLLM and OpenAI native adapters pass same contract tests.</w:t>
            </w:r>
          </w:p>
        </w:tc>
      </w:tr>
      <w:tr>
        <w:tc>
          <w:tcPr>
            <w:tcW w:type="dxa" w:w="5112"/>
            <w:vAlign w:val="top"/>
          </w:tcPr>
          <w:p>
            <w:pPr>
              <w:spacing w:after="0"/>
            </w:pPr>
            <w:r/>
            <w:r>
              <w:rPr>
                <w:b w:val="0"/>
                <w:sz w:val="16"/>
              </w:rPr>
              <w:t>Fallback gate</w:t>
            </w:r>
          </w:p>
        </w:tc>
        <w:tc>
          <w:tcPr>
            <w:tcW w:type="dxa" w:w="5112"/>
            <w:vAlign w:val="top"/>
          </w:tcPr>
          <w:p>
            <w:pPr>
              <w:spacing w:after="0"/>
            </w:pPr>
            <w:r/>
            <w:r>
              <w:rPr>
                <w:b w:val="0"/>
                <w:sz w:val="16"/>
              </w:rPr>
              <w:t>Direct OpenAI fallback works without leaking provider logic into Core.</w:t>
            </w:r>
          </w:p>
        </w:tc>
      </w:tr>
      <w:tr>
        <w:tc>
          <w:tcPr>
            <w:tcW w:type="dxa" w:w="5112"/>
            <w:vAlign w:val="top"/>
          </w:tcPr>
          <w:p>
            <w:pPr>
              <w:spacing w:after="0"/>
            </w:pPr>
            <w:r/>
            <w:r>
              <w:rPr>
                <w:b w:val="0"/>
                <w:sz w:val="16"/>
              </w:rPr>
              <w:t>Tool safety gate</w:t>
            </w:r>
          </w:p>
        </w:tc>
        <w:tc>
          <w:tcPr>
            <w:tcW w:type="dxa" w:w="5112"/>
            <w:vAlign w:val="top"/>
          </w:tcPr>
          <w:p>
            <w:pPr>
              <w:spacing w:after="0"/>
            </w:pPr>
            <w:r/>
            <w:r>
              <w:rPr>
                <w:b w:val="0"/>
                <w:sz w:val="16"/>
              </w:rPr>
              <w:t>Risky tools cannot execute without policy/approval.</w:t>
            </w:r>
          </w:p>
        </w:tc>
      </w:tr>
      <w:tr>
        <w:tc>
          <w:tcPr>
            <w:tcW w:type="dxa" w:w="5112"/>
            <w:vAlign w:val="top"/>
          </w:tcPr>
          <w:p>
            <w:pPr>
              <w:spacing w:after="0"/>
            </w:pPr>
            <w:r/>
            <w:r>
              <w:rPr>
                <w:b w:val="0"/>
                <w:sz w:val="16"/>
              </w:rPr>
              <w:t>Workflow gate</w:t>
            </w:r>
          </w:p>
        </w:tc>
        <w:tc>
          <w:tcPr>
            <w:tcW w:type="dxa" w:w="5112"/>
            <w:vAlign w:val="top"/>
          </w:tcPr>
          <w:p>
            <w:pPr>
              <w:spacing w:after="0"/>
            </w:pPr>
            <w:r/>
            <w:r>
              <w:rPr>
                <w:b w:val="0"/>
                <w:sz w:val="16"/>
              </w:rPr>
              <w:t>Model calls are activities; workflows can pause/resume/cancel.</w:t>
            </w:r>
          </w:p>
        </w:tc>
      </w:tr>
      <w:tr>
        <w:tc>
          <w:tcPr>
            <w:tcW w:type="dxa" w:w="5112"/>
            <w:vAlign w:val="top"/>
          </w:tcPr>
          <w:p>
            <w:pPr>
              <w:spacing w:after="0"/>
            </w:pPr>
            <w:r/>
            <w:r>
              <w:rPr>
                <w:b w:val="0"/>
                <w:sz w:val="16"/>
              </w:rPr>
              <w:t>State gate</w:t>
            </w:r>
          </w:p>
        </w:tc>
        <w:tc>
          <w:tcPr>
            <w:tcW w:type="dxa" w:w="5112"/>
            <w:vAlign w:val="top"/>
          </w:tcPr>
          <w:p>
            <w:pPr>
              <w:spacing w:after="0"/>
            </w:pPr>
            <w:r/>
            <w:r>
              <w:rPr>
                <w:b w:val="0"/>
                <w:sz w:val="16"/>
              </w:rPr>
              <w:t>Provider state never becomes the only source of truth.</w:t>
            </w:r>
          </w:p>
        </w:tc>
      </w:tr>
      <w:tr>
        <w:tc>
          <w:tcPr>
            <w:tcW w:type="dxa" w:w="5112"/>
            <w:vAlign w:val="top"/>
          </w:tcPr>
          <w:p>
            <w:pPr>
              <w:spacing w:after="0"/>
            </w:pPr>
            <w:r/>
            <w:r>
              <w:rPr>
                <w:b w:val="0"/>
                <w:sz w:val="16"/>
              </w:rPr>
              <w:t>Artifact gate</w:t>
            </w:r>
          </w:p>
        </w:tc>
        <w:tc>
          <w:tcPr>
            <w:tcW w:type="dxa" w:w="5112"/>
            <w:vAlign w:val="top"/>
          </w:tcPr>
          <w:p>
            <w:pPr>
              <w:spacing w:after="0"/>
            </w:pPr>
            <w:r/>
            <w:r>
              <w:rPr>
                <w:b w:val="0"/>
                <w:sz w:val="16"/>
              </w:rPr>
              <w:t>Significant model outputs become traceable claims/patches/decisions.</w:t>
            </w:r>
          </w:p>
        </w:tc>
      </w:tr>
      <w:tr>
        <w:tc>
          <w:tcPr>
            <w:tcW w:type="dxa" w:w="5112"/>
            <w:vAlign w:val="top"/>
          </w:tcPr>
          <w:p>
            <w:pPr>
              <w:spacing w:after="0"/>
            </w:pPr>
            <w:r/>
            <w:r>
              <w:rPr>
                <w:b w:val="0"/>
                <w:sz w:val="16"/>
              </w:rPr>
              <w:t>Cost gate</w:t>
            </w:r>
          </w:p>
        </w:tc>
        <w:tc>
          <w:tcPr>
            <w:tcW w:type="dxa" w:w="5112"/>
            <w:vAlign w:val="top"/>
          </w:tcPr>
          <w:p>
            <w:pPr>
              <w:spacing w:after="0"/>
            </w:pPr>
            <w:r/>
            <w:r>
              <w:rPr>
                <w:b w:val="0"/>
                <w:sz w:val="16"/>
              </w:rPr>
              <w:t>Usage and cost are recorded for each ModelRun and WorkflowRun.</w:t>
            </w:r>
          </w:p>
        </w:tc>
      </w:tr>
    </w:tbl>
    <w:p/>
    <w:p>
      <w:pPr>
        <w:pStyle w:val="Heading1"/>
      </w:pPr>
      <w:r>
        <w:t>15.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pPr>
              <w:spacing w:after="0"/>
            </w:pPr>
            <w:r/>
            <w:r>
              <w:rPr>
                <w:b/>
                <w:sz w:val="17"/>
              </w:rPr>
              <w:t>Risk</w:t>
            </w:r>
          </w:p>
        </w:tc>
        <w:tc>
          <w:tcPr>
            <w:tcW w:type="dxa" w:w="3408"/>
            <w:shd w:fill="D9EAF7"/>
          </w:tcPr>
          <w:p>
            <w:pPr>
              <w:spacing w:after="0"/>
            </w:pPr>
            <w:r/>
            <w:r>
              <w:rPr>
                <w:b/>
                <w:sz w:val="17"/>
              </w:rPr>
              <w:t>Impact</w:t>
            </w:r>
          </w:p>
        </w:tc>
        <w:tc>
          <w:tcPr>
            <w:tcW w:type="dxa" w:w="3408"/>
            <w:shd w:fill="D9EAF7"/>
          </w:tcPr>
          <w:p>
            <w:pPr>
              <w:spacing w:after="0"/>
            </w:pPr>
            <w:r/>
            <w:r>
              <w:rPr>
                <w:b/>
                <w:sz w:val="17"/>
              </w:rPr>
              <w:t>Mitigation</w:t>
            </w:r>
          </w:p>
        </w:tc>
      </w:tr>
      <w:tr>
        <w:tc>
          <w:tcPr>
            <w:tcW w:type="dxa" w:w="3408"/>
            <w:vAlign w:val="top"/>
          </w:tcPr>
          <w:p>
            <w:pPr>
              <w:spacing w:after="0"/>
            </w:pPr>
            <w:r/>
            <w:r>
              <w:rPr>
                <w:b w:val="0"/>
                <w:sz w:val="16"/>
              </w:rPr>
              <w:t>LiteLLM не покрывает Responses capability</w:t>
            </w:r>
          </w:p>
        </w:tc>
        <w:tc>
          <w:tcPr>
            <w:tcW w:type="dxa" w:w="3408"/>
            <w:vAlign w:val="top"/>
          </w:tcPr>
          <w:p>
            <w:pPr>
              <w:spacing w:after="0"/>
            </w:pPr>
            <w:r/>
            <w:r>
              <w:rPr>
                <w:b w:val="0"/>
                <w:sz w:val="16"/>
              </w:rPr>
              <w:t>Medium/High</w:t>
            </w:r>
          </w:p>
        </w:tc>
        <w:tc>
          <w:tcPr>
            <w:tcW w:type="dxa" w:w="3408"/>
            <w:vAlign w:val="top"/>
          </w:tcPr>
          <w:p>
            <w:pPr>
              <w:spacing w:after="0"/>
            </w:pPr>
            <w:r/>
            <w:r>
              <w:rPr>
                <w:b w:val="0"/>
                <w:sz w:val="16"/>
              </w:rPr>
              <w:t>Keep OpenAI native adapter as escape hatch.</w:t>
            </w:r>
          </w:p>
        </w:tc>
      </w:tr>
      <w:tr>
        <w:tc>
          <w:tcPr>
            <w:tcW w:type="dxa" w:w="3408"/>
            <w:vAlign w:val="top"/>
          </w:tcPr>
          <w:p>
            <w:pPr>
              <w:spacing w:after="0"/>
            </w:pPr>
            <w:r/>
            <w:r>
              <w:rPr>
                <w:b w:val="0"/>
                <w:sz w:val="16"/>
              </w:rPr>
              <w:t>OpenAI native path becomes privileged architecture</w:t>
            </w:r>
          </w:p>
        </w:tc>
        <w:tc>
          <w:tcPr>
            <w:tcW w:type="dxa" w:w="3408"/>
            <w:vAlign w:val="top"/>
          </w:tcPr>
          <w:p>
            <w:pPr>
              <w:spacing w:after="0"/>
            </w:pPr>
            <w:r/>
            <w:r>
              <w:rPr>
                <w:b w:val="0"/>
                <w:sz w:val="16"/>
              </w:rPr>
              <w:t>High</w:t>
            </w:r>
          </w:p>
        </w:tc>
        <w:tc>
          <w:tcPr>
            <w:tcW w:type="dxa" w:w="3408"/>
            <w:vAlign w:val="top"/>
          </w:tcPr>
          <w:p>
            <w:pPr>
              <w:spacing w:after="0"/>
            </w:pPr>
            <w:r/>
            <w:r>
              <w:rPr>
                <w:b w:val="0"/>
                <w:sz w:val="16"/>
              </w:rPr>
              <w:t>Enforce ModelGateway contract and adapter boundaries.</w:t>
            </w:r>
          </w:p>
        </w:tc>
      </w:tr>
      <w:tr>
        <w:tc>
          <w:tcPr>
            <w:tcW w:type="dxa" w:w="3408"/>
            <w:vAlign w:val="top"/>
          </w:tcPr>
          <w:p>
            <w:pPr>
              <w:spacing w:after="0"/>
            </w:pPr>
            <w:r/>
            <w:r>
              <w:rPr>
                <w:b w:val="0"/>
                <w:sz w:val="16"/>
              </w:rPr>
              <w:t>Model tool loop bypasses approvals</w:t>
            </w:r>
          </w:p>
        </w:tc>
        <w:tc>
          <w:tcPr>
            <w:tcW w:type="dxa" w:w="3408"/>
            <w:vAlign w:val="top"/>
          </w:tcPr>
          <w:p>
            <w:pPr>
              <w:spacing w:after="0"/>
            </w:pPr>
            <w:r/>
            <w:r>
              <w:rPr>
                <w:b w:val="0"/>
                <w:sz w:val="16"/>
              </w:rPr>
              <w:t>Critical</w:t>
            </w:r>
          </w:p>
        </w:tc>
        <w:tc>
          <w:tcPr>
            <w:tcW w:type="dxa" w:w="3408"/>
            <w:vAlign w:val="top"/>
          </w:tcPr>
          <w:p>
            <w:pPr>
              <w:spacing w:after="0"/>
            </w:pPr>
            <w:r/>
            <w:r>
              <w:rPr>
                <w:b w:val="0"/>
                <w:sz w:val="16"/>
              </w:rPr>
              <w:t>Policy envelope before any side-effect tool.</w:t>
            </w:r>
          </w:p>
        </w:tc>
      </w:tr>
      <w:tr>
        <w:tc>
          <w:tcPr>
            <w:tcW w:type="dxa" w:w="3408"/>
            <w:vAlign w:val="top"/>
          </w:tcPr>
          <w:p>
            <w:pPr>
              <w:spacing w:after="0"/>
            </w:pPr>
            <w:r/>
            <w:r>
              <w:rPr>
                <w:b w:val="0"/>
                <w:sz w:val="16"/>
              </w:rPr>
              <w:t>Provider state hides mission memory</w:t>
            </w:r>
          </w:p>
        </w:tc>
        <w:tc>
          <w:tcPr>
            <w:tcW w:type="dxa" w:w="3408"/>
            <w:vAlign w:val="top"/>
          </w:tcPr>
          <w:p>
            <w:pPr>
              <w:spacing w:after="0"/>
            </w:pPr>
            <w:r/>
            <w:r>
              <w:rPr>
                <w:b w:val="0"/>
                <w:sz w:val="16"/>
              </w:rPr>
              <w:t>High</w:t>
            </w:r>
          </w:p>
        </w:tc>
        <w:tc>
          <w:tcPr>
            <w:tcW w:type="dxa" w:w="3408"/>
            <w:vAlign w:val="top"/>
          </w:tcPr>
          <w:p>
            <w:pPr>
              <w:spacing w:after="0"/>
            </w:pPr>
            <w:r/>
            <w:r>
              <w:rPr>
                <w:b w:val="0"/>
                <w:sz w:val="16"/>
              </w:rPr>
              <w:t>ChatAVG-native state is system of record.</w:t>
            </w:r>
          </w:p>
        </w:tc>
      </w:tr>
      <w:tr>
        <w:tc>
          <w:tcPr>
            <w:tcW w:type="dxa" w:w="3408"/>
            <w:vAlign w:val="top"/>
          </w:tcPr>
          <w:p>
            <w:pPr>
              <w:spacing w:after="0"/>
            </w:pPr>
            <w:r/>
            <w:r>
              <w:rPr>
                <w:b w:val="0"/>
                <w:sz w:val="16"/>
              </w:rPr>
              <w:t>Workflow becomes prompt chain</w:t>
            </w:r>
          </w:p>
        </w:tc>
        <w:tc>
          <w:tcPr>
            <w:tcW w:type="dxa" w:w="3408"/>
            <w:vAlign w:val="top"/>
          </w:tcPr>
          <w:p>
            <w:pPr>
              <w:spacing w:after="0"/>
            </w:pPr>
            <w:r/>
            <w:r>
              <w:rPr>
                <w:b w:val="0"/>
                <w:sz w:val="16"/>
              </w:rPr>
              <w:t>High</w:t>
            </w:r>
          </w:p>
        </w:tc>
        <w:tc>
          <w:tcPr>
            <w:tcW w:type="dxa" w:w="3408"/>
            <w:vAlign w:val="top"/>
          </w:tcPr>
          <w:p>
            <w:pPr>
              <w:spacing w:after="0"/>
            </w:pPr>
            <w:r/>
            <w:r>
              <w:rPr>
                <w:b w:val="0"/>
                <w:sz w:val="16"/>
              </w:rPr>
              <w:t>WorkflowContract + state machine + Temporal activities.</w:t>
            </w:r>
          </w:p>
        </w:tc>
      </w:tr>
      <w:tr>
        <w:tc>
          <w:tcPr>
            <w:tcW w:type="dxa" w:w="3408"/>
            <w:vAlign w:val="top"/>
          </w:tcPr>
          <w:p>
            <w:pPr>
              <w:spacing w:after="0"/>
            </w:pPr>
            <w:r/>
            <w:r>
              <w:rPr>
                <w:b w:val="0"/>
                <w:sz w:val="16"/>
              </w:rPr>
              <w:t>Knowledge layer becomes provider-specific</w:t>
            </w:r>
          </w:p>
        </w:tc>
        <w:tc>
          <w:tcPr>
            <w:tcW w:type="dxa" w:w="3408"/>
            <w:vAlign w:val="top"/>
          </w:tcPr>
          <w:p>
            <w:pPr>
              <w:spacing w:after="0"/>
            </w:pPr>
            <w:r/>
            <w:r>
              <w:rPr>
                <w:b w:val="0"/>
                <w:sz w:val="16"/>
              </w:rPr>
              <w:t>Medium</w:t>
            </w:r>
          </w:p>
        </w:tc>
        <w:tc>
          <w:tcPr>
            <w:tcW w:type="dxa" w:w="3408"/>
            <w:vAlign w:val="top"/>
          </w:tcPr>
          <w:p>
            <w:pPr>
              <w:spacing w:after="0"/>
            </w:pPr>
            <w:r/>
            <w:r>
              <w:rPr>
                <w:b w:val="0"/>
                <w:sz w:val="16"/>
              </w:rPr>
              <w:t>KnowledgeGateway normalizes sources, citations and provenance.</w:t>
            </w:r>
          </w:p>
        </w:tc>
      </w:tr>
      <w:tr>
        <w:tc>
          <w:tcPr>
            <w:tcW w:type="dxa" w:w="3408"/>
            <w:vAlign w:val="top"/>
          </w:tcPr>
          <w:p>
            <w:pPr>
              <w:spacing w:after="0"/>
            </w:pPr>
            <w:r/>
            <w:r>
              <w:rPr>
                <w:b w:val="0"/>
                <w:sz w:val="16"/>
              </w:rPr>
              <w:t>Costs grow due to agentic loop</w:t>
            </w:r>
          </w:p>
        </w:tc>
        <w:tc>
          <w:tcPr>
            <w:tcW w:type="dxa" w:w="3408"/>
            <w:vAlign w:val="top"/>
          </w:tcPr>
          <w:p>
            <w:pPr>
              <w:spacing w:after="0"/>
            </w:pPr>
            <w:r/>
            <w:r>
              <w:rPr>
                <w:b w:val="0"/>
                <w:sz w:val="16"/>
              </w:rPr>
              <w:t>High</w:t>
            </w:r>
          </w:p>
        </w:tc>
        <w:tc>
          <w:tcPr>
            <w:tcW w:type="dxa" w:w="3408"/>
            <w:vAlign w:val="top"/>
          </w:tcPr>
          <w:p>
            <w:pPr>
              <w:spacing w:after="0"/>
            </w:pPr>
            <w:r/>
            <w:r>
              <w:rPr>
                <w:b w:val="0"/>
                <w:sz w:val="16"/>
              </w:rPr>
              <w:t>Preflight estimates, budgets, toolMode limits, max iterations.</w:t>
            </w:r>
          </w:p>
        </w:tc>
      </w:tr>
    </w:tbl>
    <w:p/>
    <w:p>
      <w:pPr>
        <w:pStyle w:val="Heading1"/>
      </w:pPr>
      <w:r>
        <w:t>16. Open questions</w:t>
      </w:r>
    </w:p>
    <w:p>
      <w:pPr>
        <w:pStyle w:val="ListNumber"/>
      </w:pPr>
      <w:r>
        <w:t>Какие OpenAI Responses capabilities считаются P0 для native adapter?</w:t>
      </w:r>
    </w:p>
    <w:p>
      <w:pPr>
        <w:pStyle w:val="ListNumber"/>
      </w:pPr>
      <w:r>
        <w:t>Нужно ли разрешать provider state для enterprise tenants по умолчанию или только opt-in?</w:t>
      </w:r>
    </w:p>
    <w:p>
      <w:pPr>
        <w:pStyle w:val="ListNumber"/>
      </w:pPr>
      <w:r>
        <w:t>Какие tools можно исполнять внутри single ModelRun без durable approval state?</w:t>
      </w:r>
    </w:p>
    <w:p>
      <w:pPr>
        <w:pStyle w:val="ListNumber"/>
      </w:pPr>
      <w:r>
        <w:t>Должен ли OpenAI file_search быть P0 provider KnowledgeGateway или P1?</w:t>
      </w:r>
    </w:p>
    <w:p>
      <w:pPr>
        <w:pStyle w:val="ListNumber"/>
      </w:pPr>
      <w:r>
        <w:t>Какие model policies нужны в MVP: fast_chat, semantic_standard, artifact_builder, code_assistant, reviewer?</w:t>
      </w:r>
    </w:p>
    <w:p>
      <w:pPr>
        <w:pStyle w:val="ListNumber"/>
      </w:pPr>
      <w:r>
        <w:t>Нужно ли поддерживать local llama.cpp в MVP или оставить как beta/local-dev path?</w:t>
      </w:r>
    </w:p>
    <w:p>
      <w:pPr>
        <w:pStyle w:val="Heading1"/>
      </w:pPr>
      <w:r>
        <w:t>17. Итоговая формула</w:t>
      </w:r>
    </w:p>
    <w:p>
      <w:pPr>
        <w:spacing w:after="120"/>
        <w:ind w:left="317"/>
      </w:pPr>
      <w:r>
        <w:rPr>
          <w:rFonts w:ascii="Courier New" w:hAnsi="Courier New" w:eastAsia="Courier New"/>
          <w:sz w:val="15"/>
        </w:rPr>
        <w:t>ChatAVG technological concept update =</w:t>
        <w:br/>
      </w:r>
      <w:r>
        <w:rPr>
          <w:rFonts w:ascii="Courier New" w:hAnsi="Courier New" w:eastAsia="Courier New"/>
          <w:sz w:val="15"/>
        </w:rPr>
        <w:t xml:space="preserve">  Responses-inspired ModelGateway</w:t>
        <w:br/>
      </w:r>
      <w:r>
        <w:rPr>
          <w:rFonts w:ascii="Courier New" w:hAnsi="Courier New" w:eastAsia="Courier New"/>
          <w:sz w:val="15"/>
        </w:rPr>
        <w:t xml:space="preserve">  + LiteLLM-first provider abstraction</w:t>
        <w:br/>
      </w:r>
      <w:r>
        <w:rPr>
          <w:rFonts w:ascii="Courier New" w:hAnsi="Courier New" w:eastAsia="Courier New"/>
          <w:sz w:val="15"/>
        </w:rPr>
        <w:t xml:space="preserve">  + OpenAI native capability fallback</w:t>
        <w:br/>
      </w:r>
      <w:r>
        <w:rPr>
          <w:rFonts w:ascii="Courier New" w:hAnsi="Courier New" w:eastAsia="Courier New"/>
          <w:sz w:val="15"/>
        </w:rPr>
        <w:t xml:space="preserve">  + ChatAVG-owned durable workflow state</w:t>
        <w:br/>
      </w:r>
      <w:r>
        <w:rPr>
          <w:rFonts w:ascii="Courier New" w:hAnsi="Courier New" w:eastAsia="Courier New"/>
          <w:sz w:val="15"/>
        </w:rPr>
        <w:t xml:space="preserve">  + policy-wrapped tool loop</w:t>
        <w:br/>
      </w:r>
      <w:r>
        <w:rPr>
          <w:rFonts w:ascii="Courier New" w:hAnsi="Courier New" w:eastAsia="Courier New"/>
          <w:sz w:val="15"/>
        </w:rPr>
        <w:t xml:space="preserve">  + knowledge provenance normalization</w:t>
        <w:br/>
      </w:r>
      <w:r>
        <w:rPr>
          <w:rFonts w:ascii="Courier New" w:hAnsi="Courier New" w:eastAsia="Courier New"/>
          <w:sz w:val="15"/>
        </w:rPr>
        <w:t xml:space="preserve">  + artifact/claim/decision traceability</w:t>
        <w:br/>
      </w:r>
    </w:p>
    <w:p>
      <w:r>
        <w:t>Главное: ChatAVG должен использовать преимущества OpenAI Responses-style архитектуры, но не передавать provider API право владеть пользовательской миссией, workflow, артефактом, человеческим решением и смысловыми границами.</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ChatAVG v2.3 - ModelGateway / Workflow Technical Concept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