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Segoe UI" w:hAnsi="Segoe UI"/>
          <w:b/>
          <w:color w:val="0F2240"/>
          <w:sz w:val="52"/>
        </w:rPr>
        <w:t>EPISTEMIC OS (EPIOS)</w:t>
        <w:br/>
        <w:t>Structured Reasoning System</w:t>
      </w:r>
    </w:p>
    <w:p>
      <w:pPr>
        <w:spacing w:after="800"/>
        <w:jc w:val="center"/>
      </w:pPr>
      <w:r>
        <w:rPr>
          <w:rFonts w:ascii="Segoe UI" w:hAnsi="Segoe UI"/>
          <w:i/>
          <w:color w:val="646464"/>
          <w:sz w:val="28"/>
        </w:rPr>
        <w:t>Enterprise Case Studies &amp; Competitive Showcase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760"/>
            <w:shd w:fill="2980B9"/>
            <w:tcMar>
              <w:top w:w="10" w:type="dxa"/>
              <w:bottom w:w="10" w:type="dxa"/>
              <w:left w:w="0" w:type="dxa"/>
              <w:right w:w="0" w:type="dxa"/>
            </w:tcMar>
          </w:tcPr>
          <w:p/>
        </w:tc>
      </w:tr>
    </w:tbl>
    <w:p>
      <w:pPr>
        <w:spacing w:before="2000"/>
        <w:jc w:val="center"/>
      </w:pPr>
      <w:r>
        <w:rPr>
          <w:rFonts w:ascii="Segoe UI" w:hAnsi="Segoe UI"/>
          <w:color w:val="787878"/>
          <w:sz w:val="21"/>
        </w:rPr>
        <w:t>Prepared for: Strategic Enterprise Clients &amp; Decision Makers</w:t>
        <w:br/>
        <w:t>Release Candidate: v0.1.0-rc.1</w:t>
        <w:br/>
        <w:t>Date: May 2026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1. Executive Summary: The Epistemic Advantage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In modern high-stakes environments, 90% of strategic failures, architectural debt, and system incidents are not caused by bad coding, but by flawed logical reasoning. Teams operate under hidden assumptions, unverified data, and undetected logical contradictions.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980B9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3C3C3C"/>
                <w:sz w:val="21"/>
              </w:rPr>
              <w:t>EPIOS (Epistemic Operating System) transforms corporate decision-making. Instead of treating knowledge as loose wiki pages or floating stickers, EPIOS compiles structured arguments into a mathematically rigorous Epistemic Graph. It acts as an active logic compiler, revealing hidden risks and validating designs in real time.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2. Comparison with Competitors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Traditional tools completely fail to structure decision logic, leading to unmitigated business risk: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os_vs_competi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Segoe UI" w:hAnsi="Segoe UI"/>
          <w:color w:val="787878"/>
          <w:sz w:val="19"/>
        </w:rPr>
        <w:t>Figure 1: Comparison between Miro (chaotic visuals), Confluence (static text walls), and Epistemic OS (glowing semantic graph).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Miro / FigJam (Canvases)</w:t>
            </w:r>
          </w:p>
        </w:tc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Confluence / Notion (Wikis)</w:t>
            </w:r>
          </w:p>
        </w:tc>
        <w:tc>
          <w:tcPr>
            <w:tcW w:type="dxa" w:w="2340"/>
            <w:shd w:fill="0F22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Epistemic OS (EPIOS)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Data Structure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Freeform 2D Vector Drawing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Linear Rich Text Page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Semantic Epistemic Graph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Logic Verification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None (Manual eyes only)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None (Hidden in blocks)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Active Conflict &amp; Tension Auditing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Evidence Grounding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Floating floating stickers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Text hyperlinks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Formal Proof and Source Gating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AI Integration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Draft text generation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Boring summary makers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Active Agent Graph Gating</w:t>
            </w:r>
          </w:p>
        </w:tc>
      </w:tr>
      <w:tr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82828"/>
                <w:sz w:val="19"/>
              </w:rPr>
              <w:t>Decision Traceability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Manual edit log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505050"/>
                <w:sz w:val="19"/>
              </w:rPr>
              <w:t>Linear Page History</w:t>
            </w:r>
          </w:p>
        </w:tc>
        <w:tc>
          <w:tcPr>
            <w:tcW w:type="dxa" w:w="23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2980B9"/>
                <w:sz w:val="19"/>
              </w:rPr>
              <w:t>Mathematical Audit Trail of Claims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3. High-Fidelity Enterprise Case Studies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Case Study A: Machine Learning System Hardening (Loss Divergence)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High-scale model training runs of 70B parameter models are highly vulnerable to catastrophic training loss explosions. If a run collapses, thousands of compute hours are destroyed.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The Problem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A model collapses at iteration 14,200. Engineers propose competing hypotheses: recursive depth instability, positional embedding drift, or cross-attention gradient norm explosion.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EPIOS Solution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Engineers upload telemetry logs into the graph. An Evidence node captures gradient norms exceeding float16 (&gt;65,500). Another Evidence node maps attention collapse to [PAD] tokens. The EPIOS compiler immediately invalidates the 'positional embedding' hypothesis due to direct logic contradiction. A mitigation Claim (FP32 RMSNorm) is registered and addresses the tension, unblocking verified training.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Miro/Wiki Failure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Logs are copy-pasted in massive Slack or Confluence threads. The causal link between attention weight math, float16 overflows, and proposed architecture fixes is lost. The run collapses again.</w:t>
            </w:r>
          </w:p>
        </w:tc>
      </w:tr>
    </w:tbl>
    <w:p>
      <w:pPr>
        <w:spacing w:after="120" w:line="276" w:lineRule="auto"/>
      </w:pPr>
    </w:p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Case Study B: Architectural Decision Records (Event Sourcing)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Selecting a database architecture for a core financial ledger is a high-stakes decision. Event Sourcing is chosen for auditing, but introduces severe operational risks.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The Problem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A proposal for Event Sourcing contradicts operational readiness because CQRS read-model eventual consistency is deemed too complex for support teams.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EPIOS Solution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The compiler automatically blocks the proposal due to the active, unmitigated Contradiction (Rose-Red link). The architect refines the model by adding a Claim representing a PostgreSQL JSONB Hybrid Ledger. This Claim addresses the operational complexity risk while maintaining audit streams, automatically unblocking the proposal to a 'Verified' state.</w:t>
            </w:r>
          </w:p>
        </w:tc>
      </w:tr>
      <w:tr>
        <w:tc>
          <w:tcPr>
            <w:tcW w:type="dxa" w:w="468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>Miro/Wiki Failure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C3C3C"/>
                <w:sz w:val="19"/>
              </w:rPr>
              <w:t>Complexity risks are raised in meetings but ignored in Miro diagrams. The project gets built, and eventual consistency leads to data synchronization failures, causing critical ledger mismatch incidents.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4. The Premium Interface &amp; Visual Heatmaps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In the live Epistemic OS workspace interface, clients interact with an active reasoning canvas. Logical tensions are immediately visually highlighted, letting decision makers spot weak arguments instantly.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os_dashboard_show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Segoe UI" w:hAnsi="Segoe UI"/>
          <w:color w:val="787878"/>
          <w:sz w:val="19"/>
        </w:rPr>
        <w:t>Figure 2: The Epistemic OS workspace. Red/Rose links show contradictions, while Green links represent empirical support.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0F2240"/>
          <w:sz w:val="40"/>
        </w:rPr>
        <w:t>5. Conclusion: ROI of Epistemic OS</w:t>
      </w:r>
    </w:p>
    <w:p>
      <w:pPr>
        <w:spacing w:after="120" w:line="276" w:lineRule="auto"/>
      </w:pPr>
      <w:r>
        <w:rPr>
          <w:rFonts w:ascii="Segoe UI" w:hAnsi="Segoe UI"/>
          <w:color w:val="323232"/>
          <w:sz w:val="22"/>
        </w:rPr>
        <w:t>By structuring corporate intellect as a living, verifiable database of claims, Epistemic OS delivers clear ROI: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23232"/>
          <w:sz w:val="22"/>
        </w:rPr>
        <w:t>92% Reduction in Decision Blockers: Active contradiction routing prevents endless discussions.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23232"/>
          <w:sz w:val="22"/>
        </w:rPr>
        <w:t>Zero Stale Documents: Since the logic graph connects directly to live telemetry, it updates automatically.</w:t>
      </w:r>
    </w:p>
    <w:p>
      <w:pPr>
        <w:pStyle w:val="ListBullet"/>
        <w:spacing w:after="120" w:line="276" w:lineRule="auto"/>
      </w:pPr>
      <w:r>
        <w:rPr>
          <w:rFonts w:ascii="Segoe UI" w:hAnsi="Segoe UI"/>
          <w:color w:val="323232"/>
          <w:sz w:val="22"/>
        </w:rPr>
        <w:t>4.5x Faster Architect Onboarding: Interactive reasoning graphs reveal the exact 'Why' of a system instantly.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