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1.0.0-pre.1</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with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a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an opportunity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under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and second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 address to be replaced.</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an opportunity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indicate a vote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indicate a vote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does not have to</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an opportunity to receive an equal share of license fees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equal shares of the amount, according to their</w:t>
      </w:r>
      <w:r>
        <w:t xml:space="preserve"> </w:t>
      </w:r>
      <w:hyperlink w:anchor="payment-instructions">
        <w:r>
          <w:rPr>
            <w:rStyle w:val="Hyperlink"/>
          </w:rPr>
          <w:t xml:space="preserve">payment instructions</w:t>
        </w:r>
      </w:hyperlink>
      <w:r>
        <w:t xml:space="preserve">. The distributing contributor does not have to</w:t>
      </w:r>
      <w:r>
        <w:t xml:space="preserve"> </w:t>
      </w:r>
      <w:hyperlink w:anchor="retry">
        <w:r>
          <w:rPr>
            <w:rStyle w:val="Hyperlink"/>
          </w:rPr>
          <w:t xml:space="preserve">retry</w:t>
        </w:r>
      </w:hyperlink>
      <w:r>
        <w:t xml:space="preserve"> </w:t>
      </w:r>
      <w:r>
        <w:t xml:space="preserve">failed payments. They can keep failed payments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2019-10-06T02:00:20Z</dcterms:created>
  <dcterms:modified xsi:type="dcterms:W3CDTF">2019-10-06T02:00:20Z</dcterms:modified>
</cp:coreProperties>
</file>