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foundation-agreement"/>
      <w:r>
        <w:t xml:space="preserve">Cross License Foundation Agreement</w:t>
      </w:r>
      <w:bookmarkEnd w:id="20"/>
    </w:p>
    <w:p>
      <w:pPr>
        <w:pStyle w:val="FirstParagraph"/>
      </w:pPr>
      <w:r>
        <w:t xml:space="preserve">Version 1.0.0-pre.1</w:t>
      </w:r>
    </w:p>
    <w:p>
      <w:pPr>
        <w:pStyle w:val="BodyText"/>
      </w:pPr>
      <w:hyperlink r:id="rId21">
        <w:r>
          <w:rPr>
            <w:rStyle w:val="Hyperlink"/>
          </w:rPr>
          <w:t xml:space="preserve">https://xlfoundation.com/agreement/1.0.0-pre.1</w:t>
        </w:r>
      </w:hyperlink>
    </w:p>
    <w:p>
      <w:pPr>
        <w:pStyle w:val="Heading2"/>
      </w:pPr>
      <w:bookmarkStart w:id="22" w:name="purpose"/>
      <w:r>
        <w:t xml:space="preserve">Purpose</w:t>
      </w:r>
      <w:bookmarkEnd w:id="22"/>
    </w:p>
    <w:p>
      <w:pPr>
        <w:pStyle w:val="FirstParagraph"/>
      </w:pPr>
      <w:r>
        <w:t xml:space="preserve">These terms enable contributors working together on a project covered by copyrights or patents to make collective decisions about changing the license terms for their project over time.</w:t>
      </w:r>
    </w:p>
    <w:p>
      <w:pPr>
        <w:pStyle w:val="Heading2"/>
      </w:pPr>
      <w:bookmarkStart w:id="23" w:name="acceptance"/>
      <w:r>
        <w:t xml:space="preserve">Acceptance</w:t>
      </w:r>
      <w:bookmarkEnd w:id="23"/>
    </w:p>
    <w:p>
      <w:pPr>
        <w:pStyle w:val="FirstParagraph"/>
      </w:pPr>
      <w:r>
        <w:t xml:space="preserve">In order to get any license under these terms, you must apply to become a contributor, be accepted, and agree to these terms. These terms are both obligations under an agreement among all contributors and conditions to all the cross licenses they give and receive under that agreement.</w:t>
      </w:r>
    </w:p>
    <w:p>
      <w:pPr>
        <w:pStyle w:val="Heading2"/>
      </w:pPr>
      <w:bookmarkStart w:id="24" w:name="contributors"/>
      <w:r>
        <w:t xml:space="preserve">Contributors</w:t>
      </w:r>
      <w:bookmarkEnd w:id="24"/>
    </w:p>
    <w:p>
      <w:pPr>
        <w:pStyle w:val="Heading3"/>
      </w:pPr>
      <w:bookmarkStart w:id="25" w:name="qualifications"/>
      <w:r>
        <w:t xml:space="preserve">Qualifications</w:t>
      </w:r>
      <w:bookmarkEnd w:id="25"/>
    </w:p>
    <w:p>
      <w:pPr>
        <w:pStyle w:val="FirstParagraph"/>
      </w:pPr>
      <w:r>
        <w:t xml:space="preserve">Only candidates offering contributions of copyrights or patent rights to the project can apply to become contributors.</w:t>
      </w:r>
    </w:p>
    <w:p>
      <w:pPr>
        <w:pStyle w:val="Heading3"/>
      </w:pPr>
      <w:bookmarkStart w:id="26" w:name="application"/>
      <w:r>
        <w:t xml:space="preserve">Application</w:t>
      </w:r>
      <w:bookmarkEnd w:id="26"/>
    </w:p>
    <w:p>
      <w:pPr>
        <w:pStyle w:val="FirstParagraph"/>
      </w:pPr>
      <w:r>
        <w:t xml:space="preserve">To apply to become a contributor, a candidate must send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a World Wide Web or other Internet address where contributors can review the first contribution they are offering</w:t>
      </w:r>
    </w:p>
    <w:p>
      <w:pPr>
        <w:numPr>
          <w:numId w:val="1001"/>
          <w:ilvl w:val="0"/>
        </w:numPr>
      </w:pPr>
      <w:r>
        <w:t xml:space="preserve">copies of, or World Wide Web links to, the terms of this agreement and the current statements of</w:t>
      </w:r>
      <w:r>
        <w:t xml:space="preserve"> </w:t>
      </w:r>
      <w:hyperlink w:anchor="license-criteria">
        <w:r>
          <w:rPr>
            <w:rStyle w:val="Hyperlink"/>
          </w:rPr>
          <w:t xml:space="preserve">license criteria</w:t>
        </w:r>
      </w:hyperlink>
      <w:r>
        <w:t xml:space="preserve"> </w:t>
      </w:r>
      <w:r>
        <w:t xml:space="preserve">and</w:t>
      </w:r>
      <w:r>
        <w:t xml:space="preserve"> </w:t>
      </w:r>
      <w:hyperlink w:anchor="communication-system">
        <w:r>
          <w:rPr>
            <w:rStyle w:val="Hyperlink"/>
          </w:rPr>
          <w:t xml:space="preserve">communication system</w:t>
        </w:r>
      </w:hyperlink>
    </w:p>
    <w:p>
      <w:pPr>
        <w:pStyle w:val="Heading3"/>
      </w:pPr>
      <w:bookmarkStart w:id="27" w:name="admission"/>
      <w:r>
        <w:t xml:space="preserve">Admission</w:t>
      </w:r>
      <w:bookmarkEnd w:id="27"/>
    </w:p>
    <w:p>
      <w:pPr>
        <w:pStyle w:val="FirstParagraph"/>
      </w:pPr>
      <w:r>
        <w:t xml:space="preserve">For a candidate to become a contributor, an existing contributor must follow each of these steps, one after another, in order:</w:t>
      </w:r>
    </w:p>
    <w:p>
      <w:pPr>
        <w:numPr>
          <w:numId w:val="1002"/>
          <w:ilvl w:val="0"/>
        </w:numPr>
      </w:pPr>
      <w:hyperlink w:anchor="circulating-messages">
        <w:r>
          <w:rPr>
            <w:rStyle w:val="Hyperlink"/>
          </w:rPr>
          <w:t xml:space="preserve">circulate</w:t>
        </w:r>
      </w:hyperlink>
      <w:r>
        <w:t xml:space="preserve"> </w:t>
      </w:r>
      <w:r>
        <w:t xml:space="preserve">the candidate’s complete application</w:t>
      </w:r>
    </w:p>
    <w:p>
      <w:pPr>
        <w:numPr>
          <w:numId w:val="1002"/>
          <w:ilvl w:val="0"/>
        </w:numPr>
      </w:pPr>
      <w:r>
        <w:t xml:space="preserve">secure</w:t>
      </w:r>
      <w:r>
        <w:t xml:space="preserve"> </w:t>
      </w:r>
      <w:hyperlink w:anchor="majority">
        <w:r>
          <w:rPr>
            <w:rStyle w:val="Hyperlink"/>
          </w:rPr>
          <w:t xml:space="preserve">majority approval</w:t>
        </w:r>
      </w:hyperlink>
      <w:r>
        <w:t xml:space="preserve"> </w:t>
      </w:r>
      <w:r>
        <w:t xml:space="preserve">in favor of their application</w:t>
      </w:r>
    </w:p>
    <w:p>
      <w:pPr>
        <w:numPr>
          <w:numId w:val="1002"/>
          <w:ilvl w:val="0"/>
        </w:numPr>
      </w:pP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including the new contributor’s</w:t>
      </w:r>
    </w:p>
    <w:p>
      <w:pPr>
        <w:pStyle w:val="Heading3"/>
      </w:pPr>
      <w:bookmarkStart w:id="28" w:name="resignation"/>
      <w:r>
        <w:t xml:space="preserve">Resignation</w:t>
      </w:r>
      <w:bookmarkEnd w:id="28"/>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 licenses to that contributor end, but their cross licenses to other contributors, as well as any sublicenses they have given for</w:t>
      </w:r>
      <w:r>
        <w:t xml:space="preserve"> </w:t>
      </w:r>
      <w:hyperlink w:anchor="relicensing">
        <w:r>
          <w:rPr>
            <w:rStyle w:val="Hyperlink"/>
          </w:rPr>
          <w:t xml:space="preserve">relicensing</w:t>
        </w:r>
      </w:hyperlink>
      <w:r>
        <w:t xml:space="preserve">, continue.</w:t>
      </w:r>
    </w:p>
    <w:p>
      <w:pPr>
        <w:pStyle w:val="Heading2"/>
      </w:pPr>
      <w:bookmarkStart w:id="29" w:name="cross-licenses"/>
      <w:r>
        <w:t xml:space="preserve">Cross Licenses</w:t>
      </w:r>
      <w:bookmarkEnd w:id="29"/>
    </w:p>
    <w:p>
      <w:pPr>
        <w:pStyle w:val="Heading3"/>
      </w:pPr>
      <w:bookmarkStart w:id="30" w:name="copyright"/>
      <w:r>
        <w:t xml:space="preserve">Copyright</w:t>
      </w:r>
      <w:bookmarkEnd w:id="30"/>
    </w:p>
    <w:p>
      <w:pPr>
        <w:pStyle w:val="FirstParagraph"/>
      </w:pPr>
      <w:r>
        <w:t xml:space="preserve">Each contributor gives a cross license covering all copyrights in their contributions to the project to each other contributor.</w:t>
      </w:r>
    </w:p>
    <w:p>
      <w:pPr>
        <w:pStyle w:val="Heading3"/>
      </w:pPr>
      <w:bookmarkStart w:id="31" w:name="patent"/>
      <w:r>
        <w:t xml:space="preserve">Patent</w:t>
      </w:r>
      <w:bookmarkEnd w:id="31"/>
    </w:p>
    <w:p>
      <w:pPr>
        <w:pStyle w:val="FirstParagraph"/>
      </w:pPr>
      <w:r>
        <w:t xml:space="preserve">Each contributor gives a cross license for the project covering any patent claims they can license or become able to license to each other contributor.</w:t>
      </w:r>
    </w:p>
    <w:p>
      <w:pPr>
        <w:pStyle w:val="Heading3"/>
      </w:pPr>
      <w:bookmarkStart w:id="32" w:name="scope"/>
      <w:r>
        <w:t xml:space="preserve">Scope</w:t>
      </w:r>
      <w:bookmarkEnd w:id="32"/>
    </w:p>
    <w:p>
      <w:pPr>
        <w:pStyle w:val="FirstParagraph"/>
      </w:pPr>
      <w:r>
        <w:t xml:space="preserve">Each cross license under these terms covers all contributors, past, present, and future, and all contributions submitted to the project, past, present, and future.</w:t>
      </w:r>
    </w:p>
    <w:p>
      <w:pPr>
        <w:pStyle w:val="Heading3"/>
      </w:pPr>
      <w:bookmarkStart w:id="33" w:name="rights"/>
      <w:r>
        <w:t xml:space="preserve">Rights</w:t>
      </w:r>
      <w:bookmarkEnd w:id="33"/>
    </w:p>
    <w:p>
      <w:pPr>
        <w:pStyle w:val="FirstParagraph"/>
      </w:pPr>
      <w:r>
        <w:t xml:space="preserve">Cross licenses under these terms do not give contributors themselves any special permission for the project, only permission to</w:t>
      </w:r>
      <w:r>
        <w:t xml:space="preserve"> </w:t>
      </w:r>
      <w:hyperlink w:anchor="relicense">
        <w:r>
          <w:rPr>
            <w:rStyle w:val="Hyperlink"/>
          </w:rPr>
          <w:t xml:space="preserve">relicense</w:t>
        </w:r>
      </w:hyperlink>
      <w:r>
        <w:t xml:space="preserve">.</w:t>
      </w:r>
    </w:p>
    <w:p>
      <w:pPr>
        <w:pStyle w:val="Heading3"/>
      </w:pPr>
      <w:bookmarkStart w:id="34" w:name="relicensing"/>
      <w:r>
        <w:t xml:space="preserve">Relicensing</w:t>
      </w:r>
      <w:bookmarkEnd w:id="34"/>
    </w:p>
    <w:p>
      <w:pPr>
        <w:pStyle w:val="FirstParagraph"/>
      </w:pPr>
      <w:r>
        <w:t xml:space="preserve">Any contributor may relicense the project as a whole by granting a sublicense under new terms meeting any</w:t>
      </w:r>
      <w:r>
        <w:t xml:space="preserve"> </w:t>
      </w:r>
      <w:hyperlink w:anchor="license-criteria">
        <w:r>
          <w:rPr>
            <w:rStyle w:val="Hyperlink"/>
          </w:rPr>
          <w:t xml:space="preserve">license criteria</w:t>
        </w:r>
      </w:hyperlink>
      <w:r>
        <w:t xml:space="preserve"> </w:t>
      </w:r>
      <w:r>
        <w:t xml:space="preserve">in effect at the time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relicensing, a contributor must</w:t>
      </w:r>
      <w:r>
        <w:t xml:space="preserve"> </w:t>
      </w:r>
      <w:hyperlink w:anchor="circulating-messages">
        <w:r>
          <w:rPr>
            <w:rStyle w:val="Hyperlink"/>
          </w:rPr>
          <w:t xml:space="preserve">circulate</w:t>
        </w:r>
      </w:hyperlink>
      <w:r>
        <w:t xml:space="preserve">:</w:t>
      </w:r>
    </w:p>
    <w:p>
      <w:pPr>
        <w:numPr>
          <w:numId w:val="1003"/>
          <w:ilvl w:val="0"/>
        </w:numPr>
      </w:pPr>
      <w:r>
        <w:t xml:space="preserve">identification of the contributor proposing to relicense the project</w:t>
      </w:r>
    </w:p>
    <w:p>
      <w:pPr>
        <w:numPr>
          <w:numId w:val="1003"/>
          <w:ilvl w:val="0"/>
        </w:numPr>
      </w:pPr>
      <w:r>
        <w:t xml:space="preserve">an exact copy of the new license terms</w:t>
      </w:r>
    </w:p>
    <w:p>
      <w:pPr>
        <w:numPr>
          <w:numId w:val="1003"/>
          <w:ilvl w:val="0"/>
        </w:numPr>
      </w:pPr>
      <w:r>
        <w:t xml:space="preserve">an exact copy of all the terms of any agreement that has, will, or could compensate the contributor for proposing or securing approval of the relicensing</w:t>
      </w:r>
    </w:p>
    <w:p>
      <w:pPr>
        <w:pStyle w:val="Heading3"/>
      </w:pPr>
      <w:bookmarkStart w:id="35" w:name="license-criteria"/>
      <w:r>
        <w:t xml:space="preserve">License Criteria</w:t>
      </w:r>
      <w:bookmarkEnd w:id="35"/>
    </w:p>
    <w:p>
      <w:pPr>
        <w:pStyle w:val="FirstParagraph"/>
      </w:pPr>
      <w:r>
        <w:t xml:space="preserve">The first two contributors must agree on any criteria for terms on which the project can be relicensed. They must publish a dated statement of those criteria, or a dated statement that there are no criteria, together with the terms of this agreement, where potential contributors can find and read them. No contributor can relicense the project onto new terms that fail to meet the license criteria. Any contributor may change the license criteria by securing</w:t>
      </w:r>
      <w:r>
        <w:t xml:space="preserve"> </w:t>
      </w:r>
      <w:hyperlink w:anchor="supermajority">
        <w:r>
          <w:rPr>
            <w:rStyle w:val="Hyperlink"/>
          </w:rPr>
          <w:t xml:space="preserve">supermajority approval</w:t>
        </w:r>
      </w:hyperlink>
      <w:r>
        <w:t xml:space="preserve"> </w:t>
      </w:r>
      <w:r>
        <w:t xml:space="preserve">in favor of the change.</w:t>
      </w:r>
    </w:p>
    <w:p>
      <w:pPr>
        <w:pStyle w:val="Heading2"/>
      </w:pPr>
      <w:bookmarkStart w:id="36" w:name="communications"/>
      <w:r>
        <w:t xml:space="preserve">Communications</w:t>
      </w:r>
      <w:bookmarkEnd w:id="36"/>
    </w:p>
    <w:p>
      <w:pPr>
        <w:pStyle w:val="Heading3"/>
      </w:pPr>
      <w:bookmarkStart w:id="37" w:name="equal-information"/>
      <w:r>
        <w:t xml:space="preserve">Equal Information</w:t>
      </w:r>
      <w:bookmarkEnd w:id="37"/>
    </w:p>
    <w:p>
      <w:pPr>
        <w:pStyle w:val="FirstParagraph"/>
      </w:pPr>
      <w:r>
        <w:t xml:space="preserve">Each contributor is entitled to receive each message sent to any other contributor under these terms.</w:t>
      </w:r>
    </w:p>
    <w:p>
      <w:pPr>
        <w:pStyle w:val="Heading3"/>
      </w:pPr>
      <w:bookmarkStart w:id="38" w:name="circulating-messages"/>
      <w:r>
        <w:t xml:space="preserve">Circulating Messages</w:t>
      </w:r>
      <w:bookmarkEnd w:id="38"/>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9" w:name="circulating-notices"/>
      <w:r>
        <w:t xml:space="preserve">Circulating Notices</w:t>
      </w:r>
      <w:bookmarkEnd w:id="39"/>
    </w:p>
    <w:p>
      <w:pPr>
        <w:pStyle w:val="FirstParagraph"/>
      </w:pPr>
      <w:r>
        <w:t xml:space="preserve">Any contributor who receives a notice under the terms of a relicensing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40" w:name="addresses"/>
      <w:r>
        <w:t xml:space="preserve">Addresses</w:t>
      </w:r>
      <w:bookmarkEnd w:id="40"/>
    </w:p>
    <w:p>
      <w:pPr>
        <w:pStyle w:val="FirstParagraph"/>
      </w:pPr>
      <w:r>
        <w:t xml:space="preserve">The first two contributors must agree on a global, free or low-cost, high-speed, electronic communication system, such as e-mail, and provide addresses for that system. They must publish dated statement of that choice, together with the terms of this agreement, where potential contributors can find and read them. Later contributors must provide addresses for the same system.</w:t>
      </w:r>
    </w:p>
    <w:p>
      <w:pPr>
        <w:pStyle w:val="Heading3"/>
      </w:pPr>
      <w:bookmarkStart w:id="41" w:name="change-of-address"/>
      <w:r>
        <w:t xml:space="preserve">Change of Address</w:t>
      </w:r>
      <w:bookmarkEnd w:id="41"/>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2" w:name="voting"/>
      <w:r>
        <w:t xml:space="preserve">Voting</w:t>
      </w:r>
      <w:bookmarkEnd w:id="42"/>
    </w:p>
    <w:p>
      <w:pPr>
        <w:pStyle w:val="Heading3"/>
      </w:pPr>
      <w:bookmarkStart w:id="43" w:name="equal-vote"/>
      <w:r>
        <w:t xml:space="preserve">Equal Vote</w:t>
      </w:r>
      <w:bookmarkEnd w:id="43"/>
    </w:p>
    <w:p>
      <w:pPr>
        <w:pStyle w:val="FirstParagraph"/>
      </w:pPr>
      <w:r>
        <w:t xml:space="preserve">Each contributor is entitled to cast a single, equal vote on each proposal under these terms.</w:t>
      </w:r>
    </w:p>
    <w:p>
      <w:pPr>
        <w:pStyle w:val="Heading3"/>
      </w:pPr>
      <w:bookmarkStart w:id="44" w:name="majority"/>
      <w:r>
        <w:t xml:space="preserve">Majority</w:t>
      </w:r>
      <w:bookmarkEnd w:id="44"/>
    </w:p>
    <w:p>
      <w:pPr>
        <w:pStyle w:val="FirstParagraph"/>
      </w:pPr>
      <w:r>
        <w:t xml:space="preserve">For majority approval, a majority of responding contributors must vote in favor.</w:t>
      </w:r>
    </w:p>
    <w:p>
      <w:pPr>
        <w:pStyle w:val="Heading3"/>
      </w:pPr>
      <w:bookmarkStart w:id="45" w:name="supermajority"/>
      <w:r>
        <w:t xml:space="preserve">Supermajority</w:t>
      </w:r>
      <w:bookmarkEnd w:id="45"/>
    </w:p>
    <w:p>
      <w:pPr>
        <w:pStyle w:val="FirstParagraph"/>
      </w:pPr>
      <w:r>
        <w:t xml:space="preserve">For supermajority approval, two thirds of responding contributors must vote in favor.</w:t>
      </w:r>
    </w:p>
    <w:p>
      <w:pPr>
        <w:pStyle w:val="Heading3"/>
      </w:pPr>
      <w:bookmarkStart w:id="46" w:name="counting"/>
      <w:r>
        <w:t xml:space="preserve">Counting</w:t>
      </w:r>
      <w:bookmarkEnd w:id="46"/>
    </w:p>
    <w:p>
      <w:pPr>
        <w:pStyle w:val="FirstParagraph"/>
      </w:pPr>
      <w:r>
        <w:t xml:space="preserve">The contributor soliciting approval counts as a contributor voting in favor.</w:t>
      </w:r>
    </w:p>
    <w:p>
      <w:pPr>
        <w:pStyle w:val="Heading3"/>
      </w:pPr>
      <w:bookmarkStart w:id="47" w:name="deadline"/>
      <w:r>
        <w:t xml:space="preserve">Deadline</w:t>
      </w:r>
      <w:bookmarkEnd w:id="47"/>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8" w:name="securing-approval"/>
      <w:r>
        <w:t xml:space="preserve">Securing Approval</w:t>
      </w:r>
      <w:bookmarkEnd w:id="48"/>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9" w:name="soliciting-votes"/>
      <w:r>
        <w:t xml:space="preserve">Soliciting Votes</w:t>
      </w:r>
      <w:bookmarkEnd w:id="49"/>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4"/>
          <w:ilvl w:val="0"/>
        </w:numPr>
      </w:pPr>
      <w:r>
        <w:t xml:space="preserve">the identity of the project</w:t>
      </w:r>
    </w:p>
    <w:p>
      <w:pPr>
        <w:numPr>
          <w:numId w:val="1004"/>
          <w:ilvl w:val="0"/>
        </w:numPr>
      </w:pPr>
      <w:r>
        <w:t xml:space="preserve">the complete text of the proposal</w:t>
      </w:r>
    </w:p>
    <w:p>
      <w:pPr>
        <w:numPr>
          <w:numId w:val="1004"/>
          <w:ilvl w:val="0"/>
        </w:numPr>
      </w:pPr>
      <w:r>
        <w:t xml:space="preserve">the voting standard required</w:t>
      </w:r>
    </w:p>
    <w:p>
      <w:pPr>
        <w:numPr>
          <w:numId w:val="1004"/>
          <w:ilvl w:val="0"/>
        </w:numPr>
      </w:pPr>
      <w:r>
        <w:t xml:space="preserve">the date of the</w:t>
      </w:r>
      <w:r>
        <w:t xml:space="preserve"> </w:t>
      </w:r>
      <w:hyperlink w:anchor="deadline">
        <w:r>
          <w:rPr>
            <w:rStyle w:val="Hyperlink"/>
          </w:rPr>
          <w:t xml:space="preserve">deadline</w:t>
        </w:r>
      </w:hyperlink>
    </w:p>
    <w:p>
      <w:pPr>
        <w:pStyle w:val="Heading3"/>
      </w:pPr>
      <w:bookmarkStart w:id="50" w:name="casting-votes"/>
      <w:r>
        <w:t xml:space="preserve">Casting Votes</w:t>
      </w:r>
      <w:bookmarkEnd w:id="50"/>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51" w:name="tallying-votes"/>
      <w:r>
        <w:t xml:space="preserve">Tallying Votes</w:t>
      </w:r>
      <w:bookmarkEnd w:id="51"/>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2" w:name="reporting-results"/>
      <w:r>
        <w:t xml:space="preserve">Reporting Results</w:t>
      </w:r>
      <w:bookmarkEnd w:id="52"/>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5"/>
          <w:ilvl w:val="0"/>
        </w:numPr>
      </w:pPr>
      <w:r>
        <w:t xml:space="preserve">all the information required to</w:t>
      </w:r>
      <w:r>
        <w:t xml:space="preserve"> </w:t>
      </w:r>
      <w:hyperlink w:anchor="soliciting-votes">
        <w:r>
          <w:rPr>
            <w:rStyle w:val="Hyperlink"/>
          </w:rPr>
          <w:t xml:space="preserve">solicit votes</w:t>
        </w:r>
      </w:hyperlink>
    </w:p>
    <w:p>
      <w:pPr>
        <w:numPr>
          <w:numId w:val="1005"/>
          <w:ilvl w:val="0"/>
        </w:numPr>
      </w:pPr>
      <w:r>
        <w:t xml:space="preserve">copies of all</w:t>
      </w:r>
      <w:r>
        <w:t xml:space="preserve"> </w:t>
      </w:r>
      <w:hyperlink w:anchor="voting">
        <w:r>
          <w:rPr>
            <w:rStyle w:val="Hyperlink"/>
          </w:rPr>
          <w:t xml:space="preserve">vote messages</w:t>
        </w:r>
      </w:hyperlink>
    </w:p>
    <w:p>
      <w:pPr>
        <w:numPr>
          <w:numId w:val="1005"/>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5"/>
          <w:ilvl w:val="0"/>
        </w:numPr>
      </w:pPr>
      <w:r>
        <w:t xml:space="preserve">whether contributors approved the proposal or not</w:t>
      </w:r>
    </w:p>
    <w:p>
      <w:pPr>
        <w:pStyle w:val="Heading2"/>
      </w:pPr>
      <w:bookmarkStart w:id="53" w:name="retry"/>
      <w:r>
        <w:t xml:space="preserve">Retry</w:t>
      </w:r>
      <w:bookmarkEnd w:id="53"/>
    </w:p>
    <w:p>
      <w:pPr>
        <w:pStyle w:val="FirstParagraph"/>
      </w:pPr>
      <w:r>
        <w:t xml:space="preserve">When a</w:t>
      </w:r>
      <w:r>
        <w:t xml:space="preserve"> </w:t>
      </w:r>
      <w:hyperlink w:anchor="communications">
        <w:r>
          <w:rPr>
            <w:rStyle w:val="Hyperlink"/>
          </w:rPr>
          <w:t xml:space="preserve">communication</w:t>
        </w:r>
      </w:hyperlink>
      <w:r>
        <w:t xml:space="preserve"> </w:t>
      </w:r>
      <w:r>
        <w:t xml:space="preserve">system fails to deliver a message:</w:t>
      </w:r>
    </w:p>
    <w:p>
      <w:pPr>
        <w:numPr>
          <w:numId w:val="1006"/>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6"/>
          <w:ilvl w:val="0"/>
        </w:numPr>
      </w:pPr>
      <w:r>
        <w:t xml:space="preserve">The sending contributor must wait forty-eight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w:t>
      </w:r>
    </w:p>
    <w:p>
      <w:pPr>
        <w:numPr>
          <w:numId w:val="1006"/>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4" w:name="broken-rules"/>
      <w:r>
        <w:t xml:space="preserve">Broken Rules</w:t>
      </w:r>
      <w:bookmarkEnd w:id="54"/>
    </w:p>
    <w:p>
      <w:pPr>
        <w:pStyle w:val="FirstParagraph"/>
      </w:pPr>
      <w:r>
        <w:t xml:space="preserve">If any contributor unintentionally breaks a rule of these terms at the expense of another contributor, and the contributor who was wronged</w:t>
      </w:r>
      <w:r>
        <w:t xml:space="preserve"> </w:t>
      </w:r>
      <w:hyperlink w:anchor="circulating-messages">
        <w:r>
          <w:rPr>
            <w:rStyle w:val="Hyperlink"/>
          </w:rPr>
          <w:t xml:space="preserve">circulates</w:t>
        </w:r>
      </w:hyperlink>
      <w:r>
        <w:t xml:space="preserve"> </w:t>
      </w:r>
      <w:r>
        <w:t xml:space="preserve">a message about the breach, other contributors can keep their cross licenses from the contributor who was wronged if any one or more of them makes the situation right within fourteen calendar days. If the contributor did not get an</w:t>
      </w:r>
      <w:r>
        <w:t xml:space="preserve"> </w:t>
      </w:r>
      <w:hyperlink w:anchor="equal-vote">
        <w:r>
          <w:rPr>
            <w:rStyle w:val="Hyperlink"/>
          </w:rPr>
          <w:t xml:space="preserve">equal vote</w:t>
        </w:r>
      </w:hyperlink>
      <w:r>
        <w:t xml:space="preserve">, contributors must retake the vote. If the contributor did not get</w:t>
      </w:r>
      <w:r>
        <w:t xml:space="preserve"> </w:t>
      </w:r>
      <w:hyperlink w:anchor="equal-information">
        <w:r>
          <w:rPr>
            <w:rStyle w:val="Hyperlink"/>
          </w:rPr>
          <w:t xml:space="preserve">equal information</w:t>
        </w:r>
      </w:hyperlink>
      <w:r>
        <w:t xml:space="preserve">, contributors must</w:t>
      </w:r>
      <w:r>
        <w:t xml:space="preserve"> </w:t>
      </w:r>
      <w:hyperlink w:anchor="cirulating-messages">
        <w:r>
          <w:rPr>
            <w:rStyle w:val="Hyperlink"/>
          </w:rPr>
          <w:t xml:space="preserve">circulate</w:t>
        </w:r>
      </w:hyperlink>
      <w:r>
        <w:t xml:space="preserve"> </w:t>
      </w:r>
      <w:r>
        <w:t xml:space="preserve">the message again, and if any vote was taken between when the message was not sent and when the contributor finally received it, contributors must retake that vote.</w:t>
      </w:r>
    </w:p>
    <w:p>
      <w:pPr>
        <w:pStyle w:val="Heading2"/>
      </w:pPr>
      <w:bookmarkStart w:id="55" w:name="changes"/>
      <w:r>
        <w:t xml:space="preserve">Changes</w:t>
      </w:r>
      <w:bookmarkEnd w:id="55"/>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56" w:name="no-liability"/>
      <w:r>
        <w:t xml:space="preserve">No Liability</w:t>
      </w:r>
      <w:bookmarkEnd w:id="56"/>
    </w:p>
    <w:p>
      <w:pPr>
        <w:pStyle w:val="FirstParagraph"/>
      </w:pPr>
      <w:r>
        <w:rPr>
          <w:i/>
          <w:b/>
        </w:rPr>
        <w:t xml:space="preserve">As far as the law allows, the project comes as is, without any warranty or condition, and no contributor will be liable to any other contributor for any damages related to the use or quality of the project,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xlfoundation.com/agreement/1.0.0-pre.1" TargetMode="External" /></Relationships>
</file>

<file path=word/_rels/footnotes.xml.rels><?xml version="1.0" encoding="UTF-8"?>
<Relationships xmlns="http://schemas.openxmlformats.org/package/2006/relationships"><Relationship Type="http://schemas.openxmlformats.org/officeDocument/2006/relationships/hyperlink" Id="rId21" Target="https://xlfoundation.com/agreement/1.0.0-pr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2021-02-20T18:24:22Z</dcterms:created>
  <dcterms:modified xsi:type="dcterms:W3CDTF">2021-02-20T18:24:22Z</dcterms:modified>
</cp:coreProperties>
</file>

<file path=docProps/custom.xml><?xml version="1.0" encoding="utf-8"?>
<Properties xmlns="http://schemas.openxmlformats.org/officeDocument/2006/custom-properties" xmlns:vt="http://schemas.openxmlformats.org/officeDocument/2006/docPropsVTypes"/>
</file>