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>技术调查报告</w:t>
      </w:r>
    </w:p>
    <w:p>
      <w:pPr>
        <w:pStyle w:val="Title"/>
        <w:jc w:val="left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Jetson 机载计算机独立彻底重启</w:t>
        <w:br/>
        <w:t>AP 飞控</w:t>
      </w:r>
    </w:p>
    <w:p>
      <w:pPr>
        <w:pStyle w:val="Subtitle"/>
        <w:pBdr>
          <w:bottom w:val="single" w:sz="18" w:space="8" w:color="2F75B5"/>
        </w:pBdr>
      </w:pPr>
      <w:r>
        <w:rPr>
          <w:rFonts w:ascii="Noto Sans CJK SC" w:hAnsi="Noto Sans CJK SC" w:eastAsia="Noto Sans CJK SC" w:cs="Noto Sans CJK SC"/>
          <w:color w:val="5A5A5A"/>
          <w:sz w:val="23"/>
        </w:rPr>
        <w:t>可行性、技术边界与推荐实现方案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 w:val="true"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报告日期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2026年8月12日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结论等级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可行，需硬件改造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适用阶段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方案设计 / 台架验证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调查范围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Jetson 保持运行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7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目标对象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color w:val="404040"/>
                <w:sz w:val="18"/>
              </w:rPr>
              <w:t>独立 ArduPilot 飞控板</w:t>
            </w:r>
          </w:p>
        </w:tc>
      </w:tr>
    </w:tbl>
    <w:p>
      <w:pPr>
        <w:pStyle w:val="报告导语"/>
        <w:spacing w:before="240"/>
      </w:pPr>
      <w:r>
        <w:rPr>
          <w:rFonts w:ascii="Noto Sans CJK SC" w:hAnsi="Noto Sans CJK SC" w:eastAsia="Noto Sans CJK SC" w:cs="Noto Sans CJK SC"/>
          <w:color w:val="3F3F3F"/>
          <w:sz w:val="22"/>
        </w:rPr>
        <w:t>本报告评估：在不重启 Jetson 机载计算机的条件下，能否对独立 AP 飞控实施比地面站“重启飞控”更彻底的复位，并给出可工程化落地的推荐架构、执行流程和验收判据。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42"/>
      </w:tblGrid>
      <w:tr>
        <w:trPr>
          <w:cantSplit w:val="true"/>
        </w:trPr>
        <w:tc>
          <w:tcPr>
            <w:tcW w:type="dxa" w:w="9242"/>
            <w:shd w:fill="EAF2F8" w:val="clear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widowControl/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 xml:space="preserve">核心结论  </w:t>
            </w:r>
            <w:r>
              <w:rPr>
                <w:rFonts w:ascii="Noto Sans CJK SC" w:hAnsi="Noto Sans CJK SC" w:eastAsia="Noto Sans CJK SC" w:cs="Noto Sans CJK SC"/>
                <w:b/>
                <w:color w:val="404040"/>
                <w:sz w:val="21"/>
              </w:rPr>
              <w:t>可以实现。真正满足“更彻底”的方案，不是再次发送 MAVLink 重启命令，而是由 Jetson 独立触发飞控全供电域断电、充分放电并重新上电。</w:t>
            </w:r>
          </w:p>
        </w:tc>
      </w:tr>
    </w:tbl>
    <w:p>
      <w:pPr>
        <w:spacing w:before="120" w:after="0"/>
      </w:pPr>
      <w:r>
        <w:rPr>
          <w:rFonts w:ascii="Noto Sans CJK SC" w:hAnsi="Noto Sans CJK SC" w:eastAsia="Noto Sans CJK SC" w:cs="Noto Sans CJK SC"/>
          <w:b/>
          <w:color w:val="666666"/>
          <w:sz w:val="17"/>
        </w:rPr>
        <w:t>文档定位：</w:t>
      </w:r>
      <w:r>
        <w:rPr>
          <w:rFonts w:ascii="Noto Sans CJK SC" w:hAnsi="Noto Sans CJK SC" w:eastAsia="Noto Sans CJK SC" w:cs="Noto Sans CJK SC"/>
          <w:color w:val="666666"/>
          <w:sz w:val="17"/>
        </w:rPr>
        <w:t>简要技术调查，不替代具体飞控型号的原理图审查、电源完整性分析和飞行安全评审。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一、调查目的</w:t>
      </w:r>
    </w:p>
    <w:p>
      <w:r>
        <w:rPr>
          <w:rFonts w:ascii="Noto Sans CJK SC" w:hAnsi="Noto Sans CJK SC" w:eastAsia="Noto Sans CJK SC" w:cs="Noto Sans CJK SC"/>
          <w:sz w:val="20"/>
        </w:rPr>
        <w:t>明确 Jetson 与 AP 飞控分离供电时的复位能力边界，并确定一种能够在 Jetson 持续运行的同时，清除飞控 MCU、I/O MCU、板载传感器及相关电源域异常状态的实施方案。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二、核心判断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b/>
          <w:color w:val="404040"/>
          <w:sz w:val="20"/>
        </w:rPr>
        <w:t>从 Jetson 发送 MAVLink 重启命令</w:t>
      </w:r>
      <w:r>
        <w:rPr>
          <w:rFonts w:ascii="Noto Sans CJK SC" w:hAnsi="Noto Sans CJK SC" w:eastAsia="Noto Sans CJK SC" w:cs="Noto Sans CJK SC"/>
          <w:color w:val="404040"/>
          <w:sz w:val="20"/>
        </w:rPr>
        <w:t>，通常与地面站“重启飞控”按钮属于同一软件复位路径，不能视为更彻底。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b/>
          <w:color w:val="404040"/>
          <w:sz w:val="20"/>
        </w:rPr>
        <w:t>拉低飞控 nRST</w:t>
      </w:r>
      <w:r>
        <w:rPr>
          <w:rFonts w:ascii="Noto Sans CJK SC" w:hAnsi="Noto Sans CJK SC" w:eastAsia="Noto Sans CJK SC" w:cs="Noto Sans CJK SC"/>
          <w:color w:val="404040"/>
          <w:sz w:val="20"/>
        </w:rPr>
        <w:t xml:space="preserve"> 不依赖 ArduPilot 正常运行，能处理部分固件死锁，但板载外设、独立 I/O MCU 和保持电源域不一定被完全清零。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b/>
          <w:color w:val="404040"/>
          <w:sz w:val="20"/>
        </w:rPr>
        <w:t>切断飞控全部有效供电</w:t>
      </w:r>
      <w:r>
        <w:rPr>
          <w:rFonts w:ascii="Noto Sans CJK SC" w:hAnsi="Noto Sans CJK SC" w:eastAsia="Noto Sans CJK SC" w:cs="Noto Sans CJK SC"/>
          <w:color w:val="404040"/>
          <w:sz w:val="20"/>
        </w:rPr>
        <w:t>，确认内部电源轨降至 POR/BOR 阈值以下，再重新上电，才是明确高于软件重启级别的冷启动。</w:t>
      </w:r>
    </w:p>
    <w:p>
      <w:pPr>
        <w:spacing w:before="80" w:after="80"/>
      </w:pPr>
      <w:r>
        <w:rPr>
          <w:rFonts w:ascii="Noto Sans CJK SC" w:hAnsi="Noto Sans CJK SC" w:eastAsia="Noto Sans CJK SC" w:cs="Noto Sans CJK SC"/>
          <w:b/>
          <w:color w:val="666666"/>
          <w:sz w:val="18"/>
        </w:rPr>
        <w:t>表 1  重启方式对比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 w:val="true"/>
          <w:tblHeader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7365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7365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是否依赖飞控软件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7365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是否撤掉主电源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7365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主要复位范围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7365D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MAVLink 软件重启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FMU 系统复位；I/O MCU 由软件配合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与地面站基本同级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C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FMU / I/O 硬件 nRST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C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C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C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对应 MCU 硬件复位；外围仍可能带电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C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恢复能力更强，但非冷启动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飞控全供电域断电重上电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是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MCU、I/O MCU、板载受电外设重新初始化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 w:val="clear"/>
            <w:tcBorders>
              <w:top w:val="single" w:sz="5" w:color="B4C7E7"/>
              <w:start w:val="single" w:sz="5" w:color="B4C7E7"/>
              <w:bottom w:val="single" w:sz="5" w:color="B4C7E7"/>
              <w:end w:val="single" w:sz="5" w:color="B4C7E7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48235"/>
                <w:sz w:val="16"/>
              </w:rPr>
              <w:t>满足“更彻底”要求</w:t>
            </w:r>
          </w:p>
        </w:tc>
      </w:tr>
    </w:tbl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三、关键技术问题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3.1  地面站重启的边界</w:t>
      </w:r>
    </w:p>
    <w:p>
      <w:r>
        <w:rPr>
          <w:rFonts w:ascii="Noto Sans CJK SC" w:hAnsi="Noto Sans CJK SC" w:eastAsia="Noto Sans CJK SC" w:cs="Noto Sans CJK SC"/>
          <w:sz w:val="20"/>
        </w:rPr>
        <w:t>地面站通常请求 ArduPilot 完成输出安全化、参数刷新、日志与文件系统收尾，然后触发 MCU 系统复位。该过程已经不是简单的应用进程重启，但飞控始终带电，因此不能保证板载传感器、独立 I/O MCU、总线状态机、RTC/备份域或电源管理电路均被重新初始化。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3.2  硬件 nRST 的定位</w:t>
      </w:r>
    </w:p>
    <w:p>
      <w:r>
        <w:rPr>
          <w:rFonts w:ascii="Noto Sans CJK SC" w:hAnsi="Noto Sans CJK SC" w:eastAsia="Noto Sans CJK SC" w:cs="Noto Sans CJK SC"/>
          <w:sz w:val="20"/>
        </w:rPr>
        <w:t>由 Jetson GPIO 通过开漏晶体管或光耦拉低 nRST，可在 ArduPilot 无响应时强制复位 MCU。它应作为“不切电的快速恢复层”，但不能替代全板冷启动；双 MCU 飞控还需分别确认 FMU 与 I/O MCU 的复位关系。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3.3  全供电域与反向供电</w:t>
      </w:r>
    </w:p>
    <w:p>
      <w:r>
        <w:rPr>
          <w:rFonts w:ascii="Noto Sans CJK SC" w:hAnsi="Noto Sans CJK SC" w:eastAsia="Noto Sans CJK SC" w:cs="Noto Sans CJK SC"/>
          <w:sz w:val="20"/>
        </w:rPr>
        <w:t>飞控可能同时由 POWER1、POWER2、USB VBUS、Servo Rail/I/O 备用电源或外部设备供电。UART、CAN、USB、PPS 等信号线还可能通过保护结构向已断电飞控回灌电流。只切一路电源无法证明形成冷启动。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42"/>
      </w:tblGrid>
      <w:tr>
        <w:trPr>
          <w:cantSplit w:val="true"/>
        </w:trPr>
        <w:tc>
          <w:tcPr>
            <w:tcW w:type="dxa" w:w="9242"/>
            <w:shd w:fill="FFF2CC" w:val="clear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F9000"/>
              <w:start w:val="single" w:sz="20" w:color="BF9000"/>
              <w:bottom w:val="single" w:sz="8" w:color="BF9000"/>
              <w:end w:val="single" w:sz="8" w:color="BF9000"/>
            </w:tcBorders>
          </w:tcPr>
          <w:p>
            <w:pPr>
              <w:widowControl/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7F6000"/>
                <w:sz w:val="21"/>
              </w:rPr>
              <w:t xml:space="preserve">判定标准  </w:t>
            </w: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21"/>
              </w:rPr>
              <w:t>“心跳消失一段时间”不是冷启动证据。应确认飞控关键电源轨已低于 MCU 与外设的掉电复位阈值，并排除所有反向供电路径。</w:t>
            </w:r>
          </w:p>
        </w:tc>
      </w:tr>
    </w:tbl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四、推荐硬件架构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42"/>
      </w:tblGrid>
      <w:tr>
        <w:trPr>
          <w:cantSplit w:val="true"/>
        </w:trPr>
        <w:tc>
          <w:tcPr>
            <w:tcW w:type="dxa" w:w="9242"/>
            <w:shd w:fill="F6F8FA" w:val="clear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6" w:color="B7C9E2"/>
              <w:start w:val="single" w:sz="6" w:color="B7C9E2"/>
              <w:bottom w:val="single" w:sz="6" w:color="B7C9E2"/>
              <w:end w:val="single" w:sz="6" w:color="B7C9E2"/>
            </w:tcBorders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color w:val="17365D"/>
                <w:sz w:val="17"/>
              </w:rPr>
              <w:t>电池 / PDB</w:t>
              <w:br/>
            </w:r>
            <w:r>
              <w:rPr>
                <w:rFonts w:ascii="Noto Sans Mono CJK SC" w:hAnsi="Noto Sans Mono CJK SC" w:eastAsia="Noto Sans Mono CJK SC" w:cs="Noto Sans Mono CJK SC"/>
                <w:color w:val="17365D"/>
                <w:sz w:val="17"/>
              </w:rPr>
              <w:t xml:space="preserve">  ├─ Jetson DC/DC ───────────────────── Jetson（持续运行）</w:t>
              <w:br/>
            </w:r>
            <w:r>
              <w:rPr>
                <w:rFonts w:ascii="Noto Sans Mono CJK SC" w:hAnsi="Noto Sans Mono CJK SC" w:eastAsia="Noto Sans Mono CJK SC" w:cs="Noto Sans Mono CJK SC"/>
                <w:color w:val="17365D"/>
                <w:sz w:val="17"/>
              </w:rPr>
              <w:t xml:space="preserve">  └─ AP DC/DC ─ 高边电源开关 ───────── AP 飞控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 xml:space="preserve">                    │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 xml:space="preserve">                    ├─ 快速输出放电 / 反向电流阻断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 xml:space="preserve">                    ├─ EN / PWR_GOOD / 电压监测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 xml:space="preserve">                    └─ 独立单稳态或监控 MCU ← Jetson 触发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>Jetson GPIO ─ 开漏隔离 ─ AP FMU / I/O nRST（第二级恢复）</w:t>
              <w:br/>
            </w:r>
            <w:r>
              <w:rPr>
                <w:rFonts w:ascii="Noto Sans Mono CJK SC" w:hAnsi="Noto Sans Mono CJK SC" w:eastAsia="Noto Sans Mono CJK SC" w:cs="Noto Sans Mono CJK SC"/>
                <w:color w:val="404040"/>
                <w:sz w:val="17"/>
              </w:rPr>
              <w:t>Jetson UART/CAN/USB ─ 掉电安全隔离 ─ AP 通信接口</w:t>
            </w:r>
          </w:p>
        </w:tc>
      </w:tr>
    </w:tbl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采用高边负载开关、eFuse 或背靠背 MOSFET 切换飞控电源；不切断地线。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电源开关默认“飞控上电”；Jetson 只发触发脉冲，由独立单稳态/监控器自动完成定时断电和恢复。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为 UART、CAN、USB 配置掉电三态、Ioff 或反向电流阻断；USB 场景必须同时控制 VBUS。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增加 PWR_GOOD 或关键电源轨采样，作为冷启动是否成立的硬件证据。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五、建议的三级恢复机制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 w:val="true"/>
          <w:tblHeader w:val="true"/>
        </w:trP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1F6D6A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1F6D6A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1F6D6A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执行动作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1F6D6A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定位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404040"/>
                <w:sz w:val="16"/>
              </w:rPr>
              <w:t>一级：软件重启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飞控仍可响应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发送正常 MAVLink 重启，完成参数、日志和文件系统收尾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有序恢复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3F8F8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404040"/>
                <w:sz w:val="16"/>
              </w:rPr>
              <w:t>二级：硬件复位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3F8F8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软件路径失效或固件死锁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3F8F8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拉低 FMU/I/O nRST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3F8F8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快速强制恢复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404040"/>
                <w:sz w:val="16"/>
              </w:rPr>
              <w:t>三级：全电源冷启动</w:t>
            </w:r>
          </w:p>
        </w:tc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前两级无效或需彻底清除状态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隔离接口，切断全部供电，充分放电后重新上电</w:t>
            </w:r>
          </w:p>
        </w:tc>
        <w:tc>
          <w:tcPr>
            <w:tcW w:type="dxa" w:w="15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FFFFF" w:val="clear"/>
            <w:tcBorders>
              <w:top w:val="single" w:sz="5" w:color="A9D0CE"/>
              <w:start w:val="single" w:sz="5" w:color="A9D0CE"/>
              <w:bottom w:val="single" w:sz="5" w:color="A9D0CE"/>
              <w:end w:val="single" w:sz="5" w:color="A9D0CE"/>
            </w:tcBorders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16"/>
              </w:rPr>
              <w:t>最终恢复手段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三级冷启动建议时序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安全联锁：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确认飞控未解锁、飞行器在地面、执行机构处于安全状态。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停止控制输出：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Jetson 停止发送速度、姿态、位置或执行机构控制指令。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有序收尾：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飞控仍可响应时，先执行正常软件重启/收尾；无响应则跳过。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接口隔离：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禁止 UART/CAN/USB 缓冲器输出，并切断 USB VBUS。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切断全部供电：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关闭 POWER1、POWER2 及板型相关的 Servo Rail/I/O 备用供电。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6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确认掉电：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等待 PWR_GOOD 失效，并确认关键电源轨低于 POR/BOR 阈值。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7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重新上电：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达到经台架验证的断电保持时间后恢复飞控供电。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62"/>
      </w:tblGrid>
      <w:tr>
        <w:trPr>
          <w:cantSplit w:val="true"/>
        </w:trPr>
        <w:tc>
          <w:tcPr>
            <w:tcW w:type="dxa" w:w="652"/>
            <w:shd w:fill="2F75B5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8</w:t>
            </w:r>
          </w:p>
        </w:tc>
        <w:tc>
          <w:tcPr>
            <w:tcW w:type="dxa" w:w="8362"/>
            <w:shd w:fill="F8FAFD" w:val="clear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tcBorders>
              <w:top w:val="single" w:sz="4" w:color="D7E3F2"/>
              <w:start w:val="single" w:sz="4" w:color="D7E3F2"/>
              <w:bottom w:val="single" w:sz="4" w:color="D7E3F2"/>
              <w:end w:val="single" w:sz="4" w:color="D7E3F2"/>
            </w:tcBorders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健康恢复：</w:t>
            </w:r>
            <w:r>
              <w:rPr>
                <w:rFonts w:ascii="Noto Sans CJK SC" w:hAnsi="Noto Sans CJK SC" w:eastAsia="Noto Sans CJK SC" w:cs="Noto Sans CJK SC"/>
                <w:color w:val="404040"/>
                <w:sz w:val="19"/>
              </w:rPr>
              <w:t>等待通信重连，并完成传感器、EKF、I/O、安全状态和控制链路检查。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 w:cs="Noto Sans CJK SC"/>
          <w:sz w:val="3"/>
        </w:rPr>
      </w:r>
    </w:p>
    <w:p>
      <w:pPr>
        <w:spacing w:before="60"/>
      </w:pPr>
      <w:r>
        <w:rPr>
          <w:rFonts w:ascii="Noto Sans CJK SC" w:hAnsi="Noto Sans CJK SC" w:eastAsia="Noto Sans CJK SC" w:cs="Noto Sans CJK SC"/>
          <w:b/>
          <w:color w:val="17365D"/>
          <w:sz w:val="19"/>
        </w:rPr>
        <w:t>断电时长说明：</w:t>
      </w:r>
      <w:r>
        <w:rPr>
          <w:rFonts w:ascii="Noto Sans CJK SC" w:hAnsi="Noto Sans CJK SC" w:eastAsia="Noto Sans CJK SC" w:cs="Noto Sans CJK SC"/>
          <w:color w:val="404040"/>
          <w:sz w:val="19"/>
        </w:rPr>
        <w:t>台架初测可从 0.5～2 秒起步，但最终应以示波器测得的 5 V/3.3 V 放电波形为准，而非固定经验值。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六、重启成功判据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收到新的 MAVLink 心跳，且飞控启动计时重新开始。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IMU、气压计、罗盘、GPS/外部定位、I/O MCU 和安全开关状态正常。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EKF、参数加载、解锁检查、任务模式及 Jetson 数据链路恢复正常。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PWR_GOOD 或电压监测证明关键电源轨确实完成掉电和重新上电。</w:t>
      </w:r>
    </w:p>
    <w:p>
      <w:r>
        <w:rPr>
          <w:rFonts w:ascii="Noto Sans CJK SC" w:hAnsi="Noto Sans CJK SC" w:eastAsia="Noto Sans CJK SC" w:cs="Noto Sans CJK SC"/>
          <w:b/>
          <w:color w:val="C00000"/>
          <w:sz w:val="19"/>
        </w:rPr>
        <w:t>注意：</w:t>
      </w:r>
      <w:r>
        <w:rPr>
          <w:rFonts w:ascii="Noto Sans CJK SC" w:hAnsi="Noto Sans CJK SC" w:eastAsia="Noto Sans CJK SC" w:cs="Noto Sans CJK SC"/>
          <w:color w:val="404040"/>
          <w:sz w:val="19"/>
        </w:rPr>
        <w:t>time_boot_ms 归零只能证明发生了重启，不能单独证明发生了冷启动。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七、主要风险与限制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单飞控架构在飞行中断电会立即失去控制闭环；除非具备双飞控和可靠仲裁，不应在空中执行。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强制断电可能损坏正在写入的日志或存储数据；有响应时应优先完成软件收尾。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不同 Pixhawk、Cube 和载板的供电与复位结构不同，实施前必须核对具体型号原理图和接口定义。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若存在独立 RTC 电池或备份域，普通主电源循环不会自动清除该保持域。</w:t>
      </w:r>
    </w:p>
    <w:p>
      <w:pPr>
        <w:spacing w:after="50" w:line="300" w:lineRule="auto"/>
        <w:ind w:left="312" w:hanging="198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•  </w:t>
      </w:r>
      <w:r>
        <w:rPr>
          <w:rFonts w:ascii="Noto Sans CJK SC" w:hAnsi="Noto Sans CJK SC" w:eastAsia="Noto Sans CJK SC" w:cs="Noto Sans CJK SC"/>
          <w:color w:val="404040"/>
          <w:sz w:val="20"/>
        </w:rPr>
        <w:t>USB 重上电会引发设备重新枚举，Jetson 端程序需支持稳定设备标识和自动重连。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八、最终建议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42"/>
      </w:tblGrid>
      <w:tr>
        <w:trPr>
          <w:cantSplit w:val="true"/>
        </w:trPr>
        <w:tc>
          <w:tcPr>
            <w:tcW w:type="dxa" w:w="9242"/>
            <w:shd w:fill="E2F0D9" w:val="clear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548235"/>
              <w:start w:val="single" w:sz="20" w:color="548235"/>
              <w:bottom w:val="single" w:sz="8" w:color="548235"/>
              <w:end w:val="single" w:sz="8" w:color="548235"/>
            </w:tcBorders>
          </w:tcPr>
          <w:p>
            <w:pPr>
              <w:widowControl/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375623"/>
                <w:sz w:val="21"/>
              </w:rPr>
              <w:t xml:space="preserve">推荐定案  </w:t>
            </w:r>
            <w:r>
              <w:rPr>
                <w:rFonts w:ascii="Noto Sans CJK SC" w:hAnsi="Noto Sans CJK SC" w:eastAsia="Noto Sans CJK SC" w:cs="Noto Sans CJK SC"/>
                <w:b w:val="0"/>
                <w:color w:val="404040"/>
                <w:sz w:val="21"/>
              </w:rPr>
              <w:t>采用“MAVLink 正常重启 + FMU/I/O 硬件 nRST + 飞控全供电域冷启动”的三级机制。第三级必须覆盖全部供电源、信号回灌路径和电源轨放电确认；Jetson 全程保持运行，负责触发、重连、健康检查和任务恢复。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 w:cs="Noto Sans CJK SC"/>
          <w:b/>
          <w:color w:val="17365D"/>
          <w:sz w:val="20"/>
        </w:rPr>
        <w:t>最低满足本次“更彻底”要求的边界：</w:t>
      </w:r>
      <w:r>
        <w:rPr>
          <w:rFonts w:ascii="Noto Sans CJK SC" w:hAnsi="Noto Sans CJK SC" w:eastAsia="Noto Sans CJK SC" w:cs="Noto Sans CJK SC"/>
          <w:color w:val="404040"/>
          <w:sz w:val="20"/>
        </w:rPr>
        <w:t>飞控所有有效供电路径被切断，内部关键电源轨降至掉电复位阈值以下，再重新上电。仅发送软件命令或仅拉低主 MCU nRST 均不足以证明达到该边界。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附录：实施前核对清单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确认飞控具体型号及 FMU、I/O MCU、POWER1/POWER2、USB、Servo Rail 的真实供电关系。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确认 nRST 引脚电气要求，采用开漏/开集方式并进行电平兼容和失效安全设计。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确认所有通信接口具备掉电三态/Ioff 或外部隔离，排除信号线反向供电。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测量飞控断电时 5 V、3.3 V 及关键传感器电源轨，确定最小有效断电时间。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验证 Jetson 在飞控 USB/UART/CAN 断连、重连和设备重新枚举后的容错逻辑。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建立未解锁、在地、执行机构安全等硬件/软件双重联锁。</w:t>
      </w:r>
    </w:p>
    <w:p>
      <w:pPr>
        <w:spacing w:after="50"/>
        <w:ind w:left="113" w:hanging="113"/>
        <w:keepLines w:val="1"/>
      </w:pPr>
      <w:r>
        <w:rPr>
          <w:rFonts w:ascii="Noto Sans CJK SC" w:hAnsi="Noto Sans CJK SC" w:eastAsia="Noto Sans CJK SC" w:cs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 w:cs="Noto Sans CJK SC"/>
          <w:color w:val="404040"/>
          <w:sz w:val="19"/>
        </w:rPr>
        <w:t>完成反复冷启动、飞控死锁模拟、存储写入中断和电源浪涌台架测试。</w:t>
      </w:r>
    </w:p>
    <w:p>
      <w:pPr>
        <w:pStyle w:val="Heading1"/>
        <w:pBdr>
          <w:bottom w:val="single" w:sz="6" w:space="2" w:color="D9E2F3"/>
        </w:pBdr>
      </w:pPr>
      <w:r>
        <w:rPr>
          <w:rFonts w:ascii="Noto Sans CJK SC" w:hAnsi="Noto Sans CJK SC" w:eastAsia="Noto Sans CJK SC" w:cs="Noto Sans CJK SC"/>
        </w:rPr>
        <w:t>参考技术资料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 w:cs="Noto Sans CJK SC"/>
          <w:color w:val="666666"/>
          <w:sz w:val="18"/>
        </w:rPr>
        <w:t xml:space="preserve">[1] </w:t>
      </w:r>
      <w:hyperlink r:id="rId11">
        <w:r>
          <w:rPr>
            <w:rFonts w:ascii="Noto Sans CJK SC" w:hAnsi="Noto Sans CJK SC" w:eastAsia="Noto Sans CJK SC" w:cs="Noto Sans CJK SC"/>
            <w:color w:val="0563C1"/>
            <w:u w:val="single"/>
            <w:sz w:val="18"/>
            <w:szCs w:val="18"/>
          </w:rPr>
          <w:t>ArduPilot：GCS_MAVLink 重启命令处理源码</w:t>
        </w:r>
      </w:hyperlink>
    </w:p>
    <w:p>
      <w:pPr>
        <w:spacing w:after="40"/>
        <w:ind w:left="312" w:hanging="312"/>
      </w:pPr>
      <w:r>
        <w:rPr>
          <w:rFonts w:ascii="Noto Sans CJK SC" w:hAnsi="Noto Sans CJK SC" w:eastAsia="Noto Sans CJK SC" w:cs="Noto Sans CJK SC"/>
          <w:color w:val="666666"/>
          <w:sz w:val="18"/>
        </w:rPr>
        <w:t xml:space="preserve">[2] </w:t>
      </w:r>
      <w:hyperlink r:id="rId12">
        <w:r>
          <w:rPr>
            <w:rFonts w:ascii="Noto Sans CJK SC" w:hAnsi="Noto Sans CJK SC" w:eastAsia="Noto Sans CJK SC" w:cs="Noto Sans CJK SC"/>
            <w:color w:val="0563C1"/>
            <w:u w:val="single"/>
            <w:sz w:val="18"/>
            <w:szCs w:val="18"/>
          </w:rPr>
          <w:t>ARM CMSIS-Core：NVIC_SystemReset 说明</w:t>
        </w:r>
      </w:hyperlink>
    </w:p>
    <w:p>
      <w:pPr>
        <w:spacing w:after="40"/>
        <w:ind w:left="312" w:hanging="312"/>
      </w:pPr>
      <w:r>
        <w:rPr>
          <w:rFonts w:ascii="Noto Sans CJK SC" w:hAnsi="Noto Sans CJK SC" w:eastAsia="Noto Sans CJK SC" w:cs="Noto Sans CJK SC"/>
          <w:color w:val="666666"/>
          <w:sz w:val="18"/>
        </w:rPr>
        <w:t xml:space="preserve">[3] </w:t>
      </w:r>
      <w:hyperlink r:id="rId13">
        <w:r>
          <w:rPr>
            <w:rFonts w:ascii="Noto Sans CJK SC" w:hAnsi="Noto Sans CJK SC" w:eastAsia="Noto Sans CJK SC" w:cs="Noto Sans CJK SC"/>
            <w:color w:val="0563C1"/>
            <w:u w:val="single"/>
            <w:sz w:val="18"/>
            <w:szCs w:val="18"/>
          </w:rPr>
          <w:t>PX4：Pixhawk 6C 硬件与接口文档</w:t>
        </w:r>
      </w:hyperlink>
    </w:p>
    <w:p>
      <w:pPr>
        <w:spacing w:after="40"/>
        <w:ind w:left="312" w:hanging="312"/>
      </w:pPr>
      <w:r>
        <w:rPr>
          <w:rFonts w:ascii="Noto Sans CJK SC" w:hAnsi="Noto Sans CJK SC" w:eastAsia="Noto Sans CJK SC" w:cs="Noto Sans CJK SC"/>
          <w:color w:val="666666"/>
          <w:sz w:val="18"/>
        </w:rPr>
        <w:t xml:space="preserve">[4] </w:t>
      </w:r>
      <w:hyperlink r:id="rId14">
        <w:r>
          <w:rPr>
            <w:rFonts w:ascii="Noto Sans CJK SC" w:hAnsi="Noto Sans CJK SC" w:eastAsia="Noto Sans CJK SC" w:cs="Noto Sans CJK SC"/>
            <w:color w:val="0563C1"/>
            <w:u w:val="single"/>
            <w:sz w:val="18"/>
            <w:szCs w:val="18"/>
          </w:rPr>
          <w:t>CubePilot：载板与飞控模块文档</w:t>
        </w:r>
      </w:hyperlink>
    </w:p>
    <w:p>
      <w:pPr>
        <w:spacing w:before="160"/>
        <w:jc w:val="center"/>
      </w:pPr>
      <w:r>
        <w:rPr>
          <w:rFonts w:ascii="Noto Sans CJK SC" w:hAnsi="Noto Sans CJK SC" w:eastAsia="Noto Sans CJK SC" w:cs="Noto Sans CJK SC"/>
          <w:color w:val="999999"/>
          <w:sz w:val="17"/>
        </w:rPr>
        <w:t>— 结束 —</w:t>
      </w:r>
    </w:p>
    <w:sectPr>
      <w:headerReference w:type="default" r:id="rId9"/>
      <w:footerReference w:type="default" r:id="rId10"/>
      <w:pgSz w:w="11906" w:h="16838"/>
      <w:pgMar w:top="1134" w:right="1332" w:bottom="992" w:left="1332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oto Sans CJK SC" w:hAnsi="Noto Sans CJK SC" w:eastAsia="Noto Sans CJK SC" w:cs="Noto Sans CJK SC"/>
        <w:color w:val="666666"/>
        <w:sz w:val="16"/>
      </w:rPr>
      <w:t xml:space="preserve">Jetson/AP 飞控复位调查  ·  第 </w:t>
    </w:r>
    <w:r>
      <w:rPr>
        <w:rFonts w:ascii="Noto Sans CJK SC" w:hAnsi="Noto Sans CJK SC" w:eastAsia="Noto Sans CJK SC" w:cs="Noto Sans CJK SC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66666"/>
        <w:sz w:val="16"/>
      </w:rPr>
      <w:t xml:space="preserve"> 页 / 共 </w:t>
    </w:r>
    <w:r>
      <w:rPr>
        <w:rFonts w:ascii="Noto Sans CJK SC" w:hAnsi="Noto Sans CJK SC" w:eastAsia="Noto Sans CJK SC" w:cs="Noto Sans CJK SC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B4C7E7"/>
      </w:pBdr>
    </w:pPr>
    <w:r>
      <w:rPr>
        <w:rFonts w:ascii="Noto Sans CJK SC" w:hAnsi="Noto Sans CJK SC" w:eastAsia="Noto Sans CJK SC" w:cs="Noto Sans CJK SC"/>
        <w:b/>
        <w:color w:val="17365D"/>
        <w:sz w:val="17"/>
      </w:rPr>
      <w:t>技术调查报告（简要版）</w:t>
    </w:r>
    <w:r>
      <w:rPr>
        <w:rFonts w:ascii="Noto Sans CJK SC" w:hAnsi="Noto Sans CJK SC" w:eastAsia="Noto Sans CJK SC" w:cs="Noto Sans CJK SC"/>
        <w:color w:val="6B6B6B"/>
        <w:sz w:val="17"/>
      </w:rPr>
      <w:t xml:space="preserve">   |   Jetson + AP 飞控独立重启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80"/>
    </w:pPr>
    <w:rPr>
      <w:rFonts w:ascii="Noto Sans CJK SC" w:hAnsi="Noto Sans CJK SC" w:eastAsia="Noto Sans CJK SC" w:cs="Noto Sans CJK SC"/>
      <w:color w:val="404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5A5A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i w:val="0"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报告导语">
    <w:name w:val="报告导语"/>
    <w:pPr>
      <w:spacing w:line="336" w:lineRule="auto" w:after="160"/>
    </w:pPr>
    <w:rPr>
      <w:rFonts w:ascii="Noto Sans CJK SC" w:hAnsi="Noto Sans CJK SC" w:eastAsia="Noto Sans CJK SC" w:cs="Noto Sans CJK SC"/>
      <w:color w:val="3F3F3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rduPilot/ardupilot/blob/master/libraries/GCS_MAVLink/GCS_Common.cpp" TargetMode="External"/><Relationship Id="rId12" Type="http://schemas.openxmlformats.org/officeDocument/2006/relationships/hyperlink" Target="https://arm-software.github.io/CMSIS_6/latest/Core/group__NVIC__gr.html" TargetMode="External"/><Relationship Id="rId13" Type="http://schemas.openxmlformats.org/officeDocument/2006/relationships/hyperlink" Target="https://docs.px4.io/main/en/flight_controller/pixhawk6c" TargetMode="External"/><Relationship Id="rId14" Type="http://schemas.openxmlformats.org/officeDocument/2006/relationships/hyperlink" Target="https://docs.cubepilo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Jetson 机载计算机独立彻底重启 AP 飞控调查报告（简要版）</dc:title>
  <dc:subject>Jetson 保持运行条件下对独立 AP 飞控实施硬件复位与全电源冷启动的可行性调查</dc:subject>
  <dc:creator/>
  <cp:keywords>Jetson, ArduPilot, 飞控, 冷启动, 硬件复位, 电源循环</cp:keywords>
  <dc:description>技术调查报告简要版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