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8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库克群岛深海羽流管理市场评估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b6rgkbxxz3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一、投资判断与客户定位</w:t>
      </w:r>
    </w:p>
    <w:p w:rsidR="00000000" w:rsidDel="00000000" w:rsidP="00000000" w:rsidRDefault="00000000" w:rsidRPr="00000000" w14:paraId="00000003">
      <w:pPr>
        <w:spacing w:after="80" w:before="18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将库克群岛专属经济区（EEZ）作为首发验证市场。当地已形成矿业许可—环境审批—长期监测制度链条，但商业采矿尚未获准。我们应面向持牌勘探商、采矿系统集成商及环境咨询机构，销售羽流监测、扩散建模、试验缓解与报告支持服务。[1–3]</w:t>
      </w:r>
    </w:p>
    <w:p w:rsidR="00000000" w:rsidDel="00000000" w:rsidP="00000000" w:rsidRDefault="00000000" w:rsidRPr="00000000" w14:paraId="00000004">
      <w:pPr>
        <w:spacing w:after="80" w:before="18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现有三家持牌主体：CIC Limited（211,545 km²）、Moana Minerals（23,630 km²）、Cobalt Seabed Resources／CSR（19,479 km²）；合计254,654 km²。该数字是勘探许可面积，并非实际可开采面积或可收费市场。[4–6]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ltjsoksxq5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二、市场规模：TAM、SAM、SOM</w:t>
      </w:r>
    </w:p>
    <w:tbl>
      <w:tblPr>
        <w:tblStyle w:val="Table1"/>
        <w:tblW w:w="10200.0" w:type="dxa"/>
        <w:jc w:val="left"/>
        <w:tblInd w:w="8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1530"/>
        <w:gridCol w:w="6450"/>
        <w:tblGridChange w:id="0">
          <w:tblGrid>
            <w:gridCol w:w="2220"/>
            <w:gridCol w:w="1530"/>
            <w:gridCol w:w="64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4f81b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80" w:before="1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口径（未来3年，美元）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before="1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估算值</w:t>
            </w:r>
          </w:p>
        </w:tc>
        <w:tc>
          <w:tcPr>
            <w:tcBorders>
              <w:top w:color="4f81b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before="1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测算依据（规划假设）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before="1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TAM｜本地总体潜在需求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before="1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150万–450万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1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3家×每家50万–150万：监测、模拟、试验与环境数据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before="1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SAM｜首期可交付范围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1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45万–150万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before="1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3家×每家15万–50万：监测与建模服务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before="1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SOM｜争取实际合同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before="1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10万–30万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before="1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3年内赢得1份小规模试点/科研服务合同</w:t>
            </w:r>
          </w:p>
        </w:tc>
      </w:tr>
    </w:tbl>
    <w:p w:rsidR="00000000" w:rsidDel="00000000" w:rsidP="00000000" w:rsidRDefault="00000000" w:rsidRPr="00000000" w14:paraId="00000012">
      <w:pPr>
        <w:spacing w:after="80" w:before="18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以上均为情景假设，不是公开采购金额或行业预测；不应以结核吨数或EEZ面积直接推算设备营收。未来需通过企业招标、访谈及海试报价校验单价、试验周期与转化率。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rsuwyuc3ql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三、PESTLE 六维宏观分析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19"/>
          <w:szCs w:val="19"/>
        </w:rPr>
      </w:pPr>
      <w:bookmarkStart w:colFirst="0" w:colLast="0" w:name="_39x3zltyazn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9"/>
          <w:szCs w:val="19"/>
          <w:rtl w:val="0"/>
        </w:rPr>
        <w:t xml:space="preserve">P｜政治与监管方向</w:t>
      </w:r>
    </w:p>
    <w:p w:rsidR="00000000" w:rsidDel="00000000" w:rsidP="00000000" w:rsidRDefault="00000000" w:rsidRPr="00000000" w14:paraId="00000015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海底矿产事务由本国SBMA管理，首发市场无需依赖ISA在CCZ的合同安排。[1]</w:t>
      </w:r>
    </w:p>
    <w:p w:rsidR="00000000" w:rsidDel="00000000" w:rsidP="00000000" w:rsidRDefault="00000000" w:rsidRPr="00000000" w14:paraId="00000016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2022年发出三份勘探许可证，已形成可识别的市场进入对象。[4]</w:t>
      </w:r>
    </w:p>
    <w:p w:rsidR="00000000" w:rsidDel="00000000" w:rsidP="00000000" w:rsidRDefault="00000000" w:rsidRPr="00000000" w14:paraId="00000017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政府强调科研证据先行，勘探不代表批准商业采矿。[2]</w:t>
      </w:r>
    </w:p>
    <w:p w:rsidR="00000000" w:rsidDel="00000000" w:rsidP="00000000" w:rsidRDefault="00000000" w:rsidRPr="00000000" w14:paraId="00000018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国家投资主体参与CSR，增加公私合作及本地化要求的相关性。[7]</w:t>
      </w:r>
    </w:p>
    <w:p w:rsidR="00000000" w:rsidDel="00000000" w:rsidP="00000000" w:rsidRDefault="00000000" w:rsidRPr="00000000" w14:paraId="00000019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环境审查涉及SBMA与国家环境服务部门（NES），需同步沟通两类监管方。[3]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19"/>
          <w:szCs w:val="19"/>
        </w:rPr>
      </w:pPr>
      <w:bookmarkStart w:colFirst="0" w:colLast="0" w:name="_uflf4pytp7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9"/>
          <w:szCs w:val="19"/>
          <w:rtl w:val="0"/>
        </w:rPr>
        <w:t xml:space="preserve">E｜经济与市场结构</w:t>
      </w:r>
    </w:p>
    <w:p w:rsidR="00000000" w:rsidDel="00000000" w:rsidP="00000000" w:rsidRDefault="00000000" w:rsidRPr="00000000" w14:paraId="0000001B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目标企业目前仅三家，客户高度集中，单客户流失风险高。[4–6]</w:t>
      </w:r>
    </w:p>
    <w:p w:rsidR="00000000" w:rsidDel="00000000" w:rsidP="00000000" w:rsidRDefault="00000000" w:rsidRPr="00000000" w14:paraId="0000001C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钴、镍、铜等结核金属具有产业用途，但资源价值不等于开采利润。</w:t>
      </w:r>
    </w:p>
    <w:p w:rsidR="00000000" w:rsidDel="00000000" w:rsidP="00000000" w:rsidRDefault="00000000" w:rsidRPr="00000000" w14:paraId="0000001D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深海船舶、机器人及传感器成本高，客户会严审每次海试预算。</w:t>
      </w:r>
    </w:p>
    <w:p w:rsidR="00000000" w:rsidDel="00000000" w:rsidP="00000000" w:rsidRDefault="00000000" w:rsidRPr="00000000" w14:paraId="0000001E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许可进程不确定，早期应采用轻资产软件与设备租赁。</w:t>
      </w:r>
    </w:p>
    <w:p w:rsidR="00000000" w:rsidDel="00000000" w:rsidP="00000000" w:rsidRDefault="00000000" w:rsidRPr="00000000" w14:paraId="0000001F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优先争取科研及试验经费，商业量产销售应列为远期情景。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19"/>
          <w:szCs w:val="19"/>
        </w:rPr>
      </w:pPr>
      <w:bookmarkStart w:colFirst="0" w:colLast="0" w:name="_mkp1kj41lnj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9"/>
          <w:szCs w:val="19"/>
          <w:rtl w:val="0"/>
        </w:rPr>
        <w:t xml:space="preserve">S｜社会与利益相关者</w:t>
      </w:r>
    </w:p>
    <w:p w:rsidR="00000000" w:rsidDel="00000000" w:rsidP="00000000" w:rsidRDefault="00000000" w:rsidRPr="00000000" w14:paraId="00000021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海洋生态、渔业及文化利益是社会讨论的重要议题。</w:t>
      </w:r>
    </w:p>
    <w:p w:rsidR="00000000" w:rsidDel="00000000" w:rsidP="00000000" w:rsidRDefault="00000000" w:rsidRPr="00000000" w14:paraId="00000022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公众咨询与环境信息公开影响项目社会接受度。[3]</w:t>
      </w:r>
    </w:p>
    <w:p w:rsidR="00000000" w:rsidDel="00000000" w:rsidP="00000000" w:rsidRDefault="00000000" w:rsidRPr="00000000" w14:paraId="00000023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本地就业、培训与供应链参与可增强合作的实际价值。</w:t>
      </w:r>
    </w:p>
    <w:p w:rsidR="00000000" w:rsidDel="00000000" w:rsidP="00000000" w:rsidRDefault="00000000" w:rsidRPr="00000000" w14:paraId="00000024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监测结果应可审计、可解释，避免仅靠企业自行声明。</w:t>
      </w:r>
    </w:p>
    <w:p w:rsidR="00000000" w:rsidDel="00000000" w:rsidP="00000000" w:rsidRDefault="00000000" w:rsidRPr="00000000" w14:paraId="00000025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对外传播应强调降低风险，不应声称采矿已被证明无害。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19"/>
          <w:szCs w:val="19"/>
        </w:rPr>
      </w:pPr>
      <w:bookmarkStart w:colFirst="0" w:colLast="0" w:name="_c958522b5h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9"/>
          <w:szCs w:val="19"/>
          <w:rtl w:val="0"/>
        </w:rPr>
        <w:t xml:space="preserve">T｜技术与产品适配</w:t>
      </w:r>
    </w:p>
    <w:p w:rsidR="00000000" w:rsidDel="00000000" w:rsidP="00000000" w:rsidRDefault="00000000" w:rsidRPr="00000000" w14:paraId="00000027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深海高压、低温及通信受限，设备可靠性为采购门槛。</w:t>
      </w:r>
    </w:p>
    <w:p w:rsidR="00000000" w:rsidDel="00000000" w:rsidP="00000000" w:rsidRDefault="00000000" w:rsidRPr="00000000" w14:paraId="00000028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羽流扩散受底流、粒径和沉降特征影响，必须现场校准。[8]</w:t>
      </w:r>
    </w:p>
    <w:p w:rsidR="00000000" w:rsidDel="00000000" w:rsidP="00000000" w:rsidRDefault="00000000" w:rsidRPr="00000000" w14:paraId="00000029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监测组合可包括浊度、颗粒物、ADCP及水文剖面数据。</w:t>
      </w:r>
    </w:p>
    <w:p w:rsidR="00000000" w:rsidDel="00000000" w:rsidP="00000000" w:rsidRDefault="00000000" w:rsidRPr="00000000" w14:paraId="0000002A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模型可辅助选取采样点与制定阈值，但不能替代实测。</w:t>
      </w:r>
    </w:p>
    <w:p w:rsidR="00000000" w:rsidDel="00000000" w:rsidP="00000000" w:rsidRDefault="00000000" w:rsidRPr="00000000" w14:paraId="0000002B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优先交付“监测—预测—预警—报告”，控制装置后续海试验证。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19"/>
          <w:szCs w:val="19"/>
        </w:rPr>
      </w:pPr>
      <w:bookmarkStart w:colFirst="0" w:colLast="0" w:name="_vq4vp1saxyg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9"/>
          <w:szCs w:val="19"/>
          <w:rtl w:val="0"/>
        </w:rPr>
        <w:t xml:space="preserve">E｜生态环境</w:t>
      </w:r>
    </w:p>
    <w:p w:rsidR="00000000" w:rsidDel="00000000" w:rsidP="00000000" w:rsidRDefault="00000000" w:rsidRPr="00000000" w14:paraId="0000002D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结核采集可能扰动底栖生境并形成近底羽流。[8]</w:t>
      </w:r>
    </w:p>
    <w:p w:rsidR="00000000" w:rsidDel="00000000" w:rsidP="00000000" w:rsidRDefault="00000000" w:rsidRPr="00000000" w14:paraId="0000002E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沉积物再悬浮与再沉降可能造成跨采集区影响。</w:t>
      </w:r>
    </w:p>
    <w:p w:rsidR="00000000" w:rsidDel="00000000" w:rsidP="00000000" w:rsidRDefault="00000000" w:rsidRPr="00000000" w14:paraId="0000002F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中层水排放设计还可能影响水柱生态，需独立评估。[9]</w:t>
      </w:r>
    </w:p>
    <w:p w:rsidR="00000000" w:rsidDel="00000000" w:rsidP="00000000" w:rsidRDefault="00000000" w:rsidRPr="00000000" w14:paraId="00000030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长期生物恢复具有不确定性，持续监测具有科学必要性。[10]</w:t>
      </w:r>
    </w:p>
    <w:p w:rsidR="00000000" w:rsidDel="00000000" w:rsidP="00000000" w:rsidRDefault="00000000" w:rsidRPr="00000000" w14:paraId="00000031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我们应验证减排效果及自身系统的额外能耗和扰动。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19"/>
          <w:szCs w:val="19"/>
        </w:rPr>
      </w:pPr>
      <w:bookmarkStart w:colFirst="0" w:colLast="0" w:name="_51xn5wudctk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9"/>
          <w:szCs w:val="19"/>
          <w:rtl w:val="0"/>
        </w:rPr>
        <w:t xml:space="preserve">L｜法律与许可合规</w:t>
      </w:r>
    </w:p>
    <w:p w:rsidR="00000000" w:rsidDel="00000000" w:rsidP="00000000" w:rsidRDefault="00000000" w:rsidRPr="00000000" w14:paraId="00000033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《Seabed Minerals Act 2019》构成矿产许可的基本法律框架。[1]</w:t>
      </w:r>
    </w:p>
    <w:p w:rsidR="00000000" w:rsidDel="00000000" w:rsidP="00000000" w:rsidRDefault="00000000" w:rsidRPr="00000000" w14:paraId="00000034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《Environment (Seabed Minerals Activities) Regulations 2023》规范EIA与EMMP。[3]</w:t>
      </w:r>
    </w:p>
    <w:p w:rsidR="00000000" w:rsidDel="00000000" w:rsidP="00000000" w:rsidRDefault="00000000" w:rsidRPr="00000000" w14:paraId="00000035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2024年采集与采矿条例规定后续采矿许可证框架，并非自动授权。[11]</w:t>
      </w:r>
    </w:p>
    <w:p w:rsidR="00000000" w:rsidDel="00000000" w:rsidP="00000000" w:rsidRDefault="00000000" w:rsidRPr="00000000" w14:paraId="00000036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G09指导编制环境管理监测计划，本身不是强制购买设备的命令。[12]</w:t>
      </w:r>
    </w:p>
    <w:p w:rsidR="00000000" w:rsidDel="00000000" w:rsidP="00000000" w:rsidRDefault="00000000" w:rsidRPr="00000000" w14:paraId="00000037">
      <w:pPr>
        <w:spacing w:after="80" w:before="180" w:lineRule="auto"/>
        <w:ind w:left="380" w:hanging="1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•  试验／采矿需进一步的环境许可及技术经济论证；合规系统可作为证据支持。[2]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qrnjjx28p1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四、进入策略与投资论点</w:t>
      </w:r>
    </w:p>
    <w:p w:rsidR="00000000" w:rsidDel="00000000" w:rsidP="00000000" w:rsidRDefault="00000000" w:rsidRPr="00000000" w14:paraId="00000039">
      <w:pPr>
        <w:spacing w:after="80" w:before="18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第一阶段与三家持牌商接洽，以基线数据处理、羽流数值模拟和环境监测小试建立案例；第二阶段绑定采集设备商参与试验验证；第三阶段待商业许可落地，再提供模块化控制设备与年度运维。投资论点应表述为“监管驱动的环境验证需求”，而非“法规强制采购羽流控制器”。</w:t>
      </w:r>
    </w:p>
    <w:p w:rsidR="00000000" w:rsidDel="00000000" w:rsidP="00000000" w:rsidRDefault="00000000" w:rsidRPr="00000000" w14:paraId="0000003A">
      <w:pPr>
        <w:spacing w:after="80" w:befor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0z8hbdrnng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References｜APA 第7版</w:t>
      </w:r>
    </w:p>
    <w:p w:rsidR="00000000" w:rsidDel="00000000" w:rsidP="00000000" w:rsidRDefault="00000000" w:rsidRPr="00000000" w14:paraId="0000003D">
      <w:pPr>
        <w:spacing w:after="40" w:before="180" w:lineRule="auto"/>
        <w:ind w:left="440" w:hanging="2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[1] Cook Islands Seabed Minerals Authority. (n.d.). Regulations. https://www.sbma.gov.ck/regulations</w:t>
      </w:r>
    </w:p>
    <w:p w:rsidR="00000000" w:rsidDel="00000000" w:rsidP="00000000" w:rsidRDefault="00000000" w:rsidRPr="00000000" w14:paraId="0000003E">
      <w:pPr>
        <w:spacing w:after="40" w:before="180" w:lineRule="auto"/>
        <w:ind w:left="440" w:hanging="2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[2] Cook Islands Seabed Minerals Authority. (n.d.). Seabed minerals exploration updates. https://www.sbma.gov.ck/news-3/article-181</w:t>
      </w:r>
    </w:p>
    <w:p w:rsidR="00000000" w:rsidDel="00000000" w:rsidP="00000000" w:rsidRDefault="00000000" w:rsidRPr="00000000" w14:paraId="0000003F">
      <w:pPr>
        <w:spacing w:after="40" w:before="180" w:lineRule="auto"/>
        <w:ind w:left="440" w:hanging="2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[3] National Environment Service, Cook Islands. (2023). National Environment Service completes development of Environment (Seabed Mineral Activities) Regulations 2023. https://environment.gov.ck/national-environment-service-completes-development-of-environment-seabed-mineral-activities-regulations-2023/</w:t>
      </w:r>
    </w:p>
    <w:p w:rsidR="00000000" w:rsidDel="00000000" w:rsidP="00000000" w:rsidRDefault="00000000" w:rsidRPr="00000000" w14:paraId="00000040">
      <w:pPr>
        <w:spacing w:after="40" w:before="180" w:lineRule="auto"/>
        <w:ind w:left="440" w:hanging="2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[4] Cook Islands Seabed Minerals Authority. (n.d.). CIC Ltd. https://www.sbma.gov.ck/cic-ltd</w:t>
      </w:r>
    </w:p>
    <w:p w:rsidR="00000000" w:rsidDel="00000000" w:rsidP="00000000" w:rsidRDefault="00000000" w:rsidRPr="00000000" w14:paraId="00000041">
      <w:pPr>
        <w:spacing w:after="40" w:before="180" w:lineRule="auto"/>
        <w:ind w:left="440" w:hanging="2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[5] Cook Islands Seabed Minerals Authority. (n.d.). Moana Minerals Ltd. https://www.sbma.gov.ck/moana-minerals</w:t>
      </w:r>
    </w:p>
    <w:p w:rsidR="00000000" w:rsidDel="00000000" w:rsidP="00000000" w:rsidRDefault="00000000" w:rsidRPr="00000000" w14:paraId="00000042">
      <w:pPr>
        <w:spacing w:after="40" w:before="180" w:lineRule="auto"/>
        <w:ind w:left="440" w:hanging="2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[6] Cook Islands Seabed Minerals Authority. (n.d.). CSR Ltd. https://www.sbma.gov.ck/csr-ltd-1</w:t>
      </w:r>
    </w:p>
    <w:p w:rsidR="00000000" w:rsidDel="00000000" w:rsidP="00000000" w:rsidRDefault="00000000" w:rsidRPr="00000000" w14:paraId="00000043">
      <w:pPr>
        <w:spacing w:after="40" w:before="180" w:lineRule="auto"/>
        <w:ind w:left="440" w:hanging="2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[7] Cook Islands Investment Corporation. (2026). CIIC formalises new seabed minerals partnership with Wetstone. https://www.ciic.gov.ck/ciic-formalises-new-seabed-minerals-partnership-with-wetstone/</w:t>
      </w:r>
    </w:p>
    <w:p w:rsidR="00000000" w:rsidDel="00000000" w:rsidP="00000000" w:rsidRDefault="00000000" w:rsidRPr="00000000" w14:paraId="00000044">
      <w:pPr>
        <w:spacing w:after="40" w:before="180" w:lineRule="auto"/>
        <w:ind w:left="440" w:hanging="2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[8] Gazis, I.-Z., de Stigter, H., Mohrmann, J., et al. (2025). Monitoring benthic plumes, sediment redeposition and seafloor imprints caused by deep-sea polymetallic nodule mining. Nature Communications, 16, Article 1229. https://doi.org/10.1038/s41467-025-56311-0</w:t>
      </w:r>
    </w:p>
    <w:p w:rsidR="00000000" w:rsidDel="00000000" w:rsidP="00000000" w:rsidRDefault="00000000" w:rsidRPr="00000000" w14:paraId="00000045">
      <w:pPr>
        <w:spacing w:after="40" w:before="180" w:lineRule="auto"/>
        <w:ind w:left="440" w:hanging="2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[9] Adams, E. E., et al. (2021). Extent of impact of deep-sea nodule mining midwater plumes is influenced by sediment loading, turbulence and thresholds. Communications Earth &amp; Environment, 2, Article 148. https://doi.org/10.1038/s43247-021-00213-8</w:t>
      </w:r>
    </w:p>
    <w:p w:rsidR="00000000" w:rsidDel="00000000" w:rsidP="00000000" w:rsidRDefault="00000000" w:rsidRPr="00000000" w14:paraId="00000046">
      <w:pPr>
        <w:spacing w:after="40" w:before="180" w:lineRule="auto"/>
        <w:ind w:left="440" w:hanging="2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[10] Nature. (2025). Long-term impact and biological recovery in a deep-sea mining track. https://www.nature.com/articles/s41586-025-08921-3</w:t>
      </w:r>
    </w:p>
    <w:p w:rsidR="00000000" w:rsidDel="00000000" w:rsidP="00000000" w:rsidRDefault="00000000" w:rsidRPr="00000000" w14:paraId="00000047">
      <w:pPr>
        <w:spacing w:after="40" w:before="180" w:lineRule="auto"/>
        <w:ind w:left="440" w:hanging="2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[11] Cook Islands Seabed Minerals Authority. (2024). Seabed Minerals (Minerals Harvesting and Other Mining) Regulations 2024. https://www.sbma.gov.ck/regulations</w:t>
      </w:r>
    </w:p>
    <w:p w:rsidR="00000000" w:rsidDel="00000000" w:rsidP="00000000" w:rsidRDefault="00000000" w:rsidRPr="00000000" w14:paraId="00000048">
      <w:pPr>
        <w:spacing w:after="40" w:before="180" w:lineRule="auto"/>
        <w:ind w:left="440" w:hanging="22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[12] Cook Islands Seabed Minerals Authority, &amp; National Environment Service. (2024). G09: Environmental management and monitoring plans (Version 1). https://www.sbma.gov.ck/s/G09_Environmental-Management-and-Monitoring-Plans.pdf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