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b w:val="1"/>
          <w:bCs w:val="1"/>
        </w:rPr>
      </w:pPr>
      <w:r w:rsidDel="00000000" w:rsidR="00000000" w:rsidRPr="00000000">
        <w:rPr>
          <w:b w:val="1"/>
          <w:bCs w:val="1"/>
          <w:rtl w:val="0"/>
        </w:rPr>
        <w:t xml:space="preserve">6. Market</w:t>
      </w:r>
    </w:p>
    <w:p w:rsidR="00000000" w:rsidDel="00000000" w:rsidP="00000000" w:rsidRDefault="00000000" w:rsidRPr="00000000" w14:paraId="00000002">
      <w:pPr>
        <w:spacing w:after="240" w:before="240" w:lineRule="auto"/>
        <w:rPr/>
      </w:pPr>
      <w:r w:rsidDel="00000000" w:rsidR="00000000" w:rsidRPr="00000000">
        <w:rPr>
          <w:rtl w:val="0"/>
        </w:rPr>
        <w:t xml:space="preserve">The commercial potential of deep-sea mining extends beyond mineral extraction. As operators prepare to collect polymetallic nodules from the ocean floor, they must also address the sediment plumes generated by mining equipment. These plumes raise concerns over ecological impacts, environmental approvals, and operational accountability. This creates a potential market for technologies that can monitor and reduce their dispersion.</w:t>
      </w:r>
    </w:p>
    <w:p w:rsidR="00000000" w:rsidDel="00000000" w:rsidP="00000000" w:rsidRDefault="00000000" w:rsidRPr="00000000" w14:paraId="00000003">
      <w:pPr>
        <w:spacing w:after="240" w:before="240" w:lineRule="auto"/>
        <w:rPr/>
      </w:pPr>
      <w:r w:rsidDel="00000000" w:rsidR="00000000" w:rsidRPr="00000000">
        <w:rPr>
          <w:rtl w:val="0"/>
        </w:rPr>
        <w:t xml:space="preserve">Our primary customers are licensed seabed-mining companies, particularly those approaching collector trials and environmental permitting. Marine engineering contractors and environmental consulting firms represent additional customers and integration partners. Their priorities are practical: demonstrating environmental performance, meeting regulatory expectations, and controlling costs without compromising mining operations.</w:t>
      </w:r>
    </w:p>
    <w:p w:rsidR="00000000" w:rsidDel="00000000" w:rsidP="00000000" w:rsidRDefault="00000000" w:rsidRPr="00000000" w14:paraId="00000004">
      <w:pPr>
        <w:spacing w:after="240" w:before="240" w:lineRule="auto"/>
        <w:rPr/>
      </w:pPr>
      <w:r w:rsidDel="00000000" w:rsidR="00000000" w:rsidRPr="00000000">
        <w:rPr>
          <w:rtl w:val="0"/>
        </w:rPr>
        <w:t xml:space="preserve">Our initial market is the Cook Islands, where three licensed operators—CIC Limited, Moana Minerals, and Cobalt Seabed Resources—hold exploration areas totaling approximately 254,654 km² [1]. The country's environmental regulations and G09 guidance require structured environmental assessment and management planning, establishing a clear application for plume-related technologies [2].</w:t>
      </w:r>
    </w:p>
    <w:p w:rsidR="00000000" w:rsidDel="00000000" w:rsidP="00000000" w:rsidRDefault="00000000" w:rsidRPr="00000000" w14:paraId="00000005">
      <w:pPr>
        <w:spacing w:after="240" w:before="240" w:lineRule="auto"/>
        <w:rPr/>
      </w:pPr>
      <w:r w:rsidDel="00000000" w:rsidR="00000000" w:rsidRPr="00000000">
        <w:rPr>
          <w:rtl w:val="0"/>
        </w:rPr>
        <w:t xml:space="preserve">Globally, the International Seabed Authority lists 19 polymetallic-nodule exploration contracts [3]. Including the Cook Islands' three licences, these provide 22 identifiable contract-level opportunities. Assuming three-year project expenditures of US$200,000–600,000, our preliminary TAM is US$4.4–13.2 million, with a Cook Islands SAM of US$600,000–1.8 million. Our initial SOM targets one pilot contract worth US$100,000–300,000. These estimates are illustrative and require customer validation.</w:t>
      </w:r>
    </w:p>
    <w:p w:rsidR="00000000" w:rsidDel="00000000" w:rsidP="00000000" w:rsidRDefault="00000000" w:rsidRPr="00000000" w14:paraId="00000006">
      <w:pPr>
        <w:spacing w:after="240" w:before="240" w:lineRule="auto"/>
        <w:rPr/>
      </w:pPr>
      <w:r w:rsidDel="00000000" w:rsidR="00000000" w:rsidRPr="00000000">
        <w:rPr>
          <w:rtl w:val="0"/>
        </w:rPr>
        <w:t xml:space="preserve">The industry connects mining developers, equipment manufacturers, marine researchers, environmental consultants, and regulators. Engineers and environmental teams would use our technology, while mining operators or contractors would finance purchases. Regulators set environmental requirements rather than serve as direct buyers.</w:t>
      </w:r>
    </w:p>
    <w:p w:rsidR="00000000" w:rsidDel="00000000" w:rsidP="00000000" w:rsidRDefault="00000000" w:rsidRPr="00000000" w14:paraId="00000007">
      <w:pPr>
        <w:spacing w:after="240" w:before="240" w:lineRule="auto"/>
        <w:rPr/>
      </w:pPr>
      <w:r w:rsidDel="00000000" w:rsidR="00000000" w:rsidRPr="00000000">
        <w:rPr>
          <w:rtl w:val="0"/>
        </w:rPr>
        <w:t xml:space="preserve">We intend to begin with monitoring and pilot deployments in the Cook Islands, expanding as mining projects advance.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References（APA 第7版）</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[1] Cook Islands Seabed Minerals Authority. (n.d.). Exploration licence holders.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https://www.sbma.gov.ck/</w:t>
        </w:r>
      </w:hyperlink>
      <w:r w:rsidDel="00000000" w:rsidR="00000000" w:rsidRPr="00000000">
        <w:rPr>
          <w:rtl w:val="0"/>
        </w:rPr>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[2] Cook Islands Seabed Minerals Authority, &amp; National Environment Service. (2024). G09: Environmental management and monitoring plans.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https://www.sbma.gov.ck/standards-guidelines</w:t>
        </w:r>
      </w:hyperlink>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[3] International Seabed Authority. (n.d.). Exploration contracts.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https://isa.org.jm/exploration-contracts/</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sa.org.jm/exploration-contracts/?utm_source=chatgpt.com" TargetMode="External"/><Relationship Id="rId10" Type="http://schemas.openxmlformats.org/officeDocument/2006/relationships/hyperlink" Target="https://isa.org.jm/exploration-contracts/?utm_source=chatgpt.com" TargetMode="External"/><Relationship Id="rId9" Type="http://schemas.openxmlformats.org/officeDocument/2006/relationships/hyperlink" Target="https://www.sbma.gov.ck/standards-guidelines?utm_source=chatgpt.com" TargetMode="External"/><Relationship Id="rId5" Type="http://schemas.openxmlformats.org/officeDocument/2006/relationships/styles" Target="styles.xml"/><Relationship Id="rId6" Type="http://schemas.openxmlformats.org/officeDocument/2006/relationships/hyperlink" Target="https://www.sbma.gov.ck/?utm_source=chatgpt.com" TargetMode="External"/><Relationship Id="rId7" Type="http://schemas.openxmlformats.org/officeDocument/2006/relationships/hyperlink" Target="https://www.sbma.gov.ck/?utm_source=chatgpt.com" TargetMode="External"/><Relationship Id="rId8" Type="http://schemas.openxmlformats.org/officeDocument/2006/relationships/hyperlink" Target="https://www.sbma.gov.ck/standards-guidelin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