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D5" w:rsidRPr="009F701F" w:rsidRDefault="009F701F">
      <w:pPr>
        <w:rPr>
          <w:rFonts w:eastAsia="SimSun"/>
          <w:sz w:val="36"/>
          <w:szCs w:val="36"/>
          <w:u w:val="single"/>
        </w:rPr>
      </w:pPr>
      <w:r w:rsidRPr="009F701F">
        <w:rPr>
          <w:rFonts w:eastAsia="SimSun" w:hint="eastAsia"/>
          <w:sz w:val="36"/>
          <w:szCs w:val="36"/>
          <w:u w:val="single"/>
        </w:rPr>
        <w:t>Receiving Store Automation System</w:t>
      </w:r>
    </w:p>
    <w:p w:rsidR="00DE4068" w:rsidRDefault="00406030">
      <w:pPr>
        <w:rPr>
          <w:rFonts w:eastAsia="SimSun"/>
        </w:rPr>
      </w:pPr>
      <w:r>
        <w:rPr>
          <w:rFonts w:eastAsia="SimSun" w:hint="eastAsia"/>
        </w:rPr>
        <w:t>Overview</w:t>
      </w:r>
    </w:p>
    <w:p w:rsidR="003D21DC" w:rsidRDefault="003D21DC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>
            <wp:extent cx="5486400" cy="4389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</w:p>
    <w:p w:rsidR="003D21DC" w:rsidRDefault="003D21DC">
      <w:pPr>
        <w:rPr>
          <w:rFonts w:eastAsia="SimSun"/>
        </w:rPr>
      </w:pPr>
      <w:r>
        <w:rPr>
          <w:rFonts w:eastAsia="SimSun"/>
        </w:rPr>
        <w:lastRenderedPageBreak/>
        <w:t>S</w:t>
      </w:r>
      <w:r>
        <w:rPr>
          <w:rFonts w:eastAsia="SimSun" w:hint="eastAsia"/>
        </w:rPr>
        <w:t>ystem Flow</w:t>
      </w:r>
    </w:p>
    <w:p w:rsidR="003D21DC" w:rsidRDefault="003D21DC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>
            <wp:extent cx="5486400" cy="4124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41" w:rsidRDefault="00ED3326" w:rsidP="00ED3326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 xml:space="preserve">Information in DN/Packing List will be captured by either OCR, e-Packing List or Manual Input and stored in plr_mstr </w:t>
      </w:r>
    </w:p>
    <w:p w:rsidR="00ED3326" w:rsidRDefault="00ED3326" w:rsidP="00ED3326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 xml:space="preserve">Through </w:t>
      </w:r>
      <w:r>
        <w:rPr>
          <w:rFonts w:eastAsia="SimSun"/>
        </w:rPr>
        <w:t>calculation</w:t>
      </w:r>
      <w:r>
        <w:rPr>
          <w:rFonts w:eastAsia="SimSun" w:hint="eastAsia"/>
        </w:rPr>
        <w:t>, carton information will be broken down into individual records. User can also make certain adjustment through maintenance functions. These records are stored in plr_mstr_trans.</w:t>
      </w:r>
      <w:r w:rsidR="00E07E07">
        <w:rPr>
          <w:rFonts w:eastAsia="SimSun" w:hint="eastAsia"/>
        </w:rPr>
        <w:t xml:space="preserve"> An unique WEC Carton ID will be assigned each supplier carton.</w:t>
      </w:r>
    </w:p>
    <w:tbl>
      <w:tblPr>
        <w:tblW w:w="5732" w:type="dxa"/>
        <w:tblInd w:w="98" w:type="dxa"/>
        <w:tblLook w:val="04A0"/>
      </w:tblPr>
      <w:tblGrid>
        <w:gridCol w:w="1828"/>
        <w:gridCol w:w="328"/>
        <w:gridCol w:w="2088"/>
        <w:gridCol w:w="1488"/>
      </w:tblGrid>
      <w:tr w:rsidR="00E07E07" w:rsidRPr="00E07E07" w:rsidTr="00E07E07">
        <w:trPr>
          <w:trHeight w:val="315"/>
        </w:trPr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Original Information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Supplier Carton Num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WEC Carton-ID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c1-10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--&gt;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100000000045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100000000046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100000000047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100000000048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100000000049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100000000050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100000000051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100000000052</w:t>
            </w:r>
          </w:p>
        </w:tc>
      </w:tr>
      <w:tr w:rsidR="00E07E07" w:rsidRPr="00E07E07" w:rsidTr="00E07E07">
        <w:trPr>
          <w:trHeight w:val="30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100000000053</w:t>
            </w:r>
          </w:p>
        </w:tc>
      </w:tr>
      <w:tr w:rsidR="00E07E07" w:rsidRPr="00E07E07" w:rsidTr="00E07E07">
        <w:trPr>
          <w:trHeight w:val="31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7E07" w:rsidRPr="00E07E07" w:rsidRDefault="00E07E07" w:rsidP="00E07E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07E0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100000000054</w:t>
            </w:r>
          </w:p>
        </w:tc>
      </w:tr>
    </w:tbl>
    <w:p w:rsidR="00ED3326" w:rsidRDefault="00ED3326" w:rsidP="00ED3326">
      <w:pPr>
        <w:pStyle w:val="a4"/>
        <w:rPr>
          <w:rFonts w:eastAsia="SimSun"/>
        </w:rPr>
      </w:pPr>
    </w:p>
    <w:p w:rsidR="00ED3326" w:rsidRDefault="00ED3326" w:rsidP="00ED3326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Records will be transferred to MFG/Pro (dntd_det &amp; dnt_mstr) through WEB services after users</w:t>
      </w:r>
      <w:r>
        <w:rPr>
          <w:rFonts w:eastAsia="SimSun"/>
        </w:rPr>
        <w:t>’</w:t>
      </w:r>
      <w:r>
        <w:rPr>
          <w:rFonts w:eastAsia="SimSun" w:hint="eastAsia"/>
        </w:rPr>
        <w:t xml:space="preserve"> confirmation</w:t>
      </w:r>
    </w:p>
    <w:p w:rsidR="00ED3326" w:rsidRPr="00ED3326" w:rsidRDefault="00E07E07" w:rsidP="00ED3326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 xml:space="preserve"> Print Carton  labels </w:t>
      </w:r>
      <w:r w:rsidR="00293421">
        <w:rPr>
          <w:rFonts w:eastAsia="SimSun" w:hint="eastAsia"/>
        </w:rPr>
        <w:t>will be print through Barcode Printer and the format is as follow</w:t>
      </w:r>
    </w:p>
    <w:p w:rsidR="00C37B41" w:rsidRDefault="00C37B41">
      <w:pPr>
        <w:rPr>
          <w:rFonts w:eastAsia="SimSun"/>
        </w:rPr>
      </w:pPr>
      <w:r>
        <w:rPr>
          <w:rFonts w:eastAsia="SimSun" w:hint="eastAsia"/>
        </w:rPr>
        <w:t>WEC Carton Label Sample</w:t>
      </w:r>
    </w:p>
    <w:p w:rsidR="00C37B41" w:rsidRDefault="00C37B41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>
            <wp:extent cx="5486400" cy="43891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41" w:rsidRDefault="00293421" w:rsidP="00293421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Receiving store applies labels to each carton</w:t>
      </w:r>
    </w:p>
    <w:p w:rsidR="00293421" w:rsidRDefault="00293421" w:rsidP="00293421">
      <w:pPr>
        <w:pStyle w:val="a4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WEB Services transferring data to MFG/Pro</w:t>
      </w:r>
    </w:p>
    <w:p w:rsidR="00A86F65" w:rsidRDefault="00A86F65" w:rsidP="00A86F65">
      <w:pPr>
        <w:pStyle w:val="a4"/>
        <w:rPr>
          <w:rFonts w:eastAsia="SimSun"/>
        </w:rPr>
      </w:pPr>
      <w:r>
        <w:rPr>
          <w:rFonts w:eastAsia="SimSun" w:hint="eastAsia"/>
        </w:rPr>
        <w:t>Step 7 , 8, 9a and 9b</w:t>
      </w:r>
    </w:p>
    <w:p w:rsidR="00A86F65" w:rsidRPr="00D54315" w:rsidRDefault="00A86F65" w:rsidP="00A86F65">
      <w:pPr>
        <w:rPr>
          <w:b/>
          <w:u w:val="single"/>
        </w:rPr>
      </w:pPr>
      <w:r w:rsidRPr="00D54315">
        <w:rPr>
          <w:rFonts w:hint="eastAsia"/>
          <w:b/>
          <w:u w:val="single"/>
        </w:rPr>
        <w:t>OCR Functions (in MFG/Pro)</w:t>
      </w:r>
    </w:p>
    <w:p w:rsidR="00A86F65" w:rsidRDefault="00A86F65" w:rsidP="00A86F65">
      <w:pPr>
        <w:pStyle w:val="a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 xml:space="preserve">Data from Supplier invoices and Packing-List will be captured through OCR. </w:t>
      </w:r>
    </w:p>
    <w:p w:rsidR="00A86F65" w:rsidRDefault="00A86F65" w:rsidP="00A86F65">
      <w:pPr>
        <w:pStyle w:val="a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There will a schedule job to auto-transfer data to MFG/Pro</w:t>
      </w:r>
    </w:p>
    <w:p w:rsidR="00A86F65" w:rsidRPr="00210131" w:rsidRDefault="00A86F65" w:rsidP="00A86F65">
      <w:pPr>
        <w:pStyle w:val="a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A Unique Wong</w:t>
      </w:r>
      <w:r>
        <w:t>’</w:t>
      </w:r>
      <w:r>
        <w:rPr>
          <w:rFonts w:hint="eastAsia"/>
        </w:rPr>
        <w:t>s Carton ID will be assigned to every carton.</w:t>
      </w:r>
    </w:p>
    <w:p w:rsidR="00A86F65" w:rsidRPr="00210131" w:rsidRDefault="00A86F65" w:rsidP="00A86F65">
      <w:r w:rsidRPr="00D54315">
        <w:rPr>
          <w:noProof/>
        </w:rPr>
        <w:lastRenderedPageBreak/>
        <w:drawing>
          <wp:inline distT="0" distB="0" distL="0" distR="0">
            <wp:extent cx="5274310" cy="388043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65" w:rsidRPr="00D54315" w:rsidRDefault="00A86F65" w:rsidP="00A86F65">
      <w:pPr>
        <w:rPr>
          <w:b/>
          <w:u w:val="single"/>
        </w:rPr>
      </w:pPr>
      <w:r w:rsidRPr="00D54315">
        <w:rPr>
          <w:rFonts w:hint="eastAsia"/>
          <w:b/>
          <w:u w:val="single"/>
        </w:rPr>
        <w:t>Data in MFG/Pro</w:t>
      </w:r>
    </w:p>
    <w:p w:rsidR="00A86F65" w:rsidRDefault="00A86F65" w:rsidP="00A86F65">
      <w:r>
        <w:rPr>
          <w:rFonts w:hint="eastAsia"/>
        </w:rPr>
        <w:t>In MFG/Pro, a unique Batch Number will be assigned to each supplier DN.</w:t>
      </w:r>
    </w:p>
    <w:p w:rsidR="00A86F65" w:rsidRPr="00210131" w:rsidRDefault="00A86F65" w:rsidP="00A86F65">
      <w:r>
        <w:rPr>
          <w:rFonts w:hint="eastAsia"/>
        </w:rPr>
        <w:t xml:space="preserve">Status = </w:t>
      </w:r>
      <w:r>
        <w:t>‘</w:t>
      </w:r>
      <w:r>
        <w:rPr>
          <w:rFonts w:hint="eastAsia"/>
        </w:rPr>
        <w:t>Start</w:t>
      </w:r>
      <w:r>
        <w:t>’</w:t>
      </w:r>
      <w:r>
        <w:rPr>
          <w:rFonts w:hint="eastAsia"/>
        </w:rPr>
        <w:t>.</w:t>
      </w:r>
    </w:p>
    <w:p w:rsidR="00A86F65" w:rsidRDefault="00A86F65" w:rsidP="00A86F65">
      <w:r>
        <w:rPr>
          <w:rFonts w:hint="eastAsia"/>
        </w:rPr>
        <w:t xml:space="preserve"> </w:t>
      </w:r>
    </w:p>
    <w:p w:rsidR="00A86F65" w:rsidRDefault="00A86F65" w:rsidP="00A86F65">
      <w:r>
        <w:rPr>
          <w:noProof/>
        </w:rPr>
        <w:drawing>
          <wp:inline distT="0" distB="0" distL="0" distR="0">
            <wp:extent cx="5274310" cy="2524173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65" w:rsidRDefault="00A86F65" w:rsidP="00A86F65"/>
    <w:p w:rsidR="00A86F65" w:rsidRDefault="00A86F65" w:rsidP="00A86F65"/>
    <w:p w:rsidR="00A86F65" w:rsidRPr="00D54315" w:rsidRDefault="00A86F65" w:rsidP="00A86F65">
      <w:pPr>
        <w:rPr>
          <w:b/>
          <w:u w:val="single"/>
        </w:rPr>
      </w:pPr>
      <w:r w:rsidRPr="00D54315">
        <w:rPr>
          <w:rFonts w:hint="eastAsia"/>
          <w:b/>
          <w:u w:val="single"/>
        </w:rPr>
        <w:t>PO Checking</w:t>
      </w:r>
    </w:p>
    <w:p w:rsidR="00A86F65" w:rsidRDefault="00A86F65" w:rsidP="00A86F65">
      <w:r>
        <w:rPr>
          <w:rFonts w:hint="eastAsia"/>
        </w:rPr>
        <w:t>System will auto consolidate all cartons into corresponding PO Line for PO-Checking.</w:t>
      </w:r>
    </w:p>
    <w:p w:rsidR="00A86F65" w:rsidRDefault="00A86F65" w:rsidP="00A86F65">
      <w:r>
        <w:rPr>
          <w:rFonts w:hint="eastAsia"/>
        </w:rPr>
        <w:t>There will a scheduled job to performance Auto PO checking and an auto-mail alerts will be sent to notify corresponding PO Buyers if there any Problem PO such as:</w:t>
      </w:r>
    </w:p>
    <w:p w:rsidR="00A86F65" w:rsidRDefault="00A86F65" w:rsidP="00A86F65">
      <w:pPr>
        <w:pStyle w:val="a4"/>
        <w:ind w:left="420"/>
      </w:pPr>
    </w:p>
    <w:p w:rsidR="00A86F65" w:rsidRDefault="00A86F65" w:rsidP="00A86F65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PO Not Approval</w:t>
      </w:r>
    </w:p>
    <w:p w:rsidR="00A86F65" w:rsidRDefault="00A86F65" w:rsidP="00A86F65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To Early/Late for receiving</w:t>
      </w:r>
    </w:p>
    <w:p w:rsidR="00A86F65" w:rsidRDefault="00A86F65" w:rsidP="00A86F65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Delivery does not match with Demand (for Bulky/Scheduled items only)</w:t>
      </w:r>
    </w:p>
    <w:p w:rsidR="00A86F65" w:rsidRDefault="00A86F65" w:rsidP="00A86F65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Cancellation request from ACO</w:t>
      </w:r>
    </w:p>
    <w:p w:rsidR="00A86F65" w:rsidRDefault="00A86F65" w:rsidP="00A86F65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 xml:space="preserve">Other Basic </w:t>
      </w:r>
      <w:r>
        <w:t>information</w:t>
      </w:r>
      <w:r>
        <w:rPr>
          <w:rFonts w:hint="eastAsia"/>
        </w:rPr>
        <w:t xml:space="preserve"> validation</w:t>
      </w:r>
    </w:p>
    <w:p w:rsidR="00A86F65" w:rsidRDefault="00A86F65" w:rsidP="00A86F65">
      <w:pPr>
        <w:pStyle w:val="a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 xml:space="preserve">Status = </w:t>
      </w:r>
      <w:r>
        <w:t>‘</w:t>
      </w:r>
      <w:r>
        <w:rPr>
          <w:rFonts w:hint="eastAsia"/>
        </w:rPr>
        <w:t>Checked</w:t>
      </w:r>
      <w:r>
        <w:t>’</w:t>
      </w:r>
    </w:p>
    <w:p w:rsidR="00A86F65" w:rsidRDefault="00A86F65" w:rsidP="00A86F65">
      <w:r>
        <w:rPr>
          <w:noProof/>
        </w:rPr>
        <w:drawing>
          <wp:inline distT="0" distB="0" distL="0" distR="0">
            <wp:extent cx="5274310" cy="252417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954902" w:rsidRDefault="00954902" w:rsidP="00A86F65">
      <w:pPr>
        <w:rPr>
          <w:rFonts w:eastAsia="SimSun"/>
          <w:b/>
          <w:u w:val="single"/>
        </w:rPr>
      </w:pPr>
    </w:p>
    <w:p w:rsidR="00A86F65" w:rsidRPr="00D54315" w:rsidRDefault="00A86F65" w:rsidP="00A86F65">
      <w:pPr>
        <w:rPr>
          <w:b/>
          <w:u w:val="single"/>
        </w:rPr>
      </w:pPr>
      <w:r w:rsidRPr="00D54315">
        <w:rPr>
          <w:rFonts w:hint="eastAsia"/>
          <w:b/>
          <w:u w:val="single"/>
        </w:rPr>
        <w:lastRenderedPageBreak/>
        <w:t>PO Receipt</w:t>
      </w:r>
    </w:p>
    <w:p w:rsidR="00A86F65" w:rsidRDefault="00A86F65" w:rsidP="00A86F65">
      <w:r>
        <w:rPr>
          <w:rFonts w:hint="eastAsia"/>
        </w:rPr>
        <w:t>When all PO lines within one Batch-ID are checked and are ready for Book-In, users can input the Batch-ID for Auto-PO-Receipt.</w:t>
      </w:r>
    </w:p>
    <w:p w:rsidR="00A86F65" w:rsidRDefault="00A86F65" w:rsidP="00A86F65">
      <w:r>
        <w:rPr>
          <w:noProof/>
        </w:rPr>
        <w:drawing>
          <wp:inline distT="0" distB="0" distL="0" distR="0">
            <wp:extent cx="5274310" cy="388043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65" w:rsidRDefault="00A86F65" w:rsidP="00A86F65"/>
    <w:p w:rsidR="00A86F65" w:rsidRDefault="00A86F65" w:rsidP="00A86F65">
      <w:r>
        <w:rPr>
          <w:rFonts w:hint="eastAsia"/>
        </w:rPr>
        <w:t xml:space="preserve">After Auto-PO Receipt is completed, Status = </w:t>
      </w:r>
      <w:r>
        <w:t>‘</w:t>
      </w:r>
      <w:r>
        <w:rPr>
          <w:rFonts w:hint="eastAsia"/>
        </w:rPr>
        <w:t>End</w:t>
      </w:r>
      <w:r>
        <w:t>’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corresponding RIR will be </w:t>
      </w:r>
      <w:r>
        <w:t>assigned</w:t>
      </w:r>
      <w:r>
        <w:rPr>
          <w:rFonts w:hint="eastAsia"/>
        </w:rPr>
        <w:t xml:space="preserve"> to each Wong</w:t>
      </w:r>
      <w:r>
        <w:t>’</w:t>
      </w:r>
      <w:r>
        <w:rPr>
          <w:rFonts w:hint="eastAsia"/>
        </w:rPr>
        <w:t>s Carton ID:</w:t>
      </w:r>
    </w:p>
    <w:p w:rsidR="00A86F65" w:rsidRDefault="00A86F65" w:rsidP="00A86F65">
      <w:r>
        <w:rPr>
          <w:noProof/>
        </w:rPr>
        <w:drawing>
          <wp:inline distT="0" distB="0" distL="0" distR="0">
            <wp:extent cx="5274210" cy="2333625"/>
            <wp:effectExtent l="19050" t="0" r="26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00" w:rsidRDefault="009F701F">
      <w:pPr>
        <w:rPr>
          <w:rFonts w:eastAsia="SimSun"/>
          <w:sz w:val="40"/>
          <w:szCs w:val="40"/>
          <w:u w:val="single"/>
        </w:rPr>
      </w:pPr>
      <w:r w:rsidRPr="009F701F">
        <w:rPr>
          <w:rFonts w:eastAsia="SimSun" w:hint="eastAsia"/>
          <w:sz w:val="40"/>
          <w:szCs w:val="40"/>
          <w:u w:val="single"/>
        </w:rPr>
        <w:lastRenderedPageBreak/>
        <w:t>Integrate with PI System</w:t>
      </w:r>
    </w:p>
    <w:p w:rsidR="004225BC" w:rsidRDefault="0096479F">
      <w:pPr>
        <w:rPr>
          <w:rFonts w:eastAsia="SimSun"/>
          <w:sz w:val="40"/>
          <w:szCs w:val="40"/>
          <w:u w:val="single"/>
        </w:rPr>
      </w:pPr>
      <w:r w:rsidRPr="0096479F">
        <w:rPr>
          <w:rFonts w:eastAsia="SimSun"/>
          <w:noProof/>
          <w:sz w:val="40"/>
          <w:szCs w:val="40"/>
          <w:u w:val="single"/>
        </w:rPr>
        <w:drawing>
          <wp:inline distT="0" distB="0" distL="0" distR="0">
            <wp:extent cx="5486400" cy="3372729"/>
            <wp:effectExtent l="19050" t="0" r="0" b="0"/>
            <wp:docPr id="8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5223448"/>
                      <a:chOff x="467544" y="548680"/>
                      <a:chExt cx="8496944" cy="5223448"/>
                    </a:xfrm>
                  </a:grpSpPr>
                  <a:sp>
                    <a:nvSpPr>
                      <a:cNvPr id="2" name="矩形 11"/>
                      <a:cNvSpPr/>
                    </a:nvSpPr>
                    <a:spPr>
                      <a:xfrm>
                        <a:off x="4211960" y="1772816"/>
                        <a:ext cx="4752528" cy="3999312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  <a:alpha val="12000"/>
                        </a:schemeClr>
                      </a:solidFill>
                    </a:spPr>
                    <a:txSp>
                      <a:txBody>
                        <a:bodyPr rtlCol="0" anchor="t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PI System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流程图: 磁盘 26"/>
                      <a:cNvSpPr/>
                    </a:nvSpPr>
                    <a:spPr>
                      <a:xfrm>
                        <a:off x="7668344" y="4293096"/>
                        <a:ext cx="681306" cy="430415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 dirty="0" smtClean="0"/>
                            <a:t>pi_mstr</a:t>
                          </a:r>
                          <a:endParaRPr lang="zh-CN" altLang="en-US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流程图: 磁盘 58"/>
                      <a:cNvSpPr/>
                    </a:nvSpPr>
                    <a:spPr>
                      <a:xfrm>
                        <a:off x="7668344" y="2924944"/>
                        <a:ext cx="720080" cy="430415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 dirty="0" smtClean="0"/>
                            <a:t>pi_det</a:t>
                          </a:r>
                          <a:endParaRPr lang="zh-CN" altLang="en-US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流程图: 磁盘 59"/>
                      <a:cNvSpPr/>
                    </a:nvSpPr>
                    <a:spPr>
                      <a:xfrm flipH="1">
                        <a:off x="4499992" y="2708920"/>
                        <a:ext cx="1008112" cy="860831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pis_mstr</a:t>
                          </a:r>
                          <a:r>
                            <a:rPr lang="en-US" altLang="zh-CN" sz="1000" dirty="0" smtClean="0"/>
                            <a:t/>
                          </a:r>
                          <a:br>
                            <a:rPr lang="en-US" altLang="zh-CN" sz="1000" dirty="0" smtClean="0"/>
                          </a:br>
                          <a:r>
                            <a:rPr lang="en-US" altLang="zh-CN" sz="1000" dirty="0" smtClean="0"/>
                            <a:t>Plant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altLang="zh-CN" sz="1000" dirty="0" smtClean="0"/>
                            <a:t>Type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altLang="zh-CN" sz="1000" dirty="0" smtClean="0"/>
                            <a:t>Pallet Number</a:t>
                          </a:r>
                          <a:endParaRPr lang="zh-CN" altLang="en-US" sz="1000" dirty="0" smtClean="0"/>
                        </a:p>
                        <a:p>
                          <a:pPr algn="ctr"/>
                          <a:endParaRPr lang="zh-CN" alt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流程图: 磁盘 60"/>
                      <a:cNvSpPr/>
                    </a:nvSpPr>
                    <a:spPr>
                      <a:xfrm>
                        <a:off x="4533226" y="4221088"/>
                        <a:ext cx="974878" cy="737855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600" dirty="0" smtClean="0"/>
                            <a:t>pisd_det</a:t>
                          </a:r>
                          <a:r>
                            <a:rPr lang="en-US" altLang="zh-CN" sz="1000" dirty="0" smtClean="0"/>
                            <a:t/>
                          </a:r>
                          <a:br>
                            <a:rPr lang="en-US" altLang="zh-CN" sz="1000" dirty="0" smtClean="0"/>
                          </a:br>
                          <a:r>
                            <a:rPr lang="en-US" altLang="zh-CN" sz="1000" dirty="0" smtClean="0"/>
                            <a:t>Pallet-ID</a:t>
                          </a:r>
                          <a:br>
                            <a:rPr lang="en-US" altLang="zh-CN" sz="1000" dirty="0" smtClean="0"/>
                          </a:br>
                          <a:r>
                            <a:rPr lang="en-US" altLang="zh-CN" sz="1000" dirty="0" smtClean="0"/>
                            <a:t>WEC-Carton-ID</a:t>
                          </a:r>
                          <a:endParaRPr lang="zh-CN" alt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流程图: 磁盘 61"/>
                      <a:cNvSpPr/>
                    </a:nvSpPr>
                    <a:spPr>
                      <a:xfrm>
                        <a:off x="5796136" y="2276872"/>
                        <a:ext cx="1008112" cy="553391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pisr_rir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肘形连接符 91"/>
                      <a:cNvCxnSpPr>
                        <a:stCxn id="11" idx="3"/>
                        <a:endCxn id="3" idx="2"/>
                      </a:cNvCxnSpPr>
                    </a:nvCxnSpPr>
                    <a:spPr>
                      <a:xfrm>
                        <a:off x="6732240" y="3818152"/>
                        <a:ext cx="936104" cy="6901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肘形连接符 91"/>
                      <a:cNvCxnSpPr>
                        <a:stCxn id="7" idx="4"/>
                        <a:endCxn id="4" idx="1"/>
                      </a:cNvCxnSpPr>
                    </a:nvCxnSpPr>
                    <a:spPr>
                      <a:xfrm>
                        <a:off x="6804248" y="2553568"/>
                        <a:ext cx="1224136" cy="371376"/>
                      </a:xfrm>
                      <a:prstGeom prst="bentConnector2">
                        <a:avLst/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肘形连接符 91"/>
                      <a:cNvCxnSpPr>
                        <a:stCxn id="11" idx="3"/>
                        <a:endCxn id="4" idx="2"/>
                      </a:cNvCxnSpPr>
                    </a:nvCxnSpPr>
                    <a:spPr>
                      <a:xfrm flipV="1">
                        <a:off x="6732240" y="3140152"/>
                        <a:ext cx="936104" cy="6780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流程图: 过程 249"/>
                      <a:cNvSpPr/>
                    </a:nvSpPr>
                    <a:spPr>
                      <a:xfrm>
                        <a:off x="5879222" y="3356992"/>
                        <a:ext cx="853018" cy="922319"/>
                      </a:xfrm>
                      <a:prstGeom prst="flowChartProcess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(11)</a:t>
                          </a:r>
                        </a:p>
                        <a:p>
                          <a:pPr algn="ctr"/>
                          <a:r>
                            <a:rPr lang="en-US" altLang="zh-CN" sz="1200" dirty="0" smtClean="0"/>
                            <a:t>Import to  PI System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直接箭头连接符 278"/>
                      <a:cNvCxnSpPr>
                        <a:stCxn id="7" idx="3"/>
                        <a:endCxn id="11" idx="0"/>
                      </a:cNvCxnSpPr>
                    </a:nvCxnSpPr>
                    <a:spPr>
                      <a:xfrm>
                        <a:off x="6300192" y="2830263"/>
                        <a:ext cx="5539" cy="526729"/>
                      </a:xfrm>
                      <a:prstGeom prst="straightConnector1">
                        <a:avLst/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肘形连接符 288"/>
                      <a:cNvCxnSpPr>
                        <a:stCxn id="6" idx="4"/>
                        <a:endCxn id="11" idx="1"/>
                      </a:cNvCxnSpPr>
                    </a:nvCxnSpPr>
                    <a:spPr>
                      <a:xfrm flipV="1">
                        <a:off x="5508104" y="3818152"/>
                        <a:ext cx="371118" cy="77186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肘形连接符 289"/>
                      <a:cNvCxnSpPr>
                        <a:stCxn id="5" idx="2"/>
                        <a:endCxn id="11" idx="1"/>
                      </a:cNvCxnSpPr>
                    </a:nvCxnSpPr>
                    <a:spPr>
                      <a:xfrm>
                        <a:off x="5508104" y="3139336"/>
                        <a:ext cx="371118" cy="67881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流程图: 磁盘 321"/>
                      <a:cNvSpPr/>
                    </a:nvSpPr>
                    <a:spPr>
                      <a:xfrm>
                        <a:off x="7701578" y="4797152"/>
                        <a:ext cx="681306" cy="504056"/>
                      </a:xfrm>
                      <a:prstGeom prst="flowChartMagneticDisk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100" dirty="0" smtClean="0"/>
                            <a:t>CO</a:t>
                          </a:r>
                          <a:endParaRPr lang="zh-CN" altLang="en-US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流程图: 过程 322"/>
                      <a:cNvSpPr/>
                    </a:nvSpPr>
                    <a:spPr>
                      <a:xfrm>
                        <a:off x="5868144" y="4581128"/>
                        <a:ext cx="853018" cy="922319"/>
                      </a:xfrm>
                      <a:prstGeom prst="flowChartProcess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(11.a)</a:t>
                          </a:r>
                        </a:p>
                        <a:p>
                          <a:pPr algn="ctr"/>
                          <a:r>
                            <a:rPr lang="en-US" altLang="zh-CN" sz="1200" dirty="0" smtClean="0"/>
                            <a:t>(Optional)</a:t>
                          </a:r>
                        </a:p>
                        <a:p>
                          <a:pPr algn="ctr"/>
                          <a:r>
                            <a:rPr lang="en-US" altLang="zh-CN" sz="1200" dirty="0" smtClean="0"/>
                            <a:t>Manual </a:t>
                          </a:r>
                          <a:r>
                            <a:rPr lang="en-US" altLang="zh-CN" sz="1200" dirty="0" err="1" smtClean="0"/>
                            <a:t>Adj</a:t>
                          </a:r>
                          <a:r>
                            <a:rPr lang="en-US" altLang="zh-CN" sz="1200" dirty="0" smtClean="0"/>
                            <a:t> .CO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直接箭头连接符 323"/>
                      <a:cNvCxnSpPr>
                        <a:stCxn id="11" idx="2"/>
                        <a:endCxn id="16" idx="0"/>
                      </a:cNvCxnSpPr>
                    </a:nvCxnSpPr>
                    <a:spPr>
                      <a:xfrm flipH="1">
                        <a:off x="6294653" y="4279311"/>
                        <a:ext cx="11078" cy="301817"/>
                      </a:xfrm>
                      <a:prstGeom prst="straightConnector1">
                        <a:avLst/>
                      </a:prstGeom>
                      <a:ln w="15875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直接箭头连接符 328"/>
                      <a:cNvCxnSpPr>
                        <a:stCxn id="16" idx="3"/>
                        <a:endCxn id="15" idx="2"/>
                      </a:cNvCxnSpPr>
                    </a:nvCxnSpPr>
                    <a:spPr>
                      <a:xfrm>
                        <a:off x="6721162" y="5042288"/>
                        <a:ext cx="980416" cy="6892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矩形 12"/>
                      <a:cNvSpPr/>
                    </a:nvSpPr>
                    <a:spPr>
                      <a:xfrm>
                        <a:off x="4283968" y="548680"/>
                        <a:ext cx="3600400" cy="936104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  <a:alpha val="12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dirty="0" smtClean="0">
                              <a:solidFill>
                                <a:schemeClr val="tx1"/>
                              </a:solidFill>
                            </a:rPr>
                            <a:t>MFG/Pro</a:t>
                          </a:r>
                        </a:p>
                        <a:p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(7) PO Check and allocation PO into </a:t>
                          </a:r>
                          <a:r>
                            <a:rPr lang="en-US" altLang="zh-CN" sz="1000" dirty="0" err="1" smtClean="0">
                              <a:solidFill>
                                <a:schemeClr val="tx1"/>
                              </a:solidFill>
                            </a:rPr>
                            <a:t>dntp_det</a:t>
                          </a:r>
                          <a:endParaRPr lang="en-US" altLang="zh-CN" sz="10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(8) Auto Book-In</a:t>
                          </a:r>
                          <a:b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</a:br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(9.a)  Receiving Report</a:t>
                          </a:r>
                          <a:b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</a:br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(9.b) </a:t>
                          </a:r>
                          <a:r>
                            <a:rPr lang="en-US" altLang="zh-CN" sz="1000" dirty="0" err="1" smtClean="0">
                              <a:solidFill>
                                <a:schemeClr val="tx1"/>
                              </a:solidFill>
                            </a:rPr>
                            <a:t>dntd_det</a:t>
                          </a:r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 status and </a:t>
                          </a:r>
                          <a:r>
                            <a:rPr lang="en-US" altLang="zh-CN" sz="1000" dirty="0" err="1" smtClean="0">
                              <a:solidFill>
                                <a:schemeClr val="tx1"/>
                              </a:solidFill>
                            </a:rPr>
                            <a:t>dntp_det</a:t>
                          </a:r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/>
                          </a:r>
                          <a:b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</a:br>
                          <a:endParaRPr lang="zh-CN" alt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形状 45"/>
                      <a:cNvCxnSpPr>
                        <a:stCxn id="19" idx="2"/>
                      </a:cNvCxnSpPr>
                    </a:nvCxnSpPr>
                    <a:spPr>
                      <a:xfrm rot="16200000" flipH="1">
                        <a:off x="5796136" y="1772816"/>
                        <a:ext cx="792088" cy="21602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57150" cmpd="sng">
                        <a:solidFill>
                          <a:schemeClr val="accent4">
                            <a:lumMod val="75000"/>
                          </a:schemeClr>
                        </a:solidFill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084168" y="1495817"/>
                        <a:ext cx="43473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dirty="0" smtClean="0"/>
                            <a:t>(12)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2" name="流程图: 多文档 20"/>
                      <a:cNvSpPr/>
                    </a:nvSpPr>
                    <a:spPr>
                      <a:xfrm>
                        <a:off x="611560" y="2708920"/>
                        <a:ext cx="792088" cy="576064"/>
                      </a:xfrm>
                      <a:prstGeom prst="flowChartMultidocumen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500" dirty="0" smtClean="0">
                              <a:latin typeface="CIA Code 39 Medium" pitchFamily="34" charset="0"/>
                            </a:rPr>
                            <a:t>12345678</a:t>
                          </a:r>
                          <a:endParaRPr lang="zh-CN" altLang="en-US" sz="500" dirty="0">
                            <a:latin typeface="CIA Code 39 Medium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流程图: 过程 28"/>
                      <a:cNvSpPr/>
                    </a:nvSpPr>
                    <a:spPr>
                      <a:xfrm>
                        <a:off x="2483768" y="3284984"/>
                        <a:ext cx="1152128" cy="864096"/>
                      </a:xfrm>
                      <a:prstGeom prst="flowChartProcess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000" b="1" dirty="0" smtClean="0"/>
                            <a:t>(10)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altLang="zh-CN" sz="1000" b="1" dirty="0" smtClean="0"/>
                            <a:t>WIFI Barcode Scanner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altLang="zh-CN" sz="1000" b="1" dirty="0" smtClean="0"/>
                            <a:t>Input CO if missing 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直接箭头连接符 85"/>
                      <a:cNvCxnSpPr>
                        <a:stCxn id="25" idx="3"/>
                        <a:endCxn id="23" idx="1"/>
                      </a:cNvCxnSpPr>
                    </a:nvCxnSpPr>
                    <a:spPr>
                      <a:xfrm>
                        <a:off x="1979712" y="3717032"/>
                        <a:ext cx="504056" cy="0"/>
                      </a:xfrm>
                      <a:prstGeom prst="straightConnector1">
                        <a:avLst/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矩形 192"/>
                      <a:cNvSpPr/>
                    </a:nvSpPr>
                    <a:spPr>
                      <a:xfrm>
                        <a:off x="467544" y="3356992"/>
                        <a:ext cx="1512168" cy="7200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dirty="0" smtClean="0">
                              <a:solidFill>
                                <a:schemeClr val="tx1"/>
                              </a:solidFill>
                            </a:rPr>
                            <a:t>(5) Manual Process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Apply Labels to Cartons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altLang="zh-CN" sz="1000" dirty="0" smtClean="0">
                              <a:solidFill>
                                <a:schemeClr val="tx1"/>
                              </a:solidFill>
                            </a:rPr>
                            <a:t>Re-Pallet Process</a:t>
                          </a:r>
                          <a:endParaRPr lang="zh-CN" alt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肘形连接符 201"/>
                      <a:cNvCxnSpPr>
                        <a:stCxn id="23" idx="3"/>
                        <a:endCxn id="6" idx="2"/>
                      </a:cNvCxnSpPr>
                    </a:nvCxnSpPr>
                    <a:spPr>
                      <a:xfrm>
                        <a:off x="3635896" y="3717032"/>
                        <a:ext cx="897330" cy="87298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肘形连接符 202"/>
                      <a:cNvCxnSpPr>
                        <a:stCxn id="23" idx="3"/>
                        <a:endCxn id="5" idx="4"/>
                      </a:cNvCxnSpPr>
                    </a:nvCxnSpPr>
                    <a:spPr>
                      <a:xfrm flipV="1">
                        <a:off x="3635896" y="3139336"/>
                        <a:ext cx="864096" cy="57769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54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B0F24" w:rsidRDefault="003B0F24" w:rsidP="003B0F24">
      <w:pPr>
        <w:rPr>
          <w:rFonts w:eastAsia="SimSun"/>
        </w:rPr>
      </w:pPr>
      <w:r>
        <w:rPr>
          <w:rFonts w:eastAsia="SimSun" w:hint="eastAsia"/>
        </w:rPr>
        <w:t xml:space="preserve">Preparing PI Report </w:t>
      </w:r>
    </w:p>
    <w:p w:rsidR="0096479F" w:rsidRPr="003B0F24" w:rsidRDefault="003B0F24" w:rsidP="003B0F24">
      <w:pPr>
        <w:pStyle w:val="a4"/>
        <w:numPr>
          <w:ilvl w:val="0"/>
          <w:numId w:val="5"/>
        </w:numPr>
        <w:rPr>
          <w:rFonts w:eastAsia="SimSun"/>
        </w:rPr>
      </w:pPr>
      <w:r w:rsidRPr="003B0F24">
        <w:rPr>
          <w:rFonts w:eastAsia="SimSun" w:hint="eastAsia"/>
        </w:rPr>
        <w:t xml:space="preserve">Step 10 </w:t>
      </w:r>
      <w:r w:rsidR="0096479F" w:rsidRPr="003B0F24">
        <w:rPr>
          <w:rFonts w:eastAsia="SimSun" w:hint="eastAsia"/>
        </w:rPr>
        <w:t xml:space="preserve"> Use Barcode Scanner </w:t>
      </w:r>
      <w:r w:rsidRPr="003B0F24">
        <w:rPr>
          <w:rFonts w:eastAsia="SimSun" w:hint="eastAsia"/>
        </w:rPr>
        <w:t xml:space="preserve">to scan the WEC Carton-ID </w:t>
      </w:r>
    </w:p>
    <w:p w:rsidR="003B0F24" w:rsidRDefault="003B0F24" w:rsidP="003B0F24">
      <w:pPr>
        <w:pStyle w:val="a4"/>
        <w:numPr>
          <w:ilvl w:val="0"/>
          <w:numId w:val="5"/>
        </w:numPr>
        <w:rPr>
          <w:rFonts w:eastAsia="SimSun"/>
        </w:rPr>
      </w:pPr>
      <w:r>
        <w:rPr>
          <w:rFonts w:eastAsia="SimSun" w:hint="eastAsia"/>
        </w:rPr>
        <w:t>Using Wec-Carton-ID as key, the related GRR records will download to temp-tables:</w:t>
      </w:r>
    </w:p>
    <w:p w:rsidR="003B0F24" w:rsidRDefault="003B0F24" w:rsidP="003B0F24">
      <w:pPr>
        <w:pStyle w:val="a4"/>
        <w:numPr>
          <w:ilvl w:val="1"/>
          <w:numId w:val="5"/>
        </w:numPr>
        <w:rPr>
          <w:rFonts w:eastAsia="SimSun"/>
        </w:rPr>
      </w:pPr>
      <w:r>
        <w:rPr>
          <w:rFonts w:eastAsia="SimSun"/>
        </w:rPr>
        <w:t>P</w:t>
      </w:r>
      <w:r>
        <w:rPr>
          <w:rFonts w:eastAsia="SimSun" w:hint="eastAsia"/>
        </w:rPr>
        <w:t>is_mstr</w:t>
      </w:r>
    </w:p>
    <w:p w:rsidR="003B0F24" w:rsidRDefault="003B0F24" w:rsidP="003B0F24">
      <w:pPr>
        <w:pStyle w:val="a4"/>
        <w:numPr>
          <w:ilvl w:val="1"/>
          <w:numId w:val="5"/>
        </w:numPr>
        <w:rPr>
          <w:rFonts w:eastAsia="SimSun"/>
        </w:rPr>
      </w:pPr>
      <w:r>
        <w:rPr>
          <w:rFonts w:eastAsia="SimSun"/>
        </w:rPr>
        <w:t>P</w:t>
      </w:r>
      <w:r>
        <w:rPr>
          <w:rFonts w:eastAsia="SimSun" w:hint="eastAsia"/>
        </w:rPr>
        <w:t>isd_det</w:t>
      </w:r>
    </w:p>
    <w:p w:rsidR="003B0F24" w:rsidRDefault="003B0F24" w:rsidP="003B0F24">
      <w:pPr>
        <w:pStyle w:val="a4"/>
        <w:numPr>
          <w:ilvl w:val="1"/>
          <w:numId w:val="5"/>
        </w:numPr>
        <w:rPr>
          <w:rFonts w:eastAsia="SimSun"/>
        </w:rPr>
      </w:pPr>
      <w:r>
        <w:rPr>
          <w:rFonts w:eastAsia="SimSun"/>
        </w:rPr>
        <w:t>P</w:t>
      </w:r>
      <w:r>
        <w:rPr>
          <w:rFonts w:eastAsia="SimSun" w:hint="eastAsia"/>
        </w:rPr>
        <w:t>isr_grr</w:t>
      </w:r>
    </w:p>
    <w:p w:rsidR="003B0F24" w:rsidRDefault="003B0F24" w:rsidP="003B0F24">
      <w:pPr>
        <w:pStyle w:val="a4"/>
        <w:rPr>
          <w:rFonts w:eastAsia="SimSun"/>
        </w:rPr>
      </w:pPr>
      <w:r>
        <w:rPr>
          <w:rFonts w:eastAsia="SimSun" w:hint="eastAsia"/>
        </w:rPr>
        <w:t>(Please refer to the Table definition at Table Section)</w:t>
      </w:r>
    </w:p>
    <w:p w:rsidR="00984C01" w:rsidRPr="00984C01" w:rsidRDefault="00984C01" w:rsidP="00984C01">
      <w:pPr>
        <w:pStyle w:val="a4"/>
        <w:numPr>
          <w:ilvl w:val="0"/>
          <w:numId w:val="5"/>
        </w:numPr>
        <w:rPr>
          <w:rFonts w:eastAsia="SimSun"/>
        </w:rPr>
      </w:pPr>
      <w:r>
        <w:rPr>
          <w:rFonts w:eastAsia="SimSun" w:hint="eastAsia"/>
        </w:rPr>
        <w:t>If CO (country origin) is missing , users can edit the data using the following function</w:t>
      </w:r>
    </w:p>
    <w:p w:rsidR="003B0F24" w:rsidRPr="003B0F24" w:rsidRDefault="00984C01" w:rsidP="003B0F24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>
            <wp:extent cx="5486400" cy="2257425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24" w:rsidRDefault="006312BF">
      <w:pPr>
        <w:rPr>
          <w:rFonts w:eastAsia="SimSun"/>
        </w:rPr>
      </w:pPr>
      <w:r>
        <w:rPr>
          <w:rFonts w:eastAsia="SimSun" w:hint="eastAsia"/>
        </w:rPr>
        <w:lastRenderedPageBreak/>
        <w:t>T</w:t>
      </w:r>
      <w:r w:rsidR="003B0F24">
        <w:rPr>
          <w:rFonts w:eastAsia="SimSun" w:hint="eastAsia"/>
        </w:rPr>
        <w:t>ABLES</w:t>
      </w:r>
    </w:p>
    <w:tbl>
      <w:tblPr>
        <w:tblW w:w="10080" w:type="dxa"/>
        <w:tblInd w:w="103" w:type="dxa"/>
        <w:tblLook w:val="04A0"/>
      </w:tblPr>
      <w:tblGrid>
        <w:gridCol w:w="940"/>
        <w:gridCol w:w="1897"/>
        <w:gridCol w:w="2240"/>
        <w:gridCol w:w="1400"/>
        <w:gridCol w:w="3680"/>
      </w:tblGrid>
      <w:tr w:rsidR="003B0F24" w:rsidRPr="003B0F24" w:rsidTr="003B0F24">
        <w:trPr>
          <w:trHeight w:val="27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pis_mstr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Field-type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pis_batch_id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PI-Num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pis_plant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NW/Wellop/SZ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pis_type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Normal/RMA/MECH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pis_sys_date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Sys-Date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pis_time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hh:mm:ss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pis_user_id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User-ID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Char-20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pisd_det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Field-type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pisd_batch_id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PI-Num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pisd_plt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Pallet-Num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pisd_wec_id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WEC-Carton-ID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pisd_co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Country Of Origin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 with co in PI system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pisr_grr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Field-type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3B0F24" w:rsidRPr="003B0F24" w:rsidTr="003B0F24">
        <w:trPr>
          <w:trHeight w:val="300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pisr_batch_id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PI-Num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pisr_wec_id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WEC-Carton-ID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dntd_wec_id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pisr_plt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Pallet-Num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char-10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pisr_rir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RIR #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0C32B7" w:rsidRDefault="000C32B7" w:rsidP="003B0F24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ntd_rir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pisr_invoice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Char-40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0C32B7" w:rsidRDefault="000C32B7" w:rsidP="000C32B7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ntd_inv 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pisr_part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WEC-Part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Char-25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0C32B7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dntd</w:t>
            </w:r>
            <w:r w:rsidR="003B0F24"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_part</w:t>
            </w:r>
          </w:p>
        </w:tc>
      </w:tr>
      <w:tr w:rsidR="000C32B7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2B7" w:rsidRPr="003B0F24" w:rsidRDefault="000C32B7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2B7" w:rsidRPr="000C32B7" w:rsidRDefault="000C32B7" w:rsidP="003B0F24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isr_receiver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2B7" w:rsidRPr="000C32B7" w:rsidRDefault="000C32B7" w:rsidP="003B0F24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Receiver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2B7" w:rsidRPr="000C32B7" w:rsidRDefault="000C32B7" w:rsidP="003B0F24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Char-12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2B7" w:rsidRDefault="000C32B7" w:rsidP="003B0F24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ntd_receiver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pisr_site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0C32B7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dntd</w:t>
            </w:r>
            <w:r w:rsidR="003B0F24"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_site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pisr_po_nbr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PO-Number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0C32B7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ntd_po</w:t>
            </w:r>
            <w:r w:rsidR="003B0F24"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_nbr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pisr_qty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Decimal-0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dntd_qty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pisr_curr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prh_curr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pisr_cost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U/P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Decimal-6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prh_curr_amt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pisr_base_cost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U/P(Base)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Decimal-6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prh_pur_cost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pisr_us_cost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U/P(USD)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Decimal-6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Convert prh_pur_cost into USD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pisr_seq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Seq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pt_mstr.pt__qad23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pisr_con_code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 Conn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pt_mstr.pt_draw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pisr_ch_desc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Description (</w:t>
            </w:r>
            <w:r w:rsidRPr="003B0F24">
              <w:rPr>
                <w:rFonts w:ascii="MingLiU" w:eastAsia="MingLiU" w:hAnsi="MingLiU" w:cs="MingLiU"/>
                <w:color w:val="000000"/>
                <w:sz w:val="20"/>
                <w:szCs w:val="20"/>
              </w:rPr>
              <w:t>中文）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sq_mstr.sq_name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pisr_net_wt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 Weight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Decimal-6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pt_net_wt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pisr_rec_type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STS/IQC/SI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STS or IQC or SI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pisr_abc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ABC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 or Blank (dtab)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pisr_code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B0F24">
              <w:rPr>
                <w:rFonts w:ascii="SimSun" w:eastAsia="SimSun" w:hAnsi="SimSun" w:cs="Courier New" w:hint="eastAsia"/>
                <w:b/>
                <w:bCs/>
                <w:color w:val="000000"/>
                <w:sz w:val="20"/>
                <w:szCs w:val="20"/>
              </w:rPr>
              <w:t>商检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or Blank (tmp_tab)</w:t>
            </w:r>
          </w:p>
        </w:tc>
      </w:tr>
      <w:tr w:rsidR="003B0F24" w:rsidRPr="003B0F24" w:rsidTr="003B0F24">
        <w:trPr>
          <w:trHeight w:val="27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pisr_lic_req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Lic. Req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char-8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24" w:rsidRPr="003B0F24" w:rsidRDefault="003B0F24" w:rsidP="003B0F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B0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pt__chr05</w:t>
            </w:r>
          </w:p>
        </w:tc>
      </w:tr>
    </w:tbl>
    <w:p w:rsidR="00057D00" w:rsidRDefault="00057D00">
      <w:pPr>
        <w:rPr>
          <w:rFonts w:eastAsia="SimSun"/>
        </w:rPr>
      </w:pPr>
    </w:p>
    <w:p w:rsidR="00EB1DD3" w:rsidRPr="00DE4068" w:rsidRDefault="00EB1DD3">
      <w:pPr>
        <w:rPr>
          <w:rFonts w:eastAsia="SimSun"/>
        </w:rPr>
      </w:pPr>
    </w:p>
    <w:sectPr w:rsidR="00EB1DD3" w:rsidRPr="00DE4068" w:rsidSect="008C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40B" w:rsidRDefault="0019140B">
      <w:pPr>
        <w:spacing w:after="0" w:line="240" w:lineRule="auto"/>
      </w:pPr>
    </w:p>
  </w:endnote>
  <w:endnote w:type="continuationSeparator" w:id="1">
    <w:p w:rsidR="0019140B" w:rsidRDefault="0019140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40B" w:rsidRDefault="0019140B">
      <w:pPr>
        <w:spacing w:after="0" w:line="240" w:lineRule="auto"/>
      </w:pPr>
    </w:p>
  </w:footnote>
  <w:footnote w:type="continuationSeparator" w:id="1">
    <w:p w:rsidR="0019140B" w:rsidRDefault="0019140B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6AD"/>
    <w:multiLevelType w:val="hybridMultilevel"/>
    <w:tmpl w:val="3CD0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0B81"/>
    <w:multiLevelType w:val="hybridMultilevel"/>
    <w:tmpl w:val="CF84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0420C"/>
    <w:multiLevelType w:val="hybridMultilevel"/>
    <w:tmpl w:val="EB222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D0504"/>
    <w:multiLevelType w:val="hybridMultilevel"/>
    <w:tmpl w:val="37A2A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2E3518"/>
    <w:multiLevelType w:val="hybridMultilevel"/>
    <w:tmpl w:val="104C8CA6"/>
    <w:lvl w:ilvl="0" w:tplc="48D6A120">
      <w:start w:val="1"/>
      <w:numFmt w:val="decimal"/>
      <w:lvlText w:val="%1.)"/>
      <w:lvlJc w:val="left"/>
      <w:pPr>
        <w:ind w:left="720" w:hanging="360"/>
      </w:pPr>
      <w:rPr>
        <w:rFonts w:asciiTheme="minorHAnsi" w:eastAsia="SimSun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4068"/>
    <w:rsid w:val="00057D00"/>
    <w:rsid w:val="000C32B7"/>
    <w:rsid w:val="0019140B"/>
    <w:rsid w:val="00293421"/>
    <w:rsid w:val="003B0F24"/>
    <w:rsid w:val="003C2048"/>
    <w:rsid w:val="003D21DC"/>
    <w:rsid w:val="00406030"/>
    <w:rsid w:val="004225BC"/>
    <w:rsid w:val="006312BF"/>
    <w:rsid w:val="006A7BA9"/>
    <w:rsid w:val="008C52D5"/>
    <w:rsid w:val="00954902"/>
    <w:rsid w:val="0096479F"/>
    <w:rsid w:val="00984C01"/>
    <w:rsid w:val="009F701F"/>
    <w:rsid w:val="00A86F65"/>
    <w:rsid w:val="00C37B41"/>
    <w:rsid w:val="00DE4068"/>
    <w:rsid w:val="00E07E07"/>
    <w:rsid w:val="00EB1DD3"/>
    <w:rsid w:val="00ED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0603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ED3326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0C3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C32B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C32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C32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621A-0503-4529-96CE-D6D5FAB5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eddie.chan</dc:creator>
  <cp:lastModifiedBy>wu</cp:lastModifiedBy>
  <cp:revision>2</cp:revision>
  <dcterms:created xsi:type="dcterms:W3CDTF">2014-09-03T07:42:00Z</dcterms:created>
  <dcterms:modified xsi:type="dcterms:W3CDTF">2014-09-03T07:42:00Z</dcterms:modified>
</cp:coreProperties>
</file>