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吉林省体外诊断试剂挂网产品补充三省价格及挂网限价调整通知分析</w:t>
      </w:r>
    </w:p>
    <w:p>
      <w:pPr>
        <w:spacing w:lineRule="auto" w:line="324"/>
        <w:ind w:firstLine="420"/>
      </w:pPr>
      <w:r>
        <w:rPr>
          <w:rFonts w:ascii="Calibri" w:hAnsi="Calibri" w:eastAsia="宋体"/>
          <w:b w:val="0"/>
          <w:sz w:val="22"/>
        </w:rPr>
        <w:t>2026年3月30日，吉林省公共资源交易中心发布《关于吉林省体外诊断试剂挂网产品需补充三省挂网价格的通知》。该通知旨在落实吉林省医疗保障局相关函件及《2025年吉林省体外诊断试剂集中采购增补公告》中关于“体外诊断试剂挂网产品填报其他省级中选（挂网）价格应不少于三个省份”的要求。文件明确，已挂网但不满足该条件的产品需在规定过渡期内补充填报，并明确以全国省级最低中标（挂网）价格作为吉林省的挂网限价。未按要求完成补充或填报不实的企业，相关产品将于2026年6月1日起面临暂停挂网采购及信用评价处理。</w:t>
      </w:r>
    </w:p>
    <w:p>
      <w:pPr>
        <w:pStyle w:val="Heading1"/>
      </w:pPr>
      <w:r>
        <w:t>价格补充范围与申报路径</w:t>
      </w:r>
    </w:p>
    <w:p>
      <w:pPr>
        <w:spacing w:lineRule="auto" w:line="324"/>
        <w:ind w:firstLine="420"/>
      </w:pPr>
      <w:r>
        <w:rPr>
          <w:rFonts w:ascii="Calibri" w:hAnsi="Calibri" w:eastAsia="宋体"/>
          <w:b w:val="0"/>
          <w:sz w:val="22"/>
        </w:rPr>
        <w:t>本次价格补充针对已挂网但不满足“有三省挂网价格”条件的体外诊断试剂产品。相关企业需通过“吉林省体外诊断试剂集中采购系统”进行操作，具体路径为“日常信息变更管理”模块下的“产品信息变更”。企业需在此模块中完成三个省份的中标（挂网）价格填报工作。</w:t>
      </w:r>
    </w:p>
    <w:p>
      <w:pPr>
        <w:pStyle w:val="Heading1"/>
      </w:pPr>
      <w:r>
        <w:t>价格填报规则与挂网限价设定</w:t>
      </w:r>
    </w:p>
    <w:p>
      <w:pPr>
        <w:spacing w:lineRule="auto" w:line="324"/>
        <w:ind w:firstLine="420"/>
      </w:pPr>
      <w:r>
        <w:rPr>
          <w:rFonts w:ascii="Calibri" w:hAnsi="Calibri" w:eastAsia="宋体"/>
          <w:b w:val="0"/>
          <w:sz w:val="22"/>
        </w:rPr>
        <w:t>在价格填报要求方面，文件明确了跨省价格比对与限价联动机制。企业填报的三个省份价格中，必须包含全国所有省份中的最低中标（挂网）价格。在此基础上，吉林省将直接以该全国省级最低中标（挂网）价格作为相关产品的挂网限价。这一规则意味着，企业在补充外省价格的同时，将以全国省级最低中标（挂网）价格作为吉林省的挂网限价，企业需提前评估全国较低价格对吉林省挂网价格体系的影响。</w:t>
      </w:r>
    </w:p>
    <w:p>
      <w:r>
        <w:rPr>
          <w:rFonts w:ascii="Calibri" w:hAnsi="Calibri" w:eastAsia="宋体"/>
          <w:b/>
          <w:color w:val="C00000"/>
          <w:sz w:val="22"/>
        </w:rPr>
        <w:t>以全国省级最低中标（挂网）价格作为吉林省的挂网限价。</w:t>
      </w:r>
    </w:p>
    <w:p>
      <w:pPr>
        <w:pStyle w:val="Heading1"/>
      </w:pPr>
      <w:r>
        <w:t>执行时间节点与过渡期安排</w:t>
      </w:r>
    </w:p>
    <w:p>
      <w:pPr>
        <w:spacing w:lineRule="auto" w:line="324"/>
        <w:ind w:firstLine="420"/>
      </w:pPr>
      <w:r>
        <w:rPr>
          <w:rFonts w:ascii="Calibri" w:hAnsi="Calibri" w:eastAsia="宋体"/>
          <w:b w:val="0"/>
          <w:sz w:val="22"/>
        </w:rPr>
        <w:t>为降低对已挂网产品临床供应的影响，吉林省公共资源交易中心设置了明确的过渡期与申报窗口。过渡期自2026年4月1日起算，为期2个月。在过渡期内，企业需严格遵循《吉林省医用耗材和体外诊断试剂集中采购业务工作办理流程（2.0版）》中关于“日常信息变更”的时间要求，仅可在每月1日至10日期间进行价格补充操作。企业需合理安排内部数据核对与系统填报时间，避免错过每月固定的申报窗口。</w:t>
      </w:r>
    </w:p>
    <w:p>
      <w:r>
        <w:rPr>
          <w:rFonts w:ascii="Calibri" w:hAnsi="Calibri" w:eastAsia="宋体"/>
          <w:b/>
          <w:sz w:val="20"/>
        </w:rPr>
        <w:t>关键执行要求与时间节点表</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jc w:val="center"/>
            </w:pPr>
            <w:r>
              <w:rPr>
                <w:rFonts w:ascii="Calibri" w:hAnsi="Calibri" w:eastAsia="宋体"/>
                <w:b/>
                <w:sz w:val="20"/>
              </w:rPr>
              <w:t>事项</w:t>
            </w:r>
          </w:p>
        </w:tc>
        <w:tc>
          <w:tcPr>
            <w:tcW w:type="dxa" w:w="3061"/>
            <w:vAlign w:val="center"/>
            <w:shd w:fill="D9EAF7"/>
          </w:tcPr>
          <w:p>
            <w:pPr>
              <w:jc w:val="center"/>
            </w:pPr>
            <w:r>
              <w:rPr>
                <w:rFonts w:ascii="Calibri" w:hAnsi="Calibri" w:eastAsia="宋体"/>
                <w:b/>
                <w:sz w:val="20"/>
              </w:rPr>
              <w:t>规则要求</w:t>
            </w:r>
          </w:p>
        </w:tc>
        <w:tc>
          <w:tcPr>
            <w:tcW w:type="dxa" w:w="3061"/>
            <w:vAlign w:val="center"/>
            <w:shd w:fill="D9EAF7"/>
          </w:tcPr>
          <w:p>
            <w:pPr>
              <w:jc w:val="center"/>
            </w:pPr>
            <w:r>
              <w:rPr>
                <w:rFonts w:ascii="Calibri" w:hAnsi="Calibri" w:eastAsia="宋体"/>
                <w:b/>
                <w:sz w:val="20"/>
              </w:rPr>
              <w:t>时间节点/后果</w:t>
            </w:r>
          </w:p>
        </w:tc>
      </w:tr>
      <w:tr>
        <w:tc>
          <w:tcPr>
            <w:tcW w:type="dxa" w:w="3061"/>
            <w:vAlign w:val="center"/>
          </w:tcPr>
          <w:p>
            <w:r>
              <w:rPr>
                <w:rFonts w:ascii="Calibri" w:hAnsi="Calibri" w:eastAsia="宋体"/>
                <w:sz w:val="20"/>
              </w:rPr>
              <w:t>价格补充范围</w:t>
            </w:r>
          </w:p>
        </w:tc>
        <w:tc>
          <w:tcPr>
            <w:tcW w:type="dxa" w:w="3061"/>
            <w:vAlign w:val="center"/>
          </w:tcPr>
          <w:p>
            <w:r>
              <w:rPr>
                <w:rFonts w:ascii="Calibri" w:hAnsi="Calibri" w:eastAsia="宋体"/>
                <w:sz w:val="20"/>
              </w:rPr>
              <w:t>已挂网但不满足“有三省挂网价格”的产品</w:t>
            </w:r>
          </w:p>
        </w:tc>
        <w:tc>
          <w:tcPr>
            <w:tcW w:type="dxa" w:w="3061"/>
            <w:vAlign w:val="center"/>
          </w:tcPr>
          <w:p>
            <w:pPr>
              <w:jc w:val="center"/>
            </w:pPr>
            <w:r>
              <w:rPr>
                <w:rFonts w:ascii="Calibri" w:hAnsi="Calibri" w:eastAsia="宋体"/>
                <w:sz w:val="20"/>
              </w:rPr>
              <w:t>-</w:t>
            </w:r>
          </w:p>
        </w:tc>
      </w:tr>
      <w:tr>
        <w:tc>
          <w:tcPr>
            <w:tcW w:type="dxa" w:w="3061"/>
            <w:vAlign w:val="center"/>
          </w:tcPr>
          <w:p>
            <w:r>
              <w:rPr>
                <w:rFonts w:ascii="Calibri" w:hAnsi="Calibri" w:eastAsia="宋体"/>
                <w:sz w:val="20"/>
              </w:rPr>
              <w:t>申报路径</w:t>
            </w:r>
          </w:p>
        </w:tc>
        <w:tc>
          <w:tcPr>
            <w:tcW w:type="dxa" w:w="3061"/>
            <w:vAlign w:val="center"/>
          </w:tcPr>
          <w:p>
            <w:r>
              <w:rPr>
                <w:rFonts w:ascii="Calibri" w:hAnsi="Calibri" w:eastAsia="宋体"/>
                <w:sz w:val="20"/>
              </w:rPr>
              <w:t>“吉林省体外诊断试剂集中采购系统”-“日常信息变更管理”-“产品信息变更”</w:t>
            </w:r>
          </w:p>
        </w:tc>
        <w:tc>
          <w:tcPr>
            <w:tcW w:type="dxa" w:w="3061"/>
            <w:vAlign w:val="center"/>
          </w:tcPr>
          <w:p>
            <w:pPr>
              <w:jc w:val="center"/>
            </w:pPr>
            <w:r>
              <w:rPr>
                <w:rFonts w:ascii="Calibri" w:hAnsi="Calibri" w:eastAsia="宋体"/>
                <w:sz w:val="20"/>
              </w:rPr>
              <w:t>-</w:t>
            </w:r>
          </w:p>
        </w:tc>
      </w:tr>
      <w:tr>
        <w:tc>
          <w:tcPr>
            <w:tcW w:type="dxa" w:w="3061"/>
            <w:vAlign w:val="center"/>
          </w:tcPr>
          <w:p>
            <w:r>
              <w:rPr>
                <w:rFonts w:ascii="Calibri" w:hAnsi="Calibri" w:eastAsia="宋体"/>
                <w:sz w:val="20"/>
              </w:rPr>
              <w:t>限价设定规则</w:t>
            </w:r>
          </w:p>
        </w:tc>
        <w:tc>
          <w:tcPr>
            <w:tcW w:type="dxa" w:w="3061"/>
            <w:vAlign w:val="center"/>
          </w:tcPr>
          <w:p>
            <w:r>
              <w:rPr>
                <w:rFonts w:ascii="Calibri" w:hAnsi="Calibri" w:eastAsia="宋体"/>
                <w:sz w:val="20"/>
              </w:rPr>
              <w:t>填报价格需包含全国所有省份中的最低中标（挂网）价格，并以该价格作为吉林省挂网限价</w:t>
            </w:r>
          </w:p>
        </w:tc>
        <w:tc>
          <w:tcPr>
            <w:tcW w:type="dxa" w:w="3061"/>
            <w:vAlign w:val="center"/>
          </w:tcPr>
          <w:p>
            <w:pPr>
              <w:jc w:val="center"/>
            </w:pPr>
            <w:r>
              <w:rPr>
                <w:rFonts w:ascii="Calibri" w:hAnsi="Calibri" w:eastAsia="宋体"/>
                <w:sz w:val="20"/>
              </w:rPr>
              <w:t>-</w:t>
            </w:r>
          </w:p>
        </w:tc>
      </w:tr>
      <w:tr>
        <w:tc>
          <w:tcPr>
            <w:tcW w:type="dxa" w:w="3061"/>
            <w:vAlign w:val="center"/>
          </w:tcPr>
          <w:p>
            <w:r>
              <w:rPr>
                <w:rFonts w:ascii="Calibri" w:hAnsi="Calibri" w:eastAsia="宋体"/>
                <w:sz w:val="20"/>
              </w:rPr>
              <w:t>过渡期与申报窗口</w:t>
            </w:r>
          </w:p>
        </w:tc>
        <w:tc>
          <w:tcPr>
            <w:tcW w:type="dxa" w:w="3061"/>
            <w:vAlign w:val="center"/>
          </w:tcPr>
          <w:p>
            <w:r>
              <w:rPr>
                <w:rFonts w:ascii="Calibri" w:hAnsi="Calibri" w:eastAsia="宋体"/>
                <w:sz w:val="20"/>
              </w:rPr>
              <w:t>自2026年4月1日起设置2个月过渡期，每月1日-10日可操作</w:t>
            </w:r>
          </w:p>
        </w:tc>
        <w:tc>
          <w:tcPr>
            <w:tcW w:type="dxa" w:w="3061"/>
            <w:vAlign w:val="center"/>
          </w:tcPr>
          <w:p>
            <w:r>
              <w:rPr>
                <w:rFonts w:ascii="Calibri" w:hAnsi="Calibri" w:eastAsia="宋体"/>
                <w:sz w:val="20"/>
              </w:rPr>
              <w:t>自2026年4月1日起设置2个月过渡期</w:t>
            </w:r>
          </w:p>
        </w:tc>
      </w:tr>
      <w:tr>
        <w:tc>
          <w:tcPr>
            <w:tcW w:type="dxa" w:w="3061"/>
            <w:vAlign w:val="center"/>
          </w:tcPr>
          <w:p>
            <w:r>
              <w:rPr>
                <w:rFonts w:ascii="Calibri" w:hAnsi="Calibri" w:eastAsia="宋体"/>
                <w:sz w:val="20"/>
              </w:rPr>
              <w:t>未满足条件后果</w:t>
            </w:r>
          </w:p>
        </w:tc>
        <w:tc>
          <w:tcPr>
            <w:tcW w:type="dxa" w:w="3061"/>
            <w:vAlign w:val="center"/>
          </w:tcPr>
          <w:p>
            <w:r>
              <w:rPr>
                <w:rFonts w:ascii="Calibri" w:hAnsi="Calibri" w:eastAsia="宋体"/>
                <w:sz w:val="20"/>
              </w:rPr>
              <w:t>相关产品暂停挂网采购</w:t>
            </w:r>
          </w:p>
        </w:tc>
        <w:tc>
          <w:tcPr>
            <w:tcW w:type="dxa" w:w="3061"/>
            <w:vAlign w:val="center"/>
          </w:tcPr>
          <w:p>
            <w:r>
              <w:rPr>
                <w:rFonts w:ascii="Calibri" w:hAnsi="Calibri" w:eastAsia="宋体"/>
                <w:sz w:val="20"/>
              </w:rPr>
              <w:t>2026年6月1日起暂停挂网采购</w:t>
            </w:r>
          </w:p>
        </w:tc>
      </w:tr>
      <w:tr>
        <w:tc>
          <w:tcPr>
            <w:tcW w:type="dxa" w:w="3061"/>
            <w:vAlign w:val="center"/>
          </w:tcPr>
          <w:p>
            <w:r>
              <w:rPr>
                <w:rFonts w:ascii="Calibri" w:hAnsi="Calibri" w:eastAsia="宋体"/>
                <w:sz w:val="20"/>
              </w:rPr>
              <w:t>信用评价约束</w:t>
            </w:r>
          </w:p>
        </w:tc>
        <w:tc>
          <w:tcPr>
            <w:tcW w:type="dxa" w:w="3061"/>
            <w:vAlign w:val="center"/>
          </w:tcPr>
          <w:p>
            <w:r>
              <w:rPr>
                <w:rFonts w:ascii="Calibri" w:hAnsi="Calibri" w:eastAsia="宋体"/>
                <w:sz w:val="20"/>
              </w:rPr>
              <w:t>未如实申报全国省级最低中标（挂网）价格的，按医药价格和招采信用评价制度严肃处理</w:t>
            </w:r>
          </w:p>
        </w:tc>
        <w:tc>
          <w:tcPr>
            <w:tcW w:type="dxa" w:w="3061"/>
            <w:vAlign w:val="center"/>
          </w:tcPr>
          <w:p>
            <w:r>
              <w:rPr>
                <w:rFonts w:ascii="Calibri" w:hAnsi="Calibri" w:eastAsia="宋体"/>
                <w:sz w:val="20"/>
              </w:rPr>
              <w:t>一经查实即执行</w:t>
            </w:r>
          </w:p>
        </w:tc>
      </w:tr>
    </w:tbl>
    <w:p/>
    <w:p>
      <w:pPr>
        <w:pStyle w:val="Heading1"/>
      </w:pPr>
      <w:r>
        <w:t>信用评价与违规处理后果</w:t>
      </w:r>
    </w:p>
    <w:p>
      <w:pPr>
        <w:spacing w:lineRule="auto" w:line="324"/>
        <w:ind w:firstLine="420"/>
      </w:pPr>
      <w:r>
        <w:rPr>
          <w:rFonts w:ascii="Calibri" w:hAnsi="Calibri" w:eastAsia="宋体"/>
          <w:b w:val="0"/>
          <w:sz w:val="22"/>
        </w:rPr>
        <w:t>文件对未按时履行价格补充义务及填报不实的行为设定了明确的处置措施。对于不填报或不满足三省价格条件的产品，经与吉林省医疗保障局共同研究决定，相关产品将于2026年6月1日起暂停挂网采购。此外，企业必须保证填报的价格信息真实、有效。若企业未如实申报全国省级最低中标（挂网）价格，一经查实，将严格按照医药价格和招采信用评价制度相关政策进行严肃处理。企业需高度重视价格数据的真实性核查，防范因信息填报瑕疵引发的信用扣分或市场准入限制风险。</w:t>
      </w:r>
    </w:p>
    <w:p>
      <w:pPr>
        <w:pStyle w:val="Heading1"/>
      </w:pPr>
      <w:r>
        <w:t>联系方式</w:t>
      </w:r>
    </w:p>
    <w:p>
      <w:pPr>
        <w:spacing w:lineRule="auto" w:line="324"/>
        <w:ind w:firstLine="420"/>
      </w:pPr>
      <w:r>
        <w:rPr>
          <w:rFonts w:ascii="Calibri" w:hAnsi="Calibri" w:eastAsia="宋体"/>
          <w:b w:val="0"/>
          <w:sz w:val="22"/>
        </w:rPr>
        <w:t>承办人：臧琳；联系电话：0431-81862985，81866951。</w:t>
      </w:r>
    </w:p>
    <w:p>
      <w:pPr>
        <w:pStyle w:val="Heading1"/>
      </w:pPr>
      <w:r>
        <w:t>企业关注点</w:t>
      </w:r>
    </w:p>
    <w:p>
      <w:pPr>
        <w:spacing w:lineRule="auto" w:line="324"/>
        <w:ind w:firstLine="420"/>
      </w:pPr>
      <w:r>
        <w:rPr>
          <w:rFonts w:ascii="Calibri" w:hAnsi="Calibri" w:eastAsia="宋体"/>
          <w:b w:val="0"/>
          <w:sz w:val="22"/>
        </w:rPr>
        <w:t>企业需立即梳理已挂网体外诊断试剂产品清单，核对是否已具备不少于三个省份的挂网价格，对不满足条件的产品需在2026年4月1日至5月31日过渡期内完成补充。</w:t>
      </w:r>
    </w:p>
    <w:p>
      <w:pPr>
        <w:spacing w:lineRule="auto" w:line="324"/>
        <w:ind w:firstLine="420"/>
      </w:pPr>
      <w:r>
        <w:rPr>
          <w:rFonts w:ascii="Calibri" w:hAnsi="Calibri" w:eastAsia="宋体"/>
          <w:b w:val="0"/>
          <w:sz w:val="22"/>
        </w:rPr>
        <w:t>价格补充将直接联动吉林省挂网限价，企业填报的全国省级最低中标（挂网）价格将成为吉林省后续挂网采购的价格天花板，需审慎评估价格下调对区域利润空间的影响。</w:t>
      </w:r>
    </w:p>
    <w:p>
      <w:pPr>
        <w:spacing w:lineRule="auto" w:line="324"/>
        <w:ind w:firstLine="420"/>
      </w:pPr>
      <w:r>
        <w:rPr>
          <w:rFonts w:ascii="Calibri" w:hAnsi="Calibri" w:eastAsia="宋体"/>
          <w:b w:val="0"/>
          <w:sz w:val="22"/>
        </w:rPr>
        <w:t>系统操作窗口严格限定在每月1日至10日，企业需提前准备跨省价格证明材料，避免因错过窗口期导致产品在2026年6月1日被暂停挂网。</w:t>
      </w:r>
    </w:p>
    <w:p>
      <w:pPr>
        <w:spacing w:lineRule="auto" w:line="324"/>
        <w:ind w:firstLine="420"/>
      </w:pPr>
      <w:r>
        <w:rPr>
          <w:rFonts w:ascii="Calibri" w:hAnsi="Calibri" w:eastAsia="宋体"/>
          <w:b w:val="0"/>
          <w:sz w:val="22"/>
        </w:rPr>
        <w:t>价格数据真实性纳入招采信用评价体系，企业应建立内部价格申报复核机制，确保填报的全国较低价格准确无误，防范信用惩戒风险。</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2026-03-30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《关于吉林省体外诊断试剂挂网产品需补充三省挂网价格的通知》</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